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spacing w:line="360" w:lineRule="auto"/>
        <w:jc w:val="center"/>
        <w:rPr>
          <w:rFonts w:hint="eastAsia" w:ascii="宋体" w:hAnsi="宋体" w:eastAsia="宋体" w:cs="宋体"/>
          <w:color w:val="auto"/>
          <w:sz w:val="32"/>
          <w:szCs w:val="36"/>
          <w:highlight w:val="none"/>
          <w:lang w:eastAsia="zh-CN"/>
        </w:rPr>
      </w:pPr>
      <w:r>
        <w:drawing>
          <wp:anchor distT="0" distB="0" distL="114300" distR="114300" simplePos="0" relativeHeight="251659264" behindDoc="0" locked="0" layoutInCell="1" allowOverlap="1">
            <wp:simplePos x="0" y="0"/>
            <wp:positionH relativeFrom="column">
              <wp:posOffset>-66675</wp:posOffset>
            </wp:positionH>
            <wp:positionV relativeFrom="paragraph">
              <wp:posOffset>72390</wp:posOffset>
            </wp:positionV>
            <wp:extent cx="5874385" cy="8601075"/>
            <wp:effectExtent l="0" t="0" r="8255" b="9525"/>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srcRect l="1648"/>
                    <a:stretch>
                      <a:fillRect/>
                    </a:stretch>
                  </pic:blipFill>
                  <pic:spPr>
                    <a:xfrm>
                      <a:off x="0" y="0"/>
                      <a:ext cx="5874385" cy="8601075"/>
                    </a:xfrm>
                    <a:prstGeom prst="rect">
                      <a:avLst/>
                    </a:prstGeom>
                    <a:noFill/>
                    <a:ln>
                      <a:noFill/>
                    </a:ln>
                  </pic:spPr>
                </pic:pic>
              </a:graphicData>
            </a:graphic>
          </wp:anchor>
        </w:drawing>
      </w:r>
    </w:p>
    <w:p>
      <w:pPr>
        <w:spacing w:after="240"/>
        <w:rPr>
          <w:rFonts w:hint="eastAsia" w:ascii="宋体" w:hAnsi="宋体" w:eastAsia="宋体" w:cs="宋体"/>
          <w:b/>
          <w:bCs/>
          <w:color w:val="auto"/>
          <w:sz w:val="72"/>
          <w:szCs w:val="72"/>
          <w:highlight w:val="none"/>
        </w:rPr>
      </w:pPr>
    </w:p>
    <w:p>
      <w:pPr>
        <w:spacing w:after="240"/>
        <w:jc w:val="center"/>
        <w:rPr>
          <w:rFonts w:hint="eastAsia" w:ascii="宋体" w:hAnsi="宋体" w:eastAsia="宋体" w:cs="宋体"/>
          <w:b/>
          <w:bCs/>
          <w:color w:val="auto"/>
          <w:sz w:val="72"/>
          <w:szCs w:val="72"/>
          <w:highlight w:val="none"/>
        </w:rPr>
      </w:pPr>
      <w:bookmarkStart w:id="0" w:name="_Hlk109981075"/>
      <w:r>
        <w:rPr>
          <w:rFonts w:hint="eastAsia" w:ascii="宋体" w:hAnsi="宋体" w:eastAsia="宋体" w:cs="宋体"/>
          <w:b/>
          <w:bCs/>
          <w:color w:val="auto"/>
          <w:sz w:val="72"/>
          <w:szCs w:val="72"/>
          <w:highlight w:val="none"/>
        </w:rPr>
        <w:t>公开招标文件</w:t>
      </w:r>
    </w:p>
    <w:p>
      <w:pPr>
        <w:tabs>
          <w:tab w:val="left" w:pos="426"/>
        </w:tabs>
        <w:spacing w:line="360" w:lineRule="auto"/>
        <w:rPr>
          <w:rFonts w:hint="eastAsia" w:ascii="宋体" w:hAnsi="宋体" w:eastAsia="宋体" w:cs="宋体"/>
          <w:color w:val="auto"/>
          <w:sz w:val="32"/>
          <w:szCs w:val="36"/>
          <w:highlight w:val="none"/>
        </w:rPr>
      </w:pPr>
    </w:p>
    <w:p>
      <w:pPr>
        <w:pStyle w:val="35"/>
        <w:ind w:left="0" w:leftChars="0" w:firstLine="640" w:firstLineChars="200"/>
        <w:rPr>
          <w:rFonts w:hint="eastAsia" w:ascii="宋体" w:hAnsi="宋体" w:eastAsia="宋体" w:cs="宋体"/>
          <w:color w:val="auto"/>
          <w:sz w:val="32"/>
          <w:szCs w:val="32"/>
          <w:highlight w:val="none"/>
        </w:rPr>
      </w:pPr>
    </w:p>
    <w:p>
      <w:pPr>
        <w:pStyle w:val="35"/>
        <w:ind w:left="0" w:leftChars="0" w:firstLine="640" w:firstLineChars="200"/>
        <w:rPr>
          <w:rFonts w:hint="eastAsia" w:ascii="宋体" w:hAnsi="宋体" w:eastAsia="宋体" w:cs="宋体"/>
          <w:color w:val="auto"/>
          <w:sz w:val="32"/>
          <w:szCs w:val="32"/>
          <w:highlight w:val="none"/>
        </w:rPr>
      </w:pPr>
    </w:p>
    <w:p>
      <w:pPr>
        <w:spacing w:after="120" w:line="360" w:lineRule="auto"/>
        <w:jc w:val="both"/>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项目编号：</w:t>
      </w:r>
      <w:r>
        <w:rPr>
          <w:rFonts w:hint="eastAsia" w:ascii="宋体" w:hAnsi="宋体" w:cs="宋体"/>
          <w:b/>
          <w:bCs/>
          <w:color w:val="auto"/>
          <w:sz w:val="32"/>
          <w:szCs w:val="32"/>
          <w:highlight w:val="none"/>
          <w:lang w:eastAsia="zh-CN"/>
        </w:rPr>
        <w:t>NSCG[2024]046-1</w:t>
      </w:r>
      <w:r>
        <w:rPr>
          <w:rFonts w:hint="eastAsia" w:ascii="宋体" w:hAnsi="宋体" w:eastAsia="宋体" w:cs="宋体"/>
          <w:b/>
          <w:bCs/>
          <w:color w:val="auto"/>
          <w:sz w:val="32"/>
          <w:szCs w:val="32"/>
          <w:highlight w:val="none"/>
        </w:rPr>
        <w:t xml:space="preserve"> </w:t>
      </w:r>
    </w:p>
    <w:p>
      <w:pPr>
        <w:spacing w:after="12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项目名称：</w:t>
      </w:r>
      <w:r>
        <w:rPr>
          <w:rFonts w:hint="eastAsia" w:ascii="宋体" w:hAnsi="宋体" w:cs="宋体"/>
          <w:b/>
          <w:bCs/>
          <w:color w:val="auto"/>
          <w:sz w:val="32"/>
          <w:szCs w:val="32"/>
          <w:highlight w:val="none"/>
          <w:lang w:eastAsia="zh-CN"/>
        </w:rPr>
        <w:t>庄桥街道城市建设管理办公室基本账户银行开户项目（重招）</w:t>
      </w:r>
    </w:p>
    <w:p>
      <w:pPr>
        <w:spacing w:after="120" w:line="360" w:lineRule="auto"/>
        <w:jc w:val="both"/>
        <w:rPr>
          <w:rFonts w:hint="eastAsia" w:ascii="宋体" w:hAnsi="宋体" w:eastAsia="宋体" w:cs="宋体"/>
          <w:b/>
          <w:bCs/>
          <w:color w:val="auto"/>
          <w:sz w:val="32"/>
          <w:szCs w:val="32"/>
          <w:highlight w:val="none"/>
        </w:rPr>
      </w:pPr>
    </w:p>
    <w:p>
      <w:pPr>
        <w:spacing w:after="156" w:afterLines="50" w:line="360" w:lineRule="auto"/>
        <w:jc w:val="center"/>
        <w:outlineLvl w:val="9"/>
        <w:rPr>
          <w:rFonts w:hint="eastAsia" w:ascii="宋体" w:hAnsi="宋体" w:eastAsia="宋体" w:cs="宋体"/>
          <w:b/>
          <w:bCs/>
          <w:color w:val="auto"/>
          <w:sz w:val="32"/>
          <w:szCs w:val="32"/>
          <w:highlight w:val="none"/>
        </w:rPr>
      </w:pPr>
    </w:p>
    <w:p>
      <w:pPr>
        <w:spacing w:after="156" w:afterLines="50" w:line="360" w:lineRule="auto"/>
        <w:jc w:val="center"/>
        <w:outlineLvl w:val="9"/>
        <w:rPr>
          <w:rFonts w:hint="eastAsia" w:ascii="宋体" w:hAnsi="宋体" w:eastAsia="宋体" w:cs="宋体"/>
          <w:b/>
          <w:bCs/>
          <w:color w:val="auto"/>
          <w:sz w:val="32"/>
          <w:szCs w:val="32"/>
          <w:highlight w:val="none"/>
        </w:rPr>
      </w:pPr>
    </w:p>
    <w:p>
      <w:pPr>
        <w:pStyle w:val="35"/>
        <w:spacing w:line="360" w:lineRule="auto"/>
        <w:rPr>
          <w:rFonts w:hint="eastAsia" w:ascii="宋体" w:hAnsi="宋体" w:eastAsia="宋体" w:cs="宋体"/>
          <w:b/>
          <w:bCs/>
          <w:color w:val="auto"/>
          <w:sz w:val="32"/>
          <w:szCs w:val="32"/>
          <w:highlight w:val="none"/>
        </w:rPr>
      </w:pPr>
    </w:p>
    <w:p>
      <w:pPr>
        <w:spacing w:line="360" w:lineRule="auto"/>
        <w:ind w:firstLine="141" w:firstLineChars="44"/>
        <w:jc w:val="left"/>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招标人：</w:t>
      </w:r>
      <w:r>
        <w:rPr>
          <w:rFonts w:hint="eastAsia" w:ascii="宋体" w:hAnsi="宋体" w:cs="宋体"/>
          <w:b/>
          <w:bCs/>
          <w:color w:val="auto"/>
          <w:sz w:val="32"/>
          <w:szCs w:val="32"/>
          <w:highlight w:val="none"/>
          <w:lang w:eastAsia="zh-CN"/>
        </w:rPr>
        <w:t>宁波市江北区人民政府庄桥街道办事处</w:t>
      </w:r>
    </w:p>
    <w:p>
      <w:pPr>
        <w:spacing w:line="360" w:lineRule="auto"/>
        <w:ind w:firstLine="141" w:firstLineChars="44"/>
        <w:jc w:val="left"/>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招标代理机构：宁波安全三江工程咨询招标代理有限公司</w:t>
      </w:r>
    </w:p>
    <w:p>
      <w:pPr>
        <w:spacing w:line="480" w:lineRule="auto"/>
        <w:ind w:left="2519" w:leftChars="133" w:hanging="2240" w:hangingChars="700"/>
        <w:jc w:val="left"/>
        <w:rPr>
          <w:rFonts w:hint="eastAsia" w:ascii="宋体" w:hAnsi="宋体" w:eastAsia="宋体" w:cs="宋体"/>
          <w:color w:val="auto"/>
          <w:sz w:val="32"/>
          <w:szCs w:val="32"/>
          <w:highlight w:val="none"/>
        </w:rPr>
      </w:pPr>
    </w:p>
    <w:p>
      <w:pPr>
        <w:spacing w:line="480" w:lineRule="auto"/>
        <w:ind w:left="2528" w:leftChars="133" w:hanging="2249" w:hangingChars="700"/>
        <w:jc w:val="center"/>
        <w:rPr>
          <w:rFonts w:hint="eastAsia" w:ascii="宋体" w:hAnsi="宋体" w:eastAsia="宋体" w:cs="宋体"/>
          <w:b/>
          <w:bCs/>
          <w:i w:val="0"/>
          <w:iCs w:val="0"/>
          <w:color w:val="auto"/>
          <w:sz w:val="32"/>
          <w:szCs w:val="32"/>
          <w:highlight w:val="none"/>
        </w:rPr>
      </w:pPr>
      <w:r>
        <w:rPr>
          <w:rFonts w:hint="eastAsia" w:ascii="宋体" w:hAnsi="宋体" w:eastAsia="宋体" w:cs="宋体"/>
          <w:b/>
          <w:bCs/>
          <w:i w:val="0"/>
          <w:iCs w:val="0"/>
          <w:color w:val="auto"/>
          <w:sz w:val="32"/>
          <w:szCs w:val="32"/>
          <w:highlight w:val="none"/>
        </w:rPr>
        <w:t>202</w:t>
      </w:r>
      <w:r>
        <w:rPr>
          <w:rFonts w:hint="eastAsia" w:ascii="宋体" w:hAnsi="宋体" w:cs="宋体"/>
          <w:b/>
          <w:bCs/>
          <w:i w:val="0"/>
          <w:iCs w:val="0"/>
          <w:color w:val="auto"/>
          <w:sz w:val="32"/>
          <w:szCs w:val="32"/>
          <w:highlight w:val="none"/>
          <w:lang w:val="en-US" w:eastAsia="zh-CN"/>
        </w:rPr>
        <w:t>4</w:t>
      </w:r>
      <w:r>
        <w:rPr>
          <w:rFonts w:hint="eastAsia" w:ascii="宋体" w:hAnsi="宋体" w:eastAsia="宋体" w:cs="宋体"/>
          <w:b/>
          <w:bCs/>
          <w:i w:val="0"/>
          <w:iCs w:val="0"/>
          <w:color w:val="auto"/>
          <w:sz w:val="32"/>
          <w:szCs w:val="32"/>
          <w:highlight w:val="none"/>
        </w:rPr>
        <w:t>年</w:t>
      </w:r>
      <w:r>
        <w:rPr>
          <w:rFonts w:hint="eastAsia" w:ascii="宋体" w:hAnsi="宋体" w:cs="宋体"/>
          <w:b/>
          <w:bCs/>
          <w:i w:val="0"/>
          <w:iCs w:val="0"/>
          <w:color w:val="auto"/>
          <w:sz w:val="32"/>
          <w:szCs w:val="32"/>
          <w:highlight w:val="none"/>
          <w:lang w:val="en-US" w:eastAsia="zh-CN"/>
        </w:rPr>
        <w:t>2</w:t>
      </w:r>
      <w:r>
        <w:rPr>
          <w:rFonts w:hint="eastAsia" w:ascii="宋体" w:hAnsi="宋体" w:eastAsia="宋体" w:cs="宋体"/>
          <w:b/>
          <w:bCs/>
          <w:i w:val="0"/>
          <w:iCs w:val="0"/>
          <w:color w:val="auto"/>
          <w:sz w:val="32"/>
          <w:szCs w:val="32"/>
          <w:highlight w:val="none"/>
        </w:rPr>
        <w:t>月</w:t>
      </w:r>
    </w:p>
    <w:p>
      <w:pPr>
        <w:pStyle w:val="35"/>
        <w:rPr>
          <w:rFonts w:hint="eastAsia" w:ascii="宋体" w:hAnsi="宋体" w:eastAsia="宋体" w:cs="宋体"/>
          <w:color w:val="auto"/>
          <w:highlight w:val="none"/>
        </w:rPr>
      </w:pPr>
    </w:p>
    <w:p>
      <w:pPr>
        <w:pStyle w:val="35"/>
        <w:rPr>
          <w:rFonts w:hint="eastAsia" w:ascii="宋体" w:hAnsi="宋体" w:eastAsia="宋体" w:cs="宋体"/>
          <w:color w:val="auto"/>
          <w:highlight w:val="none"/>
        </w:rPr>
      </w:pPr>
    </w:p>
    <w:p>
      <w:pPr>
        <w:pStyle w:val="35"/>
        <w:rPr>
          <w:rFonts w:hint="eastAsia" w:ascii="宋体" w:hAnsi="宋体" w:eastAsia="宋体" w:cs="宋体"/>
          <w:color w:val="auto"/>
          <w:sz w:val="24"/>
          <w:highlight w:val="none"/>
        </w:rPr>
        <w:sectPr>
          <w:pgSz w:w="11906" w:h="16838"/>
          <w:pgMar w:top="1440" w:right="1417" w:bottom="1440" w:left="1417" w:header="851" w:footer="992" w:gutter="0"/>
          <w:pgNumType w:start="1"/>
          <w:cols w:space="720" w:num="1"/>
          <w:docGrid w:type="lines" w:linePitch="312" w:charSpace="0"/>
        </w:sectPr>
      </w:pPr>
      <w:bookmarkStart w:id="1" w:name="_Toc133892055"/>
    </w:p>
    <w:sdt>
      <w:sdtPr>
        <w:rPr>
          <w:rFonts w:hint="eastAsia" w:ascii="宋体" w:hAnsi="宋体" w:eastAsia="宋体" w:cs="宋体"/>
          <w:b w:val="0"/>
          <w:bCs w:val="0"/>
          <w:color w:val="auto"/>
          <w:kern w:val="2"/>
          <w:sz w:val="21"/>
          <w:szCs w:val="24"/>
          <w:highlight w:val="none"/>
          <w:lang w:val="zh-CN"/>
        </w:rPr>
        <w:id w:val="-1469122334"/>
        <w:docPartObj>
          <w:docPartGallery w:val="Table of Contents"/>
          <w:docPartUnique/>
        </w:docPartObj>
      </w:sdtPr>
      <w:sdtEndPr>
        <w:rPr>
          <w:rFonts w:hint="eastAsia" w:ascii="宋体" w:hAnsi="宋体" w:eastAsia="宋体" w:cs="宋体"/>
          <w:b w:val="0"/>
          <w:bCs w:val="0"/>
          <w:color w:val="auto"/>
          <w:kern w:val="2"/>
          <w:sz w:val="36"/>
          <w:szCs w:val="44"/>
          <w:highlight w:val="none"/>
          <w:lang w:val="zh-CN"/>
        </w:rPr>
      </w:sdtEndPr>
      <w:sdtContent>
        <w:p>
          <w:pPr>
            <w:pStyle w:val="57"/>
            <w:pageBreakBefore w:val="0"/>
            <w:kinsoku/>
            <w:wordWrap/>
            <w:overflowPunct/>
            <w:topLinePunct w:val="0"/>
            <w:autoSpaceDE/>
            <w:autoSpaceDN/>
            <w:bidi w:val="0"/>
            <w:adjustRightInd/>
            <w:snapToGrid/>
            <w:spacing w:before="0" w:line="720" w:lineRule="auto"/>
            <w:jc w:val="center"/>
            <w:textAlignment w:val="auto"/>
            <w:rPr>
              <w:rFonts w:hint="eastAsia" w:ascii="宋体" w:hAnsi="宋体" w:eastAsia="宋体" w:cs="宋体"/>
              <w:color w:val="auto"/>
              <w:sz w:val="48"/>
              <w:szCs w:val="48"/>
              <w:highlight w:val="none"/>
            </w:rPr>
          </w:pPr>
          <w:bookmarkStart w:id="2" w:name="_Toc36194035"/>
          <w:bookmarkStart w:id="3" w:name="_Toc47976781"/>
          <w:r>
            <w:rPr>
              <w:rFonts w:hint="eastAsia" w:ascii="宋体" w:hAnsi="宋体" w:eastAsia="宋体" w:cs="宋体"/>
              <w:color w:val="auto"/>
              <w:sz w:val="44"/>
              <w:szCs w:val="48"/>
              <w:highlight w:val="none"/>
              <w:lang w:val="zh-CN"/>
            </w:rPr>
            <w:t>目</w:t>
          </w:r>
          <w:r>
            <w:rPr>
              <w:rFonts w:hint="eastAsia" w:ascii="宋体" w:hAnsi="宋体" w:eastAsia="宋体" w:cs="宋体"/>
              <w:color w:val="auto"/>
              <w:sz w:val="44"/>
              <w:szCs w:val="48"/>
              <w:highlight w:val="none"/>
              <w:lang w:val="en-US" w:eastAsia="zh-CN"/>
            </w:rPr>
            <w:t xml:space="preserve"> </w:t>
          </w:r>
          <w:r>
            <w:rPr>
              <w:rFonts w:hint="eastAsia" w:ascii="宋体" w:hAnsi="宋体" w:eastAsia="宋体" w:cs="宋体"/>
              <w:color w:val="auto"/>
              <w:sz w:val="44"/>
              <w:szCs w:val="48"/>
              <w:highlight w:val="none"/>
              <w:lang w:val="zh-CN"/>
            </w:rPr>
            <w:t>录</w:t>
          </w:r>
        </w:p>
        <w:p>
          <w:pPr>
            <w:pStyle w:val="21"/>
            <w:tabs>
              <w:tab w:val="right" w:leader="dot" w:pos="9072"/>
            </w:tabs>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36"/>
              <w:szCs w:val="44"/>
              <w:highlight w:val="none"/>
            </w:rPr>
            <w:fldChar w:fldCharType="begin"/>
          </w:r>
          <w:r>
            <w:rPr>
              <w:rFonts w:hint="eastAsia" w:ascii="宋体" w:hAnsi="宋体" w:eastAsia="宋体" w:cs="宋体"/>
              <w:color w:val="auto"/>
              <w:sz w:val="36"/>
              <w:szCs w:val="44"/>
              <w:highlight w:val="none"/>
            </w:rPr>
            <w:instrText xml:space="preserve"> TOC \o "1-3" \h \z \u </w:instrText>
          </w:r>
          <w:r>
            <w:rPr>
              <w:rFonts w:hint="eastAsia" w:ascii="宋体" w:hAnsi="宋体" w:eastAsia="宋体" w:cs="宋体"/>
              <w:color w:val="auto"/>
              <w:sz w:val="36"/>
              <w:szCs w:val="44"/>
              <w:highlight w:val="none"/>
            </w:rPr>
            <w:fldChar w:fldCharType="separate"/>
          </w:r>
          <w:r>
            <w:rPr>
              <w:rFonts w:hint="eastAsia" w:ascii="宋体" w:hAnsi="宋体" w:eastAsia="宋体" w:cs="宋体"/>
              <w:color w:val="auto"/>
              <w:sz w:val="24"/>
              <w:szCs w:val="52"/>
              <w:highlight w:val="none"/>
            </w:rPr>
            <w:fldChar w:fldCharType="begin"/>
          </w:r>
          <w:r>
            <w:rPr>
              <w:rFonts w:hint="eastAsia" w:ascii="宋体" w:hAnsi="宋体" w:eastAsia="宋体" w:cs="宋体"/>
              <w:color w:val="auto"/>
              <w:sz w:val="24"/>
              <w:szCs w:val="52"/>
              <w:highlight w:val="none"/>
            </w:rPr>
            <w:instrText xml:space="preserve"> HYPERLINK \l _Toc20727 </w:instrText>
          </w:r>
          <w:r>
            <w:rPr>
              <w:rFonts w:hint="eastAsia" w:ascii="宋体" w:hAnsi="宋体" w:eastAsia="宋体" w:cs="宋体"/>
              <w:color w:val="auto"/>
              <w:sz w:val="24"/>
              <w:szCs w:val="52"/>
              <w:highlight w:val="none"/>
            </w:rPr>
            <w:fldChar w:fldCharType="separate"/>
          </w:r>
          <w:r>
            <w:rPr>
              <w:rFonts w:hint="eastAsia" w:ascii="宋体" w:hAnsi="宋体" w:eastAsia="宋体" w:cs="宋体"/>
              <w:color w:val="auto"/>
              <w:sz w:val="24"/>
              <w:szCs w:val="40"/>
              <w:highlight w:val="none"/>
            </w:rPr>
            <w:t>第一章  招标公告</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_Toc20727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52"/>
              <w:highlight w:val="none"/>
            </w:rPr>
            <w:fldChar w:fldCharType="end"/>
          </w:r>
        </w:p>
        <w:p>
          <w:pPr>
            <w:pStyle w:val="21"/>
            <w:tabs>
              <w:tab w:val="right" w:leader="dot" w:pos="9072"/>
            </w:tabs>
            <w:spacing w:line="360" w:lineRule="auto"/>
            <w:rPr>
              <w:rFonts w:hint="eastAsia" w:ascii="宋体" w:hAnsi="宋体" w:eastAsia="宋体" w:cs="宋体"/>
              <w:color w:val="auto"/>
              <w:sz w:val="24"/>
              <w:szCs w:val="32"/>
              <w:highlight w:val="none"/>
            </w:rPr>
          </w:pPr>
          <w:r>
            <w:rPr>
              <w:rFonts w:hint="eastAsia" w:ascii="宋体" w:hAnsi="宋体" w:eastAsia="宋体" w:cs="宋体"/>
              <w:bCs/>
              <w:color w:val="auto"/>
              <w:sz w:val="24"/>
              <w:szCs w:val="52"/>
              <w:highlight w:val="none"/>
              <w:lang w:val="zh-CN"/>
            </w:rPr>
            <w:fldChar w:fldCharType="begin"/>
          </w:r>
          <w:r>
            <w:rPr>
              <w:rFonts w:hint="eastAsia" w:ascii="宋体" w:hAnsi="宋体" w:eastAsia="宋体" w:cs="宋体"/>
              <w:bCs/>
              <w:color w:val="auto"/>
              <w:sz w:val="24"/>
              <w:szCs w:val="52"/>
              <w:highlight w:val="none"/>
              <w:lang w:val="zh-CN"/>
            </w:rPr>
            <w:instrText xml:space="preserve"> HYPERLINK \l _Toc5917 </w:instrText>
          </w:r>
          <w:r>
            <w:rPr>
              <w:rFonts w:hint="eastAsia" w:ascii="宋体" w:hAnsi="宋体" w:eastAsia="宋体" w:cs="宋体"/>
              <w:bCs/>
              <w:color w:val="auto"/>
              <w:sz w:val="24"/>
              <w:szCs w:val="52"/>
              <w:highlight w:val="none"/>
              <w:lang w:val="zh-CN"/>
            </w:rPr>
            <w:fldChar w:fldCharType="separate"/>
          </w:r>
          <w:r>
            <w:rPr>
              <w:rFonts w:hint="eastAsia" w:ascii="宋体" w:hAnsi="宋体" w:eastAsia="宋体" w:cs="宋体"/>
              <w:color w:val="auto"/>
              <w:sz w:val="24"/>
              <w:szCs w:val="40"/>
              <w:highlight w:val="none"/>
            </w:rPr>
            <w:t>第二章  投标人须知</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_Toc5917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rPr>
            <w:fldChar w:fldCharType="end"/>
          </w:r>
          <w:r>
            <w:rPr>
              <w:rFonts w:hint="eastAsia" w:ascii="宋体" w:hAnsi="宋体" w:eastAsia="宋体" w:cs="宋体"/>
              <w:bCs/>
              <w:color w:val="auto"/>
              <w:sz w:val="24"/>
              <w:szCs w:val="52"/>
              <w:highlight w:val="none"/>
              <w:lang w:val="zh-CN"/>
            </w:rPr>
            <w:fldChar w:fldCharType="end"/>
          </w:r>
        </w:p>
        <w:p>
          <w:pPr>
            <w:pStyle w:val="21"/>
            <w:tabs>
              <w:tab w:val="right" w:leader="dot" w:pos="9072"/>
            </w:tabs>
            <w:spacing w:line="360" w:lineRule="auto"/>
            <w:rPr>
              <w:rFonts w:hint="eastAsia" w:ascii="宋体" w:hAnsi="宋体" w:eastAsia="宋体" w:cs="宋体"/>
              <w:color w:val="auto"/>
              <w:sz w:val="24"/>
              <w:szCs w:val="32"/>
              <w:highlight w:val="none"/>
            </w:rPr>
          </w:pPr>
          <w:r>
            <w:rPr>
              <w:rFonts w:hint="eastAsia" w:ascii="宋体" w:hAnsi="宋体" w:eastAsia="宋体" w:cs="宋体"/>
              <w:bCs/>
              <w:color w:val="auto"/>
              <w:sz w:val="24"/>
              <w:szCs w:val="52"/>
              <w:highlight w:val="none"/>
              <w:lang w:val="zh-CN"/>
            </w:rPr>
            <w:fldChar w:fldCharType="begin"/>
          </w:r>
          <w:r>
            <w:rPr>
              <w:rFonts w:hint="eastAsia" w:ascii="宋体" w:hAnsi="宋体" w:eastAsia="宋体" w:cs="宋体"/>
              <w:bCs/>
              <w:color w:val="auto"/>
              <w:sz w:val="24"/>
              <w:szCs w:val="52"/>
              <w:highlight w:val="none"/>
              <w:lang w:val="zh-CN"/>
            </w:rPr>
            <w:instrText xml:space="preserve"> HYPERLINK \l _Toc21927 </w:instrText>
          </w:r>
          <w:r>
            <w:rPr>
              <w:rFonts w:hint="eastAsia" w:ascii="宋体" w:hAnsi="宋体" w:eastAsia="宋体" w:cs="宋体"/>
              <w:bCs/>
              <w:color w:val="auto"/>
              <w:sz w:val="24"/>
              <w:szCs w:val="52"/>
              <w:highlight w:val="none"/>
              <w:lang w:val="zh-CN"/>
            </w:rPr>
            <w:fldChar w:fldCharType="separate"/>
          </w:r>
          <w:r>
            <w:rPr>
              <w:rFonts w:hint="eastAsia" w:ascii="宋体" w:hAnsi="宋体" w:eastAsia="宋体" w:cs="宋体"/>
              <w:color w:val="auto"/>
              <w:sz w:val="24"/>
              <w:szCs w:val="40"/>
              <w:highlight w:val="none"/>
            </w:rPr>
            <w:t>第三章  评标办法及评分标准</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_Toc21927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8</w:t>
          </w:r>
          <w:r>
            <w:rPr>
              <w:rFonts w:hint="eastAsia" w:ascii="宋体" w:hAnsi="宋体" w:eastAsia="宋体" w:cs="宋体"/>
              <w:color w:val="auto"/>
              <w:sz w:val="24"/>
              <w:szCs w:val="32"/>
              <w:highlight w:val="none"/>
            </w:rPr>
            <w:fldChar w:fldCharType="end"/>
          </w:r>
          <w:r>
            <w:rPr>
              <w:rFonts w:hint="eastAsia" w:ascii="宋体" w:hAnsi="宋体" w:eastAsia="宋体" w:cs="宋体"/>
              <w:bCs/>
              <w:color w:val="auto"/>
              <w:sz w:val="24"/>
              <w:szCs w:val="52"/>
              <w:highlight w:val="none"/>
              <w:lang w:val="zh-CN"/>
            </w:rPr>
            <w:fldChar w:fldCharType="end"/>
          </w:r>
        </w:p>
        <w:p>
          <w:pPr>
            <w:pStyle w:val="21"/>
            <w:tabs>
              <w:tab w:val="right" w:leader="dot" w:pos="9072"/>
            </w:tabs>
            <w:spacing w:line="360" w:lineRule="auto"/>
            <w:rPr>
              <w:rFonts w:hint="eastAsia" w:ascii="宋体" w:hAnsi="宋体" w:eastAsia="宋体" w:cs="宋体"/>
              <w:color w:val="auto"/>
              <w:sz w:val="24"/>
              <w:szCs w:val="32"/>
              <w:highlight w:val="none"/>
            </w:rPr>
          </w:pPr>
          <w:r>
            <w:rPr>
              <w:rFonts w:hint="eastAsia" w:ascii="宋体" w:hAnsi="宋体" w:eastAsia="宋体" w:cs="宋体"/>
              <w:bCs/>
              <w:color w:val="auto"/>
              <w:sz w:val="24"/>
              <w:szCs w:val="52"/>
              <w:highlight w:val="none"/>
              <w:lang w:val="zh-CN"/>
            </w:rPr>
            <w:fldChar w:fldCharType="begin"/>
          </w:r>
          <w:r>
            <w:rPr>
              <w:rFonts w:hint="eastAsia" w:ascii="宋体" w:hAnsi="宋体" w:eastAsia="宋体" w:cs="宋体"/>
              <w:bCs/>
              <w:color w:val="auto"/>
              <w:sz w:val="24"/>
              <w:szCs w:val="52"/>
              <w:highlight w:val="none"/>
              <w:lang w:val="zh-CN"/>
            </w:rPr>
            <w:instrText xml:space="preserve"> HYPERLINK \l _Toc26952 </w:instrText>
          </w:r>
          <w:r>
            <w:rPr>
              <w:rFonts w:hint="eastAsia" w:ascii="宋体" w:hAnsi="宋体" w:eastAsia="宋体" w:cs="宋体"/>
              <w:bCs/>
              <w:color w:val="auto"/>
              <w:sz w:val="24"/>
              <w:szCs w:val="52"/>
              <w:highlight w:val="none"/>
              <w:lang w:val="zh-CN"/>
            </w:rPr>
            <w:fldChar w:fldCharType="separate"/>
          </w:r>
          <w:r>
            <w:rPr>
              <w:rFonts w:hint="eastAsia" w:ascii="宋体" w:hAnsi="宋体" w:eastAsia="宋体" w:cs="宋体"/>
              <w:color w:val="auto"/>
              <w:sz w:val="24"/>
              <w:szCs w:val="40"/>
              <w:highlight w:val="none"/>
            </w:rPr>
            <w:t>第四章  招标需求</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_Toc26952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10</w:t>
          </w:r>
          <w:r>
            <w:rPr>
              <w:rFonts w:hint="eastAsia" w:ascii="宋体" w:hAnsi="宋体" w:eastAsia="宋体" w:cs="宋体"/>
              <w:color w:val="auto"/>
              <w:sz w:val="24"/>
              <w:szCs w:val="32"/>
              <w:highlight w:val="none"/>
            </w:rPr>
            <w:fldChar w:fldCharType="end"/>
          </w:r>
          <w:r>
            <w:rPr>
              <w:rFonts w:hint="eastAsia" w:ascii="宋体" w:hAnsi="宋体" w:eastAsia="宋体" w:cs="宋体"/>
              <w:bCs/>
              <w:color w:val="auto"/>
              <w:sz w:val="24"/>
              <w:szCs w:val="52"/>
              <w:highlight w:val="none"/>
              <w:lang w:val="zh-CN"/>
            </w:rPr>
            <w:fldChar w:fldCharType="end"/>
          </w:r>
        </w:p>
        <w:p>
          <w:pPr>
            <w:pStyle w:val="21"/>
            <w:tabs>
              <w:tab w:val="right" w:leader="dot" w:pos="9072"/>
            </w:tabs>
            <w:spacing w:line="360" w:lineRule="auto"/>
            <w:rPr>
              <w:rFonts w:hint="eastAsia" w:ascii="宋体" w:hAnsi="宋体" w:eastAsia="宋体" w:cs="宋体"/>
              <w:color w:val="auto"/>
              <w:sz w:val="24"/>
              <w:szCs w:val="32"/>
              <w:highlight w:val="none"/>
            </w:rPr>
          </w:pPr>
          <w:r>
            <w:rPr>
              <w:rFonts w:hint="eastAsia" w:ascii="宋体" w:hAnsi="宋体" w:eastAsia="宋体" w:cs="宋体"/>
              <w:bCs/>
              <w:color w:val="auto"/>
              <w:sz w:val="24"/>
              <w:szCs w:val="52"/>
              <w:highlight w:val="none"/>
              <w:lang w:val="zh-CN"/>
            </w:rPr>
            <w:fldChar w:fldCharType="begin"/>
          </w:r>
          <w:r>
            <w:rPr>
              <w:rFonts w:hint="eastAsia" w:ascii="宋体" w:hAnsi="宋体" w:eastAsia="宋体" w:cs="宋体"/>
              <w:bCs/>
              <w:color w:val="auto"/>
              <w:sz w:val="24"/>
              <w:szCs w:val="52"/>
              <w:highlight w:val="none"/>
              <w:lang w:val="zh-CN"/>
            </w:rPr>
            <w:instrText xml:space="preserve"> HYPERLINK \l _Toc31254 </w:instrText>
          </w:r>
          <w:r>
            <w:rPr>
              <w:rFonts w:hint="eastAsia" w:ascii="宋体" w:hAnsi="宋体" w:eastAsia="宋体" w:cs="宋体"/>
              <w:bCs/>
              <w:color w:val="auto"/>
              <w:sz w:val="24"/>
              <w:szCs w:val="52"/>
              <w:highlight w:val="none"/>
              <w:lang w:val="zh-CN"/>
            </w:rPr>
            <w:fldChar w:fldCharType="separate"/>
          </w:r>
          <w:r>
            <w:rPr>
              <w:rFonts w:hint="eastAsia" w:ascii="宋体" w:hAnsi="宋体" w:eastAsia="宋体" w:cs="宋体"/>
              <w:color w:val="auto"/>
              <w:sz w:val="24"/>
              <w:szCs w:val="40"/>
              <w:highlight w:val="none"/>
            </w:rPr>
            <w:t>第五章  合同文本</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_Toc31254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11</w:t>
          </w:r>
          <w:r>
            <w:rPr>
              <w:rFonts w:hint="eastAsia" w:ascii="宋体" w:hAnsi="宋体" w:eastAsia="宋体" w:cs="宋体"/>
              <w:color w:val="auto"/>
              <w:sz w:val="24"/>
              <w:szCs w:val="32"/>
              <w:highlight w:val="none"/>
            </w:rPr>
            <w:fldChar w:fldCharType="end"/>
          </w:r>
          <w:r>
            <w:rPr>
              <w:rFonts w:hint="eastAsia" w:ascii="宋体" w:hAnsi="宋体" w:eastAsia="宋体" w:cs="宋体"/>
              <w:bCs/>
              <w:color w:val="auto"/>
              <w:sz w:val="24"/>
              <w:szCs w:val="52"/>
              <w:highlight w:val="none"/>
              <w:lang w:val="zh-CN"/>
            </w:rPr>
            <w:fldChar w:fldCharType="end"/>
          </w:r>
        </w:p>
        <w:p>
          <w:pPr>
            <w:pStyle w:val="21"/>
            <w:tabs>
              <w:tab w:val="right" w:leader="dot" w:pos="9072"/>
            </w:tabs>
            <w:spacing w:line="360" w:lineRule="auto"/>
            <w:rPr>
              <w:rFonts w:hint="eastAsia" w:ascii="宋体" w:hAnsi="宋体" w:eastAsia="宋体" w:cs="宋体"/>
              <w:color w:val="auto"/>
              <w:highlight w:val="none"/>
            </w:rPr>
          </w:pPr>
          <w:r>
            <w:rPr>
              <w:rFonts w:hint="eastAsia" w:ascii="宋体" w:hAnsi="宋体" w:eastAsia="宋体" w:cs="宋体"/>
              <w:bCs/>
              <w:color w:val="auto"/>
              <w:sz w:val="24"/>
              <w:szCs w:val="52"/>
              <w:highlight w:val="none"/>
              <w:lang w:val="zh-CN"/>
            </w:rPr>
            <w:fldChar w:fldCharType="begin"/>
          </w:r>
          <w:r>
            <w:rPr>
              <w:rFonts w:hint="eastAsia" w:ascii="宋体" w:hAnsi="宋体" w:eastAsia="宋体" w:cs="宋体"/>
              <w:bCs/>
              <w:color w:val="auto"/>
              <w:sz w:val="24"/>
              <w:szCs w:val="52"/>
              <w:highlight w:val="none"/>
              <w:lang w:val="zh-CN"/>
            </w:rPr>
            <w:instrText xml:space="preserve"> HYPERLINK \l _Toc30792 </w:instrText>
          </w:r>
          <w:r>
            <w:rPr>
              <w:rFonts w:hint="eastAsia" w:ascii="宋体" w:hAnsi="宋体" w:eastAsia="宋体" w:cs="宋体"/>
              <w:bCs/>
              <w:color w:val="auto"/>
              <w:sz w:val="24"/>
              <w:szCs w:val="52"/>
              <w:highlight w:val="none"/>
              <w:lang w:val="zh-CN"/>
            </w:rPr>
            <w:fldChar w:fldCharType="separate"/>
          </w:r>
          <w:r>
            <w:rPr>
              <w:rFonts w:hint="eastAsia" w:ascii="宋体" w:hAnsi="宋体" w:eastAsia="宋体" w:cs="宋体"/>
              <w:bCs w:val="0"/>
              <w:color w:val="auto"/>
              <w:spacing w:val="0"/>
              <w:sz w:val="24"/>
              <w:szCs w:val="36"/>
              <w:highlight w:val="none"/>
              <w:lang w:val="en-US" w:eastAsia="zh-CN"/>
            </w:rPr>
            <w:t xml:space="preserve">第六章 </w:t>
          </w:r>
          <w:r>
            <w:rPr>
              <w:rFonts w:hint="eastAsia" w:ascii="宋体" w:hAnsi="宋体" w:eastAsia="宋体" w:cs="宋体"/>
              <w:color w:val="auto"/>
              <w:sz w:val="24"/>
              <w:szCs w:val="36"/>
              <w:highlight w:val="none"/>
              <w:lang w:val="en-US" w:eastAsia="zh-CN"/>
            </w:rPr>
            <w:t xml:space="preserve"> </w:t>
          </w:r>
          <w:r>
            <w:rPr>
              <w:rFonts w:hint="eastAsia" w:ascii="宋体" w:hAnsi="宋体" w:eastAsia="宋体" w:cs="宋体"/>
              <w:bCs w:val="0"/>
              <w:color w:val="auto"/>
              <w:spacing w:val="0"/>
              <w:sz w:val="24"/>
              <w:szCs w:val="36"/>
              <w:highlight w:val="none"/>
            </w:rPr>
            <w:t>投标文件格式</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_Toc30792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14</w:t>
          </w:r>
          <w:r>
            <w:rPr>
              <w:rFonts w:hint="eastAsia" w:ascii="宋体" w:hAnsi="宋体" w:eastAsia="宋体" w:cs="宋体"/>
              <w:color w:val="auto"/>
              <w:sz w:val="24"/>
              <w:szCs w:val="32"/>
              <w:highlight w:val="none"/>
            </w:rPr>
            <w:fldChar w:fldCharType="end"/>
          </w:r>
          <w:r>
            <w:rPr>
              <w:rFonts w:hint="eastAsia" w:ascii="宋体" w:hAnsi="宋体" w:eastAsia="宋体" w:cs="宋体"/>
              <w:bCs/>
              <w:color w:val="auto"/>
              <w:sz w:val="24"/>
              <w:szCs w:val="52"/>
              <w:highlight w:val="none"/>
              <w:lang w:val="zh-CN"/>
            </w:rPr>
            <w:fldChar w:fldCharType="end"/>
          </w:r>
        </w:p>
        <w:p>
          <w:pPr>
            <w:pageBreakBefore w:val="0"/>
            <w:kinsoku/>
            <w:wordWrap/>
            <w:overflowPunct/>
            <w:topLinePunct w:val="0"/>
            <w:autoSpaceDE/>
            <w:autoSpaceDN/>
            <w:bidi w:val="0"/>
            <w:adjustRightInd/>
            <w:snapToGrid/>
            <w:spacing w:line="720" w:lineRule="auto"/>
            <w:textAlignment w:val="auto"/>
            <w:rPr>
              <w:rFonts w:hint="eastAsia" w:ascii="宋体" w:hAnsi="宋体" w:eastAsia="宋体" w:cs="宋体"/>
              <w:color w:val="auto"/>
              <w:sz w:val="36"/>
              <w:szCs w:val="44"/>
              <w:highlight w:val="none"/>
              <w:lang w:val="zh-CN"/>
            </w:rPr>
          </w:pPr>
          <w:r>
            <w:rPr>
              <w:rFonts w:hint="eastAsia" w:ascii="宋体" w:hAnsi="宋体" w:eastAsia="宋体" w:cs="宋体"/>
              <w:bCs/>
              <w:color w:val="auto"/>
              <w:szCs w:val="44"/>
              <w:highlight w:val="none"/>
              <w:lang w:val="zh-CN"/>
            </w:rPr>
            <w:fldChar w:fldCharType="end"/>
          </w:r>
        </w:p>
      </w:sdtContent>
    </w:sdt>
    <w:p>
      <w:pPr>
        <w:pStyle w:val="3"/>
        <w:spacing w:before="0" w:after="0" w:line="360" w:lineRule="auto"/>
        <w:jc w:val="center"/>
        <w:rPr>
          <w:rFonts w:hint="eastAsia" w:ascii="宋体" w:hAnsi="宋体" w:eastAsia="宋体" w:cs="宋体"/>
          <w:color w:val="auto"/>
          <w:sz w:val="28"/>
          <w:szCs w:val="32"/>
          <w:highlight w:val="none"/>
        </w:rPr>
        <w:sectPr>
          <w:footerReference r:id="rId3" w:type="default"/>
          <w:pgSz w:w="11906" w:h="16838"/>
          <w:pgMar w:top="1361" w:right="1417" w:bottom="1361" w:left="1417" w:header="851" w:footer="992" w:gutter="0"/>
          <w:pgNumType w:start="1"/>
          <w:cols w:space="720" w:num="1"/>
          <w:docGrid w:type="lines" w:linePitch="312" w:charSpace="0"/>
        </w:sectPr>
      </w:pPr>
    </w:p>
    <w:p>
      <w:pPr>
        <w:pStyle w:val="3"/>
        <w:spacing w:before="0" w:after="0" w:line="360" w:lineRule="auto"/>
        <w:jc w:val="center"/>
        <w:rPr>
          <w:rFonts w:hint="eastAsia" w:ascii="宋体" w:hAnsi="宋体" w:eastAsia="宋体" w:cs="宋体"/>
          <w:color w:val="auto"/>
          <w:sz w:val="28"/>
          <w:szCs w:val="32"/>
          <w:highlight w:val="none"/>
        </w:rPr>
      </w:pPr>
      <w:bookmarkStart w:id="4" w:name="_Toc20727"/>
      <w:r>
        <w:rPr>
          <w:rFonts w:hint="eastAsia" w:ascii="宋体" w:hAnsi="宋体" w:eastAsia="宋体" w:cs="宋体"/>
          <w:color w:val="auto"/>
          <w:sz w:val="28"/>
          <w:szCs w:val="32"/>
          <w:highlight w:val="none"/>
        </w:rPr>
        <w:t>第一章  招标公告</w:t>
      </w:r>
      <w:bookmarkEnd w:id="2"/>
      <w:bookmarkEnd w:id="3"/>
      <w:bookmarkEnd w:id="4"/>
    </w:p>
    <w:p>
      <w:pPr>
        <w:spacing w:line="360" w:lineRule="auto"/>
        <w:ind w:firstLine="420"/>
        <w:rPr>
          <w:rFonts w:hint="eastAsia" w:ascii="宋体" w:hAnsi="宋体" w:eastAsia="宋体" w:cs="宋体"/>
          <w:color w:val="auto"/>
          <w:kern w:val="1"/>
          <w:highlight w:val="none"/>
        </w:rPr>
      </w:pPr>
      <w:r>
        <w:rPr>
          <w:rFonts w:hint="eastAsia" w:ascii="宋体" w:hAnsi="宋体" w:eastAsia="宋体" w:cs="宋体"/>
          <w:color w:val="auto"/>
          <w:szCs w:val="21"/>
          <w:highlight w:val="none"/>
        </w:rPr>
        <w:t>宁波安全三江工程咨询招标代理有限公司受</w:t>
      </w:r>
      <w:r>
        <w:rPr>
          <w:rFonts w:hint="eastAsia" w:ascii="宋体" w:hAnsi="宋体" w:cs="宋体"/>
          <w:color w:val="auto"/>
          <w:kern w:val="1"/>
          <w:highlight w:val="none"/>
          <w:u w:val="single"/>
          <w:lang w:eastAsia="zh-CN"/>
        </w:rPr>
        <w:t>宁波市江北区人民政府庄桥街道办事处</w:t>
      </w:r>
      <w:r>
        <w:rPr>
          <w:rFonts w:hint="eastAsia" w:ascii="宋体" w:hAnsi="宋体" w:eastAsia="宋体" w:cs="宋体"/>
          <w:color w:val="auto"/>
          <w:kern w:val="1"/>
          <w:highlight w:val="none"/>
        </w:rPr>
        <w:t>的</w:t>
      </w:r>
      <w:r>
        <w:rPr>
          <w:rFonts w:hint="eastAsia" w:ascii="宋体" w:hAnsi="宋体" w:eastAsia="宋体" w:cs="宋体"/>
          <w:color w:val="auto"/>
          <w:szCs w:val="21"/>
          <w:highlight w:val="none"/>
        </w:rPr>
        <w:t>委托，</w:t>
      </w:r>
      <w:r>
        <w:rPr>
          <w:rFonts w:hint="eastAsia" w:ascii="宋体" w:hAnsi="宋体" w:eastAsia="宋体" w:cs="宋体"/>
          <w:color w:val="auto"/>
          <w:kern w:val="1"/>
          <w:highlight w:val="none"/>
        </w:rPr>
        <w:t>对</w:t>
      </w:r>
      <w:r>
        <w:rPr>
          <w:rFonts w:hint="eastAsia" w:ascii="宋体" w:hAnsi="宋体" w:cs="宋体"/>
          <w:color w:val="auto"/>
          <w:kern w:val="1"/>
          <w:highlight w:val="none"/>
          <w:u w:val="single"/>
          <w:lang w:eastAsia="zh-CN"/>
        </w:rPr>
        <w:t>庄桥街道城市建设管理办公室基本账户银行开户项目（重招）</w:t>
      </w:r>
      <w:r>
        <w:rPr>
          <w:rFonts w:hint="eastAsia" w:ascii="宋体" w:hAnsi="宋体" w:eastAsia="宋体" w:cs="宋体"/>
          <w:color w:val="auto"/>
          <w:kern w:val="1"/>
          <w:highlight w:val="none"/>
        </w:rPr>
        <w:t>（</w:t>
      </w: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NSCG[2024]046-1</w:t>
      </w:r>
      <w:r>
        <w:rPr>
          <w:rFonts w:hint="eastAsia" w:ascii="宋体" w:hAnsi="宋体" w:eastAsia="宋体" w:cs="宋体"/>
          <w:color w:val="auto"/>
          <w:kern w:val="1"/>
          <w:highlight w:val="none"/>
        </w:rPr>
        <w:t>）</w:t>
      </w:r>
      <w:r>
        <w:rPr>
          <w:rFonts w:hint="eastAsia" w:ascii="宋体" w:hAnsi="宋体" w:eastAsia="宋体" w:cs="宋体"/>
          <w:color w:val="auto"/>
          <w:szCs w:val="21"/>
          <w:highlight w:val="none"/>
        </w:rPr>
        <w:t>采用公开招标的方式进行采购，欢迎供应商前来投标。</w:t>
      </w:r>
    </w:p>
    <w:p>
      <w:pPr>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一、项目概况</w:t>
      </w:r>
    </w:p>
    <w:tbl>
      <w:tblPr>
        <w:tblStyle w:val="27"/>
        <w:tblW w:w="4994"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845"/>
        <w:gridCol w:w="4019"/>
        <w:gridCol w:w="1087"/>
        <w:gridCol w:w="1087"/>
        <w:gridCol w:w="291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6" w:hRule="atLeast"/>
          <w:jc w:val="center"/>
        </w:trPr>
        <w:tc>
          <w:tcPr>
            <w:tcW w:w="425"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019"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内容</w:t>
            </w:r>
          </w:p>
        </w:tc>
        <w:tc>
          <w:tcPr>
            <w:tcW w:w="546"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546"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tc>
        <w:tc>
          <w:tcPr>
            <w:tcW w:w="1463"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6" w:hRule="atLeast"/>
          <w:jc w:val="center"/>
        </w:trPr>
        <w:tc>
          <w:tcPr>
            <w:tcW w:w="425"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2019"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庄桥街道城市建设管理办公室基本账户银行开户项目（重招）</w:t>
            </w:r>
          </w:p>
        </w:tc>
        <w:tc>
          <w:tcPr>
            <w:tcW w:w="546"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546"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家</w:t>
            </w:r>
          </w:p>
        </w:tc>
        <w:tc>
          <w:tcPr>
            <w:tcW w:w="1463"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六年</w:t>
            </w:r>
          </w:p>
        </w:tc>
      </w:tr>
    </w:tbl>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二、投标人的资格要求</w:t>
      </w:r>
    </w:p>
    <w:p>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00" w:firstLineChars="0"/>
        <w:rPr>
          <w:rFonts w:hint="eastAsia" w:ascii="宋体" w:hAnsi="宋体" w:eastAsia="宋体" w:cs="宋体"/>
          <w:color w:val="auto"/>
          <w:szCs w:val="21"/>
          <w:highlight w:val="none"/>
          <w:lang w:val="en"/>
        </w:rPr>
      </w:pPr>
      <w:r>
        <w:rPr>
          <w:rFonts w:hint="eastAsia" w:ascii="宋体" w:hAnsi="宋体" w:eastAsia="宋体" w:cs="宋体"/>
          <w:color w:val="auto"/>
          <w:szCs w:val="21"/>
          <w:highlight w:val="none"/>
          <w:lang w:val="en"/>
        </w:rPr>
        <w:t>投标人必须为在中华人民共和国境内依法设立且在宁波市</w:t>
      </w:r>
      <w:r>
        <w:rPr>
          <w:rFonts w:hint="eastAsia" w:ascii="宋体" w:hAnsi="宋体" w:eastAsia="宋体" w:cs="宋体"/>
          <w:color w:val="auto"/>
          <w:szCs w:val="21"/>
          <w:highlight w:val="none"/>
          <w:lang w:val="en-US" w:eastAsia="zh-CN"/>
        </w:rPr>
        <w:t>江北</w:t>
      </w:r>
      <w:r>
        <w:rPr>
          <w:rFonts w:hint="eastAsia" w:ascii="宋体" w:hAnsi="宋体" w:eastAsia="宋体" w:cs="宋体"/>
          <w:color w:val="auto"/>
          <w:szCs w:val="21"/>
          <w:highlight w:val="none"/>
          <w:lang w:val="en"/>
        </w:rPr>
        <w:t>区设有分支机构的国有商业银行、股份制商业银行、邮政储蓄银行、城市商业银行、农村信用合作联社、农村商业银行、农村合作银行及政策性银行等银行机构的总行（总机构在甬）、宁波市市级分行（总机构不在甬）或其在</w:t>
      </w:r>
      <w:r>
        <w:rPr>
          <w:rFonts w:hint="eastAsia" w:ascii="宋体" w:hAnsi="宋体" w:eastAsia="宋体" w:cs="宋体"/>
          <w:color w:val="auto"/>
          <w:szCs w:val="21"/>
          <w:highlight w:val="none"/>
          <w:lang w:val="en-US" w:eastAsia="zh-CN"/>
        </w:rPr>
        <w:t>江北</w:t>
      </w:r>
      <w:r>
        <w:rPr>
          <w:rFonts w:hint="eastAsia" w:ascii="宋体" w:hAnsi="宋体" w:eastAsia="宋体" w:cs="宋体"/>
          <w:color w:val="auto"/>
          <w:szCs w:val="21"/>
          <w:highlight w:val="none"/>
          <w:lang w:val="en"/>
        </w:rPr>
        <w:t>区设置的一级支行</w:t>
      </w:r>
      <w:r>
        <w:rPr>
          <w:rFonts w:hint="eastAsia" w:ascii="宋体" w:hAnsi="宋体" w:cs="宋体"/>
          <w:color w:val="auto"/>
          <w:szCs w:val="21"/>
          <w:highlight w:val="none"/>
          <w:lang w:val="en-US" w:eastAsia="zh-CN"/>
        </w:rPr>
        <w:t>或二级分行</w:t>
      </w:r>
      <w:r>
        <w:rPr>
          <w:rFonts w:hint="eastAsia" w:ascii="宋体" w:hAnsi="宋体" w:eastAsia="宋体" w:cs="宋体"/>
          <w:color w:val="auto"/>
          <w:szCs w:val="21"/>
          <w:highlight w:val="none"/>
          <w:lang w:val="en"/>
        </w:rPr>
        <w:t>。如属于同一家总行的分支机构有2家及以上参加投标的，投标文件中需提供总行（总机构在甬）或宁波市市级分行（总机构不在甬）针对本项目的唯一授权书（格式自拟），否则作无效标处理；</w:t>
      </w:r>
    </w:p>
    <w:p>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0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依法开展经营活动，近3年内在经营活动中无重大违法违规记录及重大违约事件； </w:t>
      </w:r>
    </w:p>
    <w:p>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投标人未被列入信用中国网站(www.creditchina.gov.cn)“记录失信被执行人或重大税收违法案件当事人名单”记录名单（以采购代理机构于投标截止日当天在信用中国网站查询结果为准，如相关失信记录已失效，投标人需提供相关证明资料；</w:t>
      </w:r>
      <w:r>
        <w:rPr>
          <w:rFonts w:hint="eastAsia" w:ascii="宋体" w:hAnsi="宋体" w:eastAsia="宋体" w:cs="宋体"/>
          <w:color w:val="auto"/>
          <w:szCs w:val="21"/>
          <w:highlight w:val="none"/>
        </w:rPr>
        <w:t>投标人如被发现列入“记录失信被执行人或重大税收违法案件当事人名单”的，则将取消其中标资格</w:t>
      </w:r>
      <w:r>
        <w:rPr>
          <w:rFonts w:hint="eastAsia" w:ascii="宋体" w:hAnsi="宋体" w:eastAsia="宋体" w:cs="宋体"/>
          <w:color w:val="auto"/>
          <w:highlight w:val="none"/>
        </w:rPr>
        <w:t>）。</w:t>
      </w:r>
    </w:p>
    <w:p>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00" w:firstLineChars="0"/>
        <w:rPr>
          <w:rFonts w:hint="eastAsia" w:ascii="宋体" w:hAnsi="宋体" w:eastAsia="宋体" w:cs="宋体"/>
          <w:color w:val="auto"/>
          <w:sz w:val="22"/>
          <w:szCs w:val="22"/>
          <w:highlight w:val="none"/>
        </w:rPr>
      </w:pPr>
      <w:r>
        <w:rPr>
          <w:rFonts w:hint="eastAsia" w:ascii="宋体" w:hAnsi="宋体" w:eastAsia="宋体" w:cs="宋体"/>
          <w:color w:val="auto"/>
          <w:szCs w:val="21"/>
          <w:highlight w:val="none"/>
        </w:rPr>
        <w:t>本项目不接受联合体投标。</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2"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b/>
          <w:bCs/>
          <w:color w:val="auto"/>
          <w:szCs w:val="21"/>
          <w:highlight w:val="none"/>
        </w:rPr>
        <w:t>三、资格审查方式：</w:t>
      </w:r>
      <w:r>
        <w:rPr>
          <w:rFonts w:hint="eastAsia" w:ascii="宋体" w:hAnsi="宋体" w:eastAsia="宋体" w:cs="宋体"/>
          <w:bCs/>
          <w:color w:val="auto"/>
          <w:szCs w:val="21"/>
          <w:highlight w:val="none"/>
        </w:rPr>
        <w:t>采用资格后审</w:t>
      </w:r>
      <w:r>
        <w:rPr>
          <w:rFonts w:hint="eastAsia" w:ascii="宋体" w:hAnsi="宋体" w:eastAsia="宋体" w:cs="宋体"/>
          <w:bCs/>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highlight w:val="none"/>
        </w:rPr>
      </w:pPr>
      <w:r>
        <w:rPr>
          <w:rFonts w:hint="eastAsia" w:ascii="宋体" w:hAnsi="宋体" w:eastAsia="宋体" w:cs="宋体"/>
          <w:b/>
          <w:bCs/>
          <w:color w:val="auto"/>
          <w:highlight w:val="none"/>
        </w:rPr>
        <w:t>四、获取招标文件的时间期限、地点、方式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bCs/>
          <w:color w:val="auto"/>
          <w:highlight w:val="none"/>
        </w:rPr>
        <w:t>获取招标文件的</w:t>
      </w:r>
      <w:r>
        <w:rPr>
          <w:rFonts w:hint="eastAsia" w:ascii="宋体" w:hAnsi="宋体" w:eastAsia="宋体" w:cs="宋体"/>
          <w:color w:val="auto"/>
          <w:highlight w:val="none"/>
        </w:rPr>
        <w:t>时间期限：自招标公告发出之日起至202</w:t>
      </w:r>
      <w:r>
        <w:rPr>
          <w:rFonts w:hint="eastAsia" w:ascii="宋体" w:hAnsi="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cs="宋体"/>
          <w:color w:val="auto"/>
          <w:highlight w:val="none"/>
          <w:lang w:val="en-US" w:eastAsia="zh-CN"/>
        </w:rPr>
        <w:t>4</w:t>
      </w:r>
      <w:r>
        <w:rPr>
          <w:rFonts w:hint="eastAsia" w:ascii="宋体" w:hAnsi="宋体" w:eastAsia="宋体" w:cs="宋体"/>
          <w:color w:val="auto"/>
          <w:highlight w:val="none"/>
        </w:rPr>
        <w:t>月</w:t>
      </w:r>
      <w:r>
        <w:rPr>
          <w:rFonts w:hint="eastAsia" w:ascii="宋体" w:hAnsi="宋体" w:cs="宋体"/>
          <w:color w:val="auto"/>
          <w:highlight w:val="none"/>
          <w:lang w:val="en-US" w:eastAsia="zh-CN"/>
        </w:rPr>
        <w:t>3</w:t>
      </w:r>
      <w:r>
        <w:rPr>
          <w:rFonts w:hint="eastAsia" w:ascii="宋体" w:hAnsi="宋体" w:eastAsia="宋体" w:cs="宋体"/>
          <w:color w:val="auto"/>
          <w:highlight w:val="none"/>
        </w:rPr>
        <w:t>日止（节假日及法定假日除外），每天上午00:00至12:00，下午12:00至23:59（北京时间）。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2.获取招标文件的地点：</w:t>
      </w:r>
      <w:r>
        <w:rPr>
          <w:rFonts w:hint="eastAsia" w:ascii="宋体" w:hAnsi="宋体" w:eastAsia="宋体" w:cs="宋体"/>
          <w:bCs/>
          <w:color w:val="auto"/>
          <w:kern w:val="0"/>
          <w:szCs w:val="21"/>
          <w:highlight w:val="none"/>
        </w:rPr>
        <w:t>（网址）https://www.zcygov.cn</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报名方式：本项目实行网上报名，不接受现场报名。投标银行登录政采云平台（https://www.zcygov.cn）,进入公款竞争性存放招标系统（以下简称“招标系统”），在竞标项目内按规定进行报名。第一步：选择本期招标项目，第二步：填写报名信息。报名成功后联系人会收到短信通知，逾期报名视为未报名。</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5"/>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4.投标人只有在政府采购云平台完成获取招标文件申请并下载了招标文件后才视作依法获取招标文件（法律法规所指的投标人获取招标文件时间以投标人完成获取招标文件申请后下载招标文件的时间为准）。</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5"/>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注意事项：还未在政府采购云平台完成帐号注册的投标人，请参照《银行入驻手册--公款竞争性存放平台》完成入驻。入驻审核通过后方能参与线上报名、投标等操作。</w:t>
      </w:r>
    </w:p>
    <w:p>
      <w:pPr>
        <w:keepNext w:val="0"/>
        <w:keepLines w:val="0"/>
        <w:pageBreakBefore w:val="0"/>
        <w:widowControl w:val="0"/>
        <w:kinsoku/>
        <w:wordWrap/>
        <w:overflowPunct/>
        <w:topLinePunct w:val="0"/>
        <w:autoSpaceDE/>
        <w:autoSpaceDN/>
        <w:bidi w:val="0"/>
        <w:adjustRightInd/>
        <w:snapToGrid/>
        <w:spacing w:line="360" w:lineRule="auto"/>
        <w:ind w:firstLine="474" w:firstLineChars="225"/>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五、投标截止时间、开标时间和地点</w:t>
      </w:r>
    </w:p>
    <w:p>
      <w:pPr>
        <w:keepNext w:val="0"/>
        <w:keepLines w:val="0"/>
        <w:pageBreakBefore w:val="0"/>
        <w:widowControl w:val="0"/>
        <w:tabs>
          <w:tab w:val="left" w:pos="315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提交投标文件截止时间：202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日1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00</w:t>
      </w:r>
      <w:r>
        <w:rPr>
          <w:rFonts w:hint="eastAsia" w:ascii="宋体" w:hAnsi="宋体" w:eastAsia="宋体" w:cs="宋体"/>
          <w:color w:val="auto"/>
          <w:szCs w:val="21"/>
          <w:highlight w:val="none"/>
        </w:rPr>
        <w:t>（北京时间）</w:t>
      </w:r>
    </w:p>
    <w:p>
      <w:pPr>
        <w:keepNext w:val="0"/>
        <w:keepLines w:val="0"/>
        <w:pageBreakBefore w:val="0"/>
        <w:widowControl w:val="0"/>
        <w:tabs>
          <w:tab w:val="left" w:pos="315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地点（网址）：宁波市江北区公共资源交易中心开标室（江北区育才路138号北投大厦南楼7楼）。供应商应于上述时间前将电子投标文件上传到政府采购云平台www.zcygov.cn，未上传电子投标文件，视为供应商放弃投标。</w:t>
      </w:r>
      <w:bookmarkStart w:id="75" w:name="_GoBack"/>
      <w:bookmarkEnd w:id="75"/>
    </w:p>
    <w:p>
      <w:pPr>
        <w:keepNext w:val="0"/>
        <w:keepLines w:val="0"/>
        <w:pageBreakBefore w:val="0"/>
        <w:widowControl w:val="0"/>
        <w:tabs>
          <w:tab w:val="left" w:pos="3150"/>
        </w:tabs>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开标时间：202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日1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00</w:t>
      </w:r>
    </w:p>
    <w:p>
      <w:pPr>
        <w:keepNext w:val="0"/>
        <w:keepLines w:val="0"/>
        <w:pageBreakBefore w:val="0"/>
        <w:widowControl w:val="0"/>
        <w:tabs>
          <w:tab w:val="left" w:pos="315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开标地点（网址）：宁波市江北区公共资源交易中心开标室（江北区育才路138号北投大厦南楼7楼）。</w:t>
      </w:r>
    </w:p>
    <w:p>
      <w:pPr>
        <w:keepNext w:val="0"/>
        <w:keepLines w:val="0"/>
        <w:pageBreakBefore w:val="0"/>
        <w:widowControl w:val="0"/>
        <w:tabs>
          <w:tab w:val="left" w:pos="3150"/>
        </w:tabs>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六、公告期限</w:t>
      </w:r>
    </w:p>
    <w:p>
      <w:pPr>
        <w:keepNext w:val="0"/>
        <w:keepLines w:val="0"/>
        <w:pageBreakBefore w:val="0"/>
        <w:widowControl w:val="0"/>
        <w:tabs>
          <w:tab w:val="left" w:pos="315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自本公告发布之日起5个工作日。</w:t>
      </w:r>
    </w:p>
    <w:p>
      <w:pPr>
        <w:keepNext w:val="0"/>
        <w:keepLines w:val="0"/>
        <w:pageBreakBefore w:val="0"/>
        <w:widowControl w:val="0"/>
        <w:tabs>
          <w:tab w:val="left" w:pos="3150"/>
        </w:tabs>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color w:val="auto"/>
          <w:szCs w:val="21"/>
          <w:highlight w:val="none"/>
        </w:rPr>
        <w:t>七、</w:t>
      </w:r>
      <w:r>
        <w:rPr>
          <w:rFonts w:hint="eastAsia" w:ascii="宋体" w:hAnsi="宋体" w:eastAsia="宋体" w:cs="宋体"/>
          <w:b/>
          <w:bCs/>
          <w:color w:val="auto"/>
          <w:kern w:val="0"/>
          <w:szCs w:val="21"/>
          <w:highlight w:val="none"/>
        </w:rPr>
        <w:t>注意事项：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依法获取本项目招标文件及投标响应，潜在投标人应当按照《浙江省政府采购供应商注册及诚信管理暂行办法》的规定在“浙江政府采购网(http://zfcg.czt.zj.gov.cn/)”政采云平台注册登记,应在投标报名前提交政府采购云平台（https://www.zcygov.cn/）银行入驻申请并成为公款存放正式供应商，否则无法参与线上公款竞争性存放业务。如未进行银行入驻，请登录以下网址https://middle.zcygov.cn/v-settle-front/registry?settleCategory=1&amp;entranceType=50（银行入驻注册页面）完成入驻,并通过身份认证（CA数字证书申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2.网上电子投标具体流程详见操作指南：登录政府采购云平台（https://www.zcygov.cn/），从首页-服务中心-帮助文档-公款竞争性存放-操作流程，查看文档。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3.若对项目采购电子交易系统操作有疑问，可登录政采云（https://www.zcygov.cn/），点击右侧咨询小采，获取采小蜜智能服务管家帮助，或拨打政采云服务热线</w:t>
      </w:r>
      <w:r>
        <w:rPr>
          <w:rFonts w:hint="eastAsia" w:ascii="宋体" w:hAnsi="宋体" w:cs="宋体"/>
          <w:color w:val="auto"/>
          <w:szCs w:val="21"/>
          <w:highlight w:val="none"/>
          <w:lang w:val="en-US" w:eastAsia="zh-CN"/>
        </w:rPr>
        <w:t>95763</w:t>
      </w:r>
      <w:r>
        <w:rPr>
          <w:rFonts w:hint="eastAsia" w:ascii="宋体" w:hAnsi="宋体" w:eastAsia="宋体" w:cs="宋体"/>
          <w:color w:val="auto"/>
          <w:szCs w:val="21"/>
          <w:highlight w:val="none"/>
        </w:rPr>
        <w:t>获取热线服务帮助。</w:t>
      </w:r>
    </w:p>
    <w:p>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4.本公告发布媒体：</w:t>
      </w:r>
      <w:bookmarkStart w:id="5" w:name="_Hlk109980689"/>
      <w:r>
        <w:rPr>
          <w:rFonts w:hint="eastAsia" w:ascii="宋体" w:hAnsi="宋体" w:eastAsia="宋体" w:cs="宋体"/>
          <w:color w:val="auto"/>
          <w:kern w:val="2"/>
          <w:sz w:val="21"/>
          <w:szCs w:val="21"/>
          <w:highlight w:val="none"/>
        </w:rPr>
        <w:t>浙江政府采购网、宁波政府采购网、宁波市公共资源交易网江北区分网。</w:t>
      </w:r>
    </w:p>
    <w:bookmarkEnd w:id="5"/>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b/>
          <w:color w:val="auto"/>
          <w:szCs w:val="21"/>
          <w:highlight w:val="none"/>
        </w:rPr>
        <w:t>八、招标人及招标代理机构的名称、地址和联系方法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宁波市江北区人民政府庄桥街道办事处</w:t>
      </w:r>
      <w:r>
        <w:rPr>
          <w:rFonts w:hint="eastAsia" w:ascii="宋体" w:hAnsi="宋体" w:eastAsia="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项目联系人（询问）：祝</w:t>
      </w:r>
      <w:r>
        <w:rPr>
          <w:rFonts w:hint="eastAsia" w:ascii="宋体" w:hAnsi="宋体" w:cs="宋体"/>
          <w:color w:val="auto"/>
          <w:szCs w:val="21"/>
          <w:highlight w:val="none"/>
          <w:lang w:val="en-US" w:eastAsia="zh-CN"/>
        </w:rPr>
        <w:t>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项目联系方式（询问）：0574-83021133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联系地址：</w:t>
      </w:r>
      <w:r>
        <w:rPr>
          <w:rFonts w:hint="eastAsia" w:ascii="宋体" w:hAnsi="宋体" w:cs="宋体"/>
          <w:color w:val="auto"/>
          <w:szCs w:val="21"/>
          <w:highlight w:val="none"/>
          <w:lang w:val="en-US" w:eastAsia="zh-CN"/>
        </w:rPr>
        <w:t>宁波市江北区北环西路500号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代理机构信息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名称：宁波安全三江工程咨询招标代理有限公司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地址：宁波市江北区环城北路西段207弄19号世茂日湖中心1号楼15楼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传真：0574-87197845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项目联系人（询问）：</w:t>
      </w:r>
      <w:r>
        <w:rPr>
          <w:rFonts w:hint="eastAsia" w:ascii="宋体" w:hAnsi="宋体" w:eastAsia="宋体" w:cs="宋体"/>
          <w:color w:val="auto"/>
          <w:szCs w:val="21"/>
          <w:highlight w:val="none"/>
          <w:lang w:eastAsia="zh-CN"/>
        </w:rPr>
        <w:t>刘翠央、姚飒、李娜</w:t>
      </w:r>
      <w:r>
        <w:rPr>
          <w:rFonts w:hint="eastAsia" w:ascii="宋体" w:hAnsi="宋体" w:eastAsia="宋体" w:cs="宋体"/>
          <w:color w:val="auto"/>
          <w:szCs w:val="21"/>
          <w:highlight w:val="none"/>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项目联系方式（询问）：</w:t>
      </w:r>
      <w:r>
        <w:rPr>
          <w:rFonts w:hint="eastAsia" w:ascii="宋体" w:hAnsi="宋体" w:eastAsia="宋体" w:cs="宋体"/>
          <w:color w:val="auto"/>
          <w:szCs w:val="21"/>
          <w:highlight w:val="none"/>
          <w:lang w:eastAsia="zh-CN"/>
        </w:rPr>
        <w:t>0574－87281165</w:t>
      </w:r>
      <w:r>
        <w:rPr>
          <w:rFonts w:hint="eastAsia" w:ascii="宋体" w:hAnsi="宋体" w:eastAsia="宋体" w:cs="宋体"/>
          <w:color w:val="auto"/>
          <w:szCs w:val="21"/>
          <w:highlight w:val="none"/>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质疑联系人：李娜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质疑联系方式：</w:t>
      </w:r>
      <w:r>
        <w:rPr>
          <w:rFonts w:hint="eastAsia" w:ascii="宋体" w:hAnsi="宋体" w:eastAsia="宋体" w:cs="宋体"/>
          <w:color w:val="auto"/>
          <w:szCs w:val="21"/>
          <w:highlight w:val="none"/>
          <w:lang w:eastAsia="zh-CN"/>
        </w:rPr>
        <w:t>0574－87281165</w:t>
      </w:r>
      <w:bookmarkEnd w:id="0"/>
    </w:p>
    <w:p>
      <w:pPr>
        <w:pStyle w:val="35"/>
        <w:rPr>
          <w:rFonts w:hint="eastAsia" w:ascii="宋体" w:hAnsi="宋体" w:eastAsia="宋体" w:cs="宋体"/>
          <w:color w:val="auto"/>
          <w:highlight w:val="none"/>
        </w:rPr>
      </w:pPr>
    </w:p>
    <w:p>
      <w:pPr>
        <w:pStyle w:val="35"/>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spacing w:before="0" w:after="0" w:line="360" w:lineRule="auto"/>
        <w:jc w:val="center"/>
        <w:rPr>
          <w:rFonts w:hint="eastAsia" w:ascii="宋体" w:hAnsi="宋体" w:eastAsia="宋体" w:cs="宋体"/>
          <w:color w:val="auto"/>
          <w:sz w:val="28"/>
          <w:szCs w:val="32"/>
          <w:highlight w:val="none"/>
        </w:rPr>
      </w:pPr>
      <w:bookmarkStart w:id="6" w:name="_Toc5917"/>
      <w:r>
        <w:rPr>
          <w:rFonts w:hint="eastAsia" w:ascii="宋体" w:hAnsi="宋体" w:eastAsia="宋体" w:cs="宋体"/>
          <w:color w:val="auto"/>
          <w:sz w:val="28"/>
          <w:szCs w:val="32"/>
          <w:highlight w:val="none"/>
        </w:rPr>
        <w:t>第二章  投标人须知</w:t>
      </w:r>
      <w:bookmarkEnd w:id="6"/>
    </w:p>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前附表</w:t>
      </w:r>
    </w:p>
    <w:tbl>
      <w:tblPr>
        <w:tblStyle w:val="27"/>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11"/>
        <w:gridCol w:w="90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4542"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542"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项目名称及数量：</w:t>
            </w:r>
            <w:r>
              <w:rPr>
                <w:rFonts w:hint="eastAsia" w:ascii="宋体" w:hAnsi="宋体" w:eastAsia="宋体" w:cs="宋体"/>
                <w:bCs/>
                <w:color w:val="auto"/>
                <w:szCs w:val="21"/>
                <w:highlight w:val="none"/>
              </w:rPr>
              <w:t>详见《</w:t>
            </w:r>
            <w:r>
              <w:rPr>
                <w:rFonts w:hint="eastAsia" w:ascii="宋体" w:hAnsi="宋体" w:eastAsia="宋体" w:cs="宋体"/>
                <w:bCs/>
                <w:color w:val="auto"/>
                <w:szCs w:val="21"/>
                <w:highlight w:val="none"/>
                <w:lang w:eastAsia="zh-CN"/>
              </w:rPr>
              <w:t>招标公告</w:t>
            </w:r>
            <w:r>
              <w:rPr>
                <w:rFonts w:hint="eastAsia" w:ascii="宋体" w:hAnsi="宋体" w:eastAsia="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4542"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是否接受转包与分包：否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4542"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是否接受联合体投标：否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4542"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是否演示：否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454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w:t>
            </w:r>
            <w:r>
              <w:rPr>
                <w:rFonts w:hint="eastAsia" w:ascii="宋体" w:hAnsi="宋体" w:eastAsia="宋体" w:cs="宋体"/>
                <w:bCs/>
                <w:color w:val="auto"/>
                <w:szCs w:val="21"/>
                <w:highlight w:val="none"/>
              </w:rPr>
              <w:t>详见《</w:t>
            </w:r>
            <w:r>
              <w:rPr>
                <w:rFonts w:hint="eastAsia" w:ascii="宋体" w:hAnsi="宋体" w:eastAsia="宋体" w:cs="宋体"/>
                <w:bCs/>
                <w:color w:val="auto"/>
                <w:szCs w:val="21"/>
                <w:highlight w:val="none"/>
                <w:lang w:eastAsia="zh-CN"/>
              </w:rPr>
              <w:t>招标公告</w:t>
            </w:r>
            <w:r>
              <w:rPr>
                <w:rFonts w:hint="eastAsia" w:ascii="宋体" w:hAnsi="宋体" w:eastAsia="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454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开标地点：详见《</w:t>
            </w:r>
            <w:r>
              <w:rPr>
                <w:rFonts w:hint="eastAsia" w:ascii="宋体" w:hAnsi="宋体" w:eastAsia="宋体" w:cs="宋体"/>
                <w:color w:val="auto"/>
                <w:szCs w:val="21"/>
                <w:highlight w:val="none"/>
                <w:lang w:eastAsia="zh-CN"/>
              </w:rPr>
              <w:t>招标公告</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pct"/>
            <w:tcBorders>
              <w:top w:val="single" w:color="auto" w:sz="4" w:space="0"/>
              <w:left w:val="single" w:color="auto" w:sz="4" w:space="0"/>
              <w:right w:val="single" w:color="auto" w:sz="4" w:space="0"/>
            </w:tcBorders>
            <w:vAlign w:val="center"/>
          </w:tcPr>
          <w:p>
            <w:pPr>
              <w:snapToGrid w:val="0"/>
              <w:spacing w:line="4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4542" w:type="pct"/>
            <w:tcBorders>
              <w:top w:val="single" w:color="auto" w:sz="4" w:space="0"/>
              <w:left w:val="single" w:color="auto" w:sz="4" w:space="0"/>
              <w:right w:val="single" w:color="auto" w:sz="4" w:space="0"/>
            </w:tcBorders>
            <w:vAlign w:val="center"/>
          </w:tcPr>
          <w:p>
            <w:pPr>
              <w:autoSpaceDE w:val="0"/>
              <w:autoSpaceDN w:val="0"/>
              <w:snapToGrid w:val="0"/>
              <w:spacing w:line="46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投标文件组成：</w:t>
            </w:r>
          </w:p>
          <w:p>
            <w:pPr>
              <w:autoSpaceDE w:val="0"/>
              <w:autoSpaceDN w:val="0"/>
              <w:snapToGrid w:val="0"/>
              <w:spacing w:line="460" w:lineRule="exact"/>
              <w:textAlignment w:val="bottom"/>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▲（1）供应商须于投标截止时间前于“政采云”上传电子投标文件</w:t>
            </w:r>
            <w:r>
              <w:rPr>
                <w:rFonts w:hint="eastAsia" w:ascii="宋体" w:hAnsi="宋体" w:eastAsia="宋体" w:cs="宋体"/>
                <w:color w:val="auto"/>
                <w:szCs w:val="21"/>
                <w:highlight w:val="none"/>
                <w:lang w:eastAsia="zh-CN"/>
              </w:rPr>
              <w:t>。</w:t>
            </w:r>
          </w:p>
          <w:p>
            <w:pPr>
              <w:autoSpaceDE w:val="0"/>
              <w:autoSpaceDN w:val="0"/>
              <w:snapToGrid w:val="0"/>
              <w:spacing w:line="46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（2）纸质投标文件：中标人须在中标后提供投标文件正本1份，副本4份。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454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评标结果公示：中标公告公示于浙江政府采购网、宁波政府采购网、宁波市公共资源交易网江北区分网并发布中标通知书。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454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签订协议时间：中标通知书发出后30日内。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4542"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投标文件有效期</w:t>
            </w:r>
            <w:r>
              <w:rPr>
                <w:rFonts w:hint="eastAsia" w:ascii="宋体" w:hAnsi="宋体" w:eastAsia="宋体" w:cs="宋体"/>
                <w:color w:val="auto"/>
                <w:szCs w:val="21"/>
                <w:highlight w:val="none"/>
                <w:lang w:eastAsia="zh-CN"/>
              </w:rPr>
              <w:t>：投标截止日起90</w:t>
            </w:r>
            <w:r>
              <w:rPr>
                <w:rFonts w:hint="eastAsia" w:ascii="宋体" w:hAnsi="宋体" w:eastAsia="宋体" w:cs="宋体"/>
                <w:color w:val="auto"/>
                <w:szCs w:val="21"/>
                <w:highlight w:val="none"/>
                <w:lang w:val="en-US" w:eastAsia="zh-CN"/>
              </w:rPr>
              <w:t>日历</w:t>
            </w:r>
            <w:r>
              <w:rPr>
                <w:rFonts w:hint="eastAsia" w:ascii="宋体" w:hAnsi="宋体" w:eastAsia="宋体" w:cs="宋体"/>
                <w:color w:val="auto"/>
                <w:szCs w:val="21"/>
                <w:highlight w:val="none"/>
                <w:lang w:eastAsia="zh-CN"/>
              </w:rPr>
              <w:t>天</w:t>
            </w:r>
            <w:r>
              <w:rPr>
                <w:rFonts w:hint="eastAsia" w:ascii="宋体" w:hAnsi="宋体" w:eastAsia="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4542"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投标保证金金额：本项目无保证金</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4542"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中标服务费：招标代理机构按照宁波市中介超市网就本项目竞报价格</w:t>
            </w:r>
            <w:r>
              <w:rPr>
                <w:rFonts w:hint="eastAsia" w:ascii="宋体" w:hAnsi="宋体" w:cs="宋体"/>
                <w:color w:val="auto"/>
                <w:szCs w:val="21"/>
                <w:highlight w:val="none"/>
                <w:lang w:val="en-US" w:eastAsia="zh-CN"/>
              </w:rPr>
              <w:t>10000元</w:t>
            </w:r>
            <w:r>
              <w:rPr>
                <w:rFonts w:hint="eastAsia" w:ascii="宋体" w:hAnsi="宋体" w:eastAsia="宋体" w:cs="宋体"/>
                <w:color w:val="auto"/>
                <w:szCs w:val="21"/>
                <w:highlight w:val="none"/>
              </w:rPr>
              <w:t>向中标人进行收取。此费用在中标通知书发出前缴纳。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4542"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解释：招标文件的解释权属于招标人和招标代理机构。</w:t>
            </w:r>
          </w:p>
        </w:tc>
      </w:tr>
    </w:tbl>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Cs w:val="21"/>
          <w:highlight w:val="none"/>
        </w:rPr>
        <w:t>一、总  则</w:t>
      </w:r>
    </w:p>
    <w:p>
      <w:pPr>
        <w:keepNext w:val="0"/>
        <w:keepLines w:val="0"/>
        <w:pageBreakBefore w:val="0"/>
        <w:kinsoku/>
        <w:wordWrap/>
        <w:overflowPunct/>
        <w:topLinePunct w:val="0"/>
        <w:autoSpaceDE/>
        <w:autoSpaceDN/>
        <w:bidi w:val="0"/>
        <w:adjustRightInd/>
        <w:snapToGrid/>
        <w:spacing w:line="360" w:lineRule="auto"/>
        <w:ind w:firstLine="312" w:firstLineChars="148"/>
        <w:textAlignment w:val="auto"/>
        <w:outlineLvl w:val="9"/>
        <w:rPr>
          <w:rFonts w:hint="eastAsia" w:ascii="宋体" w:hAnsi="宋体" w:eastAsia="宋体" w:cs="宋体"/>
          <w:b/>
          <w:color w:val="auto"/>
          <w:szCs w:val="21"/>
          <w:highlight w:val="none"/>
        </w:rPr>
      </w:pPr>
      <w:bookmarkStart w:id="7" w:name="_Toc76572270"/>
      <w:bookmarkStart w:id="8" w:name="_Toc9209"/>
      <w:bookmarkStart w:id="9" w:name="_Toc110006419"/>
      <w:r>
        <w:rPr>
          <w:rFonts w:hint="eastAsia" w:ascii="宋体" w:hAnsi="宋体" w:eastAsia="宋体" w:cs="宋体"/>
          <w:b/>
          <w:color w:val="auto"/>
          <w:szCs w:val="21"/>
          <w:highlight w:val="none"/>
        </w:rPr>
        <w:t>（一） 适用范围</w:t>
      </w:r>
      <w:bookmarkEnd w:id="7"/>
      <w:bookmarkEnd w:id="8"/>
      <w:bookmarkEnd w:id="9"/>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仅适用于本次招标文件中采购项目的招标、投标、评标、定标、合同履约等行为（法律、法规另有规定的，从其规定）。</w:t>
      </w:r>
    </w:p>
    <w:p>
      <w:pPr>
        <w:keepNext w:val="0"/>
        <w:keepLines w:val="0"/>
        <w:pageBreakBefore w:val="0"/>
        <w:kinsoku/>
        <w:wordWrap/>
        <w:overflowPunct/>
        <w:topLinePunct w:val="0"/>
        <w:autoSpaceDE/>
        <w:autoSpaceDN/>
        <w:bidi w:val="0"/>
        <w:adjustRightInd/>
        <w:snapToGrid/>
        <w:spacing w:line="360" w:lineRule="auto"/>
        <w:ind w:firstLine="310" w:firstLineChars="147"/>
        <w:textAlignment w:val="auto"/>
        <w:outlineLvl w:val="9"/>
        <w:rPr>
          <w:rFonts w:hint="eastAsia" w:ascii="宋体" w:hAnsi="宋体" w:eastAsia="宋体" w:cs="宋体"/>
          <w:b/>
          <w:color w:val="auto"/>
          <w:szCs w:val="21"/>
          <w:highlight w:val="none"/>
        </w:rPr>
      </w:pPr>
      <w:bookmarkStart w:id="10" w:name="_Toc110006420"/>
      <w:bookmarkStart w:id="11" w:name="_Toc21621"/>
      <w:bookmarkStart w:id="12" w:name="_Toc76572271"/>
      <w:r>
        <w:rPr>
          <w:rFonts w:hint="eastAsia" w:ascii="宋体" w:hAnsi="宋体" w:eastAsia="宋体" w:cs="宋体"/>
          <w:b/>
          <w:color w:val="auto"/>
          <w:szCs w:val="21"/>
          <w:highlight w:val="none"/>
        </w:rPr>
        <w:t>（二）定义</w:t>
      </w:r>
      <w:bookmarkEnd w:id="10"/>
      <w:bookmarkEnd w:id="11"/>
      <w:bookmarkEnd w:id="12"/>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0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“招标代理机构”系指组织本次招标的宁波安全三江工程咨询招标代理有限公司。</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0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“投标人”系指向招标方提交投标文件的单位。</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0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 系指</w:t>
      </w:r>
      <w:r>
        <w:rPr>
          <w:rFonts w:hint="eastAsia" w:ascii="宋体" w:hAnsi="宋体" w:cs="宋体"/>
          <w:color w:val="auto"/>
          <w:szCs w:val="21"/>
          <w:highlight w:val="none"/>
          <w:lang w:eastAsia="zh-CN"/>
        </w:rPr>
        <w:t>宁波市江北区人民政府庄桥街道办事处</w:t>
      </w:r>
      <w:r>
        <w:rPr>
          <w:rFonts w:hint="eastAsia" w:ascii="宋体" w:hAnsi="宋体" w:eastAsia="宋体" w:cs="宋体"/>
          <w:color w:val="auto"/>
          <w:szCs w:val="21"/>
          <w:highlight w:val="none"/>
        </w:rPr>
        <w:t>。</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0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“项目”系指投标人按招标文件规定向招标人提供的产品和服务。</w:t>
      </w:r>
    </w:p>
    <w:p>
      <w:pPr>
        <w:keepNext w:val="0"/>
        <w:keepLines w:val="0"/>
        <w:pageBreakBefore w:val="0"/>
        <w:kinsoku/>
        <w:wordWrap/>
        <w:overflowPunct/>
        <w:topLinePunct w:val="0"/>
        <w:autoSpaceDE/>
        <w:autoSpaceDN/>
        <w:bidi w:val="0"/>
        <w:adjustRightInd/>
        <w:snapToGrid/>
        <w:spacing w:line="360" w:lineRule="auto"/>
        <w:ind w:firstLine="413" w:firstLineChars="196"/>
        <w:textAlignment w:val="auto"/>
        <w:outlineLvl w:val="9"/>
        <w:rPr>
          <w:rFonts w:hint="eastAsia" w:ascii="宋体" w:hAnsi="宋体" w:eastAsia="宋体" w:cs="宋体"/>
          <w:b/>
          <w:color w:val="auto"/>
          <w:szCs w:val="21"/>
          <w:highlight w:val="none"/>
        </w:rPr>
      </w:pPr>
      <w:bookmarkStart w:id="13" w:name="_Toc76572272"/>
      <w:bookmarkStart w:id="14" w:name="_Toc15282"/>
      <w:bookmarkStart w:id="15" w:name="_Toc110006421"/>
      <w:r>
        <w:rPr>
          <w:rFonts w:hint="eastAsia" w:ascii="宋体" w:hAnsi="宋体" w:eastAsia="宋体" w:cs="宋体"/>
          <w:b/>
          <w:color w:val="auto"/>
          <w:szCs w:val="21"/>
          <w:highlight w:val="none"/>
        </w:rPr>
        <w:t>（三）投标委托</w:t>
      </w:r>
      <w:bookmarkEnd w:id="13"/>
      <w:bookmarkEnd w:id="14"/>
      <w:bookmarkEnd w:id="15"/>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全权代表须携带有效身份证件。如全权代表不是法定代表人或负责人，须有投标银行法定代表人或负责人出具的授权委托书（正本用原件，副本用复印件，格式见附件）。</w:t>
      </w:r>
    </w:p>
    <w:p>
      <w:pPr>
        <w:keepNext w:val="0"/>
        <w:keepLines w:val="0"/>
        <w:pageBreakBefore w:val="0"/>
        <w:kinsoku/>
        <w:wordWrap/>
        <w:overflowPunct/>
        <w:topLinePunct w:val="0"/>
        <w:autoSpaceDE/>
        <w:autoSpaceDN/>
        <w:bidi w:val="0"/>
        <w:adjustRightInd/>
        <w:snapToGrid/>
        <w:spacing w:line="360" w:lineRule="auto"/>
        <w:ind w:firstLine="413" w:firstLineChars="196"/>
        <w:textAlignment w:val="auto"/>
        <w:outlineLvl w:val="9"/>
        <w:rPr>
          <w:rFonts w:hint="eastAsia" w:ascii="宋体" w:hAnsi="宋体" w:eastAsia="宋体" w:cs="宋体"/>
          <w:b/>
          <w:color w:val="auto"/>
          <w:szCs w:val="21"/>
          <w:highlight w:val="none"/>
        </w:rPr>
      </w:pPr>
      <w:bookmarkStart w:id="16" w:name="_Toc22873"/>
      <w:bookmarkStart w:id="17" w:name="_Toc110006422"/>
      <w:bookmarkStart w:id="18" w:name="_Toc76572273"/>
      <w:r>
        <w:rPr>
          <w:rFonts w:hint="eastAsia" w:ascii="宋体" w:hAnsi="宋体" w:eastAsia="宋体" w:cs="宋体"/>
          <w:b/>
          <w:color w:val="auto"/>
          <w:szCs w:val="21"/>
          <w:highlight w:val="none"/>
        </w:rPr>
        <w:t>（四）特别说明：</w:t>
      </w:r>
      <w:bookmarkEnd w:id="16"/>
      <w:bookmarkEnd w:id="17"/>
      <w:bookmarkEnd w:id="18"/>
    </w:p>
    <w:p>
      <w:pPr>
        <w:pStyle w:val="15"/>
        <w:keepNext w:val="0"/>
        <w:keepLines w:val="0"/>
        <w:pageBreakBefore w:val="0"/>
        <w:kinsoku/>
        <w:wordWrap/>
        <w:overflowPunct/>
        <w:topLinePunct w:val="0"/>
        <w:autoSpaceDE/>
        <w:autoSpaceDN/>
        <w:bidi w:val="0"/>
        <w:adjustRightInd/>
        <w:snapToGrid/>
        <w:spacing w:line="360" w:lineRule="auto"/>
        <w:ind w:left="2" w:leftChars="1"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投标人应仔细阅读招标文件的所有内容，按照招标文件的要求提交投标文件，并对所提供的全部资料的真实性承担法律责任。</w:t>
      </w:r>
    </w:p>
    <w:p>
      <w:pPr>
        <w:pStyle w:val="15"/>
        <w:keepNext w:val="0"/>
        <w:keepLines w:val="0"/>
        <w:pageBreakBefore w:val="0"/>
        <w:kinsoku/>
        <w:wordWrap/>
        <w:overflowPunct/>
        <w:topLinePunct w:val="0"/>
        <w:autoSpaceDE/>
        <w:autoSpaceDN/>
        <w:bidi w:val="0"/>
        <w:adjustRightInd/>
        <w:snapToGrid/>
        <w:spacing w:line="360" w:lineRule="auto"/>
        <w:ind w:firstLine="413" w:firstLineChars="196"/>
        <w:textAlignment w:val="auto"/>
        <w:outlineLvl w:val="9"/>
        <w:rPr>
          <w:rFonts w:hint="eastAsia" w:ascii="宋体" w:hAnsi="宋体" w:eastAsia="宋体" w:cs="宋体"/>
          <w:b/>
          <w:bCs/>
          <w:color w:val="auto"/>
          <w:szCs w:val="21"/>
          <w:highlight w:val="none"/>
        </w:rPr>
      </w:pPr>
      <w:bookmarkStart w:id="19" w:name="_Toc76572274"/>
      <w:bookmarkStart w:id="20" w:name="_Toc110006423"/>
      <w:bookmarkStart w:id="21" w:name="_Toc3578"/>
      <w:r>
        <w:rPr>
          <w:rFonts w:hint="eastAsia" w:ascii="宋体" w:hAnsi="宋体" w:eastAsia="宋体" w:cs="宋体"/>
          <w:b/>
          <w:bCs/>
          <w:color w:val="auto"/>
          <w:szCs w:val="21"/>
          <w:highlight w:val="none"/>
        </w:rPr>
        <w:t>（五）</w:t>
      </w:r>
      <w:bookmarkEnd w:id="19"/>
      <w:r>
        <w:rPr>
          <w:rFonts w:hint="eastAsia" w:ascii="宋体" w:hAnsi="宋体" w:eastAsia="宋体" w:cs="宋体"/>
          <w:b/>
          <w:bCs/>
          <w:color w:val="auto"/>
          <w:szCs w:val="21"/>
          <w:highlight w:val="none"/>
        </w:rPr>
        <w:t>质疑和投诉</w:t>
      </w:r>
      <w:bookmarkEnd w:id="20"/>
      <w:bookmarkEnd w:id="21"/>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潜在投标人或者其他利害关系人对招标文件有异议的，应当在投标截止时间10日前提出。招标人应当自收到异议之日起3日内作出答复。</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投标人或者其他利害关系人对依法必须进行招标的项目的评标结果有异议的，应当在中标候选人公示期间提出。招标人应当自收到异议之日起3日内作出答复；作出答复前，应当暂停招标投标活动。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投标人或者其他利害关系人认为招标投标活动不符合法律、行政法规规定的，可以自知道或者应当知道之日起10日内向有关行政监督部门投诉。投诉应当有明确的请求和必要的证明材料。</w:t>
      </w:r>
    </w:p>
    <w:p>
      <w:pPr>
        <w:pStyle w:val="15"/>
        <w:keepNext w:val="0"/>
        <w:keepLines w:val="0"/>
        <w:pageBreakBefore w:val="0"/>
        <w:kinsoku/>
        <w:wordWrap/>
        <w:overflowPunct/>
        <w:topLinePunct w:val="0"/>
        <w:autoSpaceDE/>
        <w:autoSpaceDN/>
        <w:bidi w:val="0"/>
        <w:adjustRightInd/>
        <w:snapToGrid/>
        <w:spacing w:line="360" w:lineRule="auto"/>
        <w:ind w:firstLine="413" w:firstLineChars="196"/>
        <w:textAlignment w:val="auto"/>
        <w:outlineLvl w:val="9"/>
        <w:rPr>
          <w:rFonts w:hint="eastAsia" w:ascii="宋体" w:hAnsi="宋体" w:eastAsia="宋体" w:cs="宋体"/>
          <w:b/>
          <w:color w:val="auto"/>
          <w:szCs w:val="21"/>
          <w:highlight w:val="none"/>
        </w:rPr>
      </w:pPr>
      <w:bookmarkStart w:id="22" w:name="_Toc110006424"/>
      <w:bookmarkStart w:id="23" w:name="_Toc28744"/>
      <w:r>
        <w:rPr>
          <w:rFonts w:hint="eastAsia" w:ascii="宋体" w:hAnsi="宋体" w:eastAsia="宋体" w:cs="宋体"/>
          <w:b/>
          <w:color w:val="auto"/>
          <w:szCs w:val="21"/>
          <w:highlight w:val="none"/>
        </w:rPr>
        <w:t>（六）招标文件的澄清与修改</w:t>
      </w:r>
      <w:bookmarkEnd w:id="22"/>
      <w:bookmarkEnd w:id="23"/>
      <w:r>
        <w:rPr>
          <w:rFonts w:hint="eastAsia" w:ascii="宋体" w:hAnsi="宋体" w:eastAsia="宋体" w:cs="宋体"/>
          <w:b/>
          <w:color w:val="auto"/>
          <w:szCs w:val="21"/>
          <w:highlight w:val="none"/>
        </w:rPr>
        <w:t xml:space="preserve"> </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00" w:firstLineChars="0"/>
        <w:textAlignment w:val="auto"/>
        <w:outlineLvl w:val="9"/>
        <w:rPr>
          <w:rFonts w:hint="eastAsia" w:ascii="宋体" w:hAnsi="宋体" w:eastAsia="宋体" w:cs="宋体"/>
          <w:color w:val="auto"/>
          <w:szCs w:val="22"/>
          <w:highlight w:val="none"/>
        </w:rPr>
      </w:pPr>
      <w:r>
        <w:rPr>
          <w:rFonts w:hint="eastAsia" w:ascii="宋体" w:hAnsi="宋体" w:eastAsia="宋体" w:cs="宋体"/>
          <w:color w:val="auto"/>
          <w:szCs w:val="22"/>
          <w:highlight w:val="none"/>
        </w:rPr>
        <w:t>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00" w:firstLineChars="0"/>
        <w:textAlignment w:val="auto"/>
        <w:outlineLvl w:val="9"/>
        <w:rPr>
          <w:rFonts w:hint="eastAsia" w:ascii="宋体" w:hAnsi="宋体" w:eastAsia="宋体" w:cs="宋体"/>
          <w:color w:val="auto"/>
          <w:szCs w:val="22"/>
          <w:highlight w:val="none"/>
        </w:rPr>
      </w:pPr>
      <w:r>
        <w:rPr>
          <w:rFonts w:hint="eastAsia" w:ascii="宋体" w:hAnsi="宋体" w:eastAsia="宋体" w:cs="宋体"/>
          <w:color w:val="auto"/>
          <w:szCs w:val="22"/>
          <w:highlight w:val="none"/>
        </w:rPr>
        <w:t>招标代理机构必须以书面形式答复投标人要求澄清的问题，并将不包含问题来源的答复书面通知所有购买招标文件的投标人；除书面答复以外的其他澄清方式及澄清内容均无效。</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00" w:firstLineChars="0"/>
        <w:textAlignment w:val="auto"/>
        <w:outlineLvl w:val="9"/>
        <w:rPr>
          <w:rFonts w:hint="eastAsia" w:ascii="宋体" w:hAnsi="宋体" w:eastAsia="宋体" w:cs="宋体"/>
          <w:color w:val="auto"/>
          <w:szCs w:val="22"/>
          <w:highlight w:val="none"/>
        </w:rPr>
      </w:pPr>
      <w:r>
        <w:rPr>
          <w:rFonts w:hint="eastAsia" w:ascii="宋体" w:hAnsi="宋体" w:eastAsia="宋体" w:cs="宋体"/>
          <w:color w:val="auto"/>
          <w:szCs w:val="22"/>
          <w:highlight w:val="none"/>
        </w:rPr>
        <w:t>招标文件澄清、答复、修改、补充的内容为招标文件的组成部分。当招标文件与招标文件的答复、澄清、修改、补充通知就同一内容的表述不一致时，以最后发出的书面文件为准。</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00" w:firstLineChars="0"/>
        <w:textAlignment w:val="auto"/>
        <w:outlineLvl w:val="9"/>
        <w:rPr>
          <w:rFonts w:hint="eastAsia" w:ascii="宋体" w:hAnsi="宋体" w:eastAsia="宋体" w:cs="宋体"/>
          <w:color w:val="auto"/>
          <w:szCs w:val="22"/>
          <w:highlight w:val="none"/>
        </w:rPr>
      </w:pPr>
      <w:r>
        <w:rPr>
          <w:rFonts w:hint="eastAsia" w:ascii="宋体" w:hAnsi="宋体" w:eastAsia="宋体" w:cs="宋体"/>
          <w:color w:val="auto"/>
          <w:szCs w:val="22"/>
          <w:highlight w:val="none"/>
        </w:rPr>
        <w:t>招标文件的澄清、答复、修改或补充都应该通过本代理机构以法定形式发布，采购单位非通过本机构，不得擅自澄清、答复、修改或补充招标文件。</w:t>
      </w:r>
    </w:p>
    <w:p>
      <w:pPr>
        <w:pStyle w:val="15"/>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二、投标文件的编制</w:t>
      </w:r>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重要提示：投标文件的形式</w:t>
      </w:r>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1.投标文件为电子投标文件。</w:t>
      </w:r>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2.电子投标文件，按“政采云招投标操作指南”及本采购文件要求制作、加密并递交。</w:t>
      </w:r>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bCs/>
          <w:color w:val="auto"/>
          <w:szCs w:val="21"/>
          <w:highlight w:val="none"/>
        </w:rPr>
      </w:pPr>
      <w:bookmarkStart w:id="24" w:name="_Toc76572275"/>
      <w:r>
        <w:rPr>
          <w:rFonts w:hint="eastAsia" w:ascii="宋体" w:hAnsi="宋体" w:eastAsia="宋体" w:cs="宋体"/>
          <w:bCs/>
          <w:color w:val="auto"/>
          <w:szCs w:val="21"/>
          <w:highlight w:val="none"/>
        </w:rPr>
        <w:t>（一）投标文件的组成</w:t>
      </w:r>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（1）投标声明书（见附件）；</w:t>
      </w:r>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（2）开标一览表（见附件）；</w:t>
      </w:r>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（3）法定代表人（或分行负责人或支行负责人）身份证明书或法定代表人（或分行负责人或支行负责人）授权委托书（见附件）；</w:t>
      </w:r>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（4）投标人营业执照、金融许可证；</w:t>
      </w:r>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（5）廉政承诺书（见附件）；</w:t>
      </w:r>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（6）自评分表（见附件）；</w:t>
      </w:r>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（7）服务承诺对照表（见附件）；</w:t>
      </w:r>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（8）项目负责人及服务小组人员情况表（见附件）；</w:t>
      </w:r>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（9）根据第三章评分标准中的内容提供相应的资料；</w:t>
      </w:r>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（10）投标人认为需提供的其他资料。</w:t>
      </w:r>
    </w:p>
    <w:p>
      <w:pPr>
        <w:keepNext w:val="0"/>
        <w:keepLines w:val="0"/>
        <w:pageBreakBefore w:val="0"/>
        <w:kinsoku/>
        <w:wordWrap/>
        <w:overflowPunct/>
        <w:topLinePunct w:val="0"/>
        <w:autoSpaceDE/>
        <w:autoSpaceDN/>
        <w:bidi w:val="0"/>
        <w:adjustRightInd/>
        <w:snapToGrid/>
        <w:spacing w:line="360" w:lineRule="auto"/>
        <w:ind w:firstLine="413" w:firstLineChars="196"/>
        <w:textAlignment w:val="auto"/>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（注：所有的复印件，在提供时请仔细检查当期是否有效，并请加盖投标人公章。）</w:t>
      </w:r>
    </w:p>
    <w:p>
      <w:pPr>
        <w:pStyle w:val="15"/>
        <w:keepNext w:val="0"/>
        <w:keepLines w:val="0"/>
        <w:pageBreakBefore w:val="0"/>
        <w:kinsoku/>
        <w:wordWrap/>
        <w:overflowPunct/>
        <w:topLinePunct w:val="0"/>
        <w:autoSpaceDE/>
        <w:autoSpaceDN/>
        <w:bidi w:val="0"/>
        <w:adjustRightInd/>
        <w:snapToGrid/>
        <w:spacing w:line="360" w:lineRule="auto"/>
        <w:ind w:firstLine="411" w:firstLineChars="195"/>
        <w:textAlignment w:val="auto"/>
        <w:outlineLvl w:val="9"/>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（二）投标文件的语言</w:t>
      </w:r>
      <w:bookmarkEnd w:id="24"/>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投标文件以及投标人与招标代理机构就有关投标事宜的所有来往函电，均应以中文汉语书写。除签字、盖章、专用名称等特殊情形外，以中文汉语以外的文字表述的投标文件视同未提供。</w:t>
      </w:r>
    </w:p>
    <w:p>
      <w:pPr>
        <w:pStyle w:val="7"/>
        <w:keepNext w:val="0"/>
        <w:keepLines w:val="0"/>
        <w:pageBreakBefore w:val="0"/>
        <w:widowControl w:val="0"/>
        <w:numPr>
          <w:ilvl w:val="0"/>
          <w:numId w:val="0"/>
        </w:numPr>
        <w:tabs>
          <w:tab w:val="clear" w:pos="454"/>
        </w:tabs>
        <w:kinsoku/>
        <w:wordWrap/>
        <w:overflowPunct/>
        <w:topLinePunct w:val="0"/>
        <w:autoSpaceDE/>
        <w:autoSpaceDN/>
        <w:bidi w:val="0"/>
        <w:adjustRightInd/>
        <w:snapToGrid/>
        <w:spacing w:afterLines="0" w:line="360" w:lineRule="auto"/>
        <w:ind w:left="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投标文件的有效期</w:t>
      </w:r>
    </w:p>
    <w:p>
      <w:pPr>
        <w:pStyle w:val="7"/>
        <w:keepNext w:val="0"/>
        <w:keepLines w:val="0"/>
        <w:pageBreakBefore w:val="0"/>
        <w:widowControl w:val="0"/>
        <w:numPr>
          <w:ilvl w:val="0"/>
          <w:numId w:val="0"/>
        </w:numPr>
        <w:tabs>
          <w:tab w:val="clear" w:pos="454"/>
        </w:tabs>
        <w:kinsoku/>
        <w:wordWrap/>
        <w:overflowPunct/>
        <w:topLinePunct w:val="0"/>
        <w:autoSpaceDE/>
        <w:autoSpaceDN/>
        <w:bidi w:val="0"/>
        <w:adjustRightInd/>
        <w:snapToGrid/>
        <w:spacing w:afterLines="0"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自投标截止日起90日历天内投标文件应保持有效。有效期不足的投标文件将被拒绝。</w:t>
      </w:r>
    </w:p>
    <w:p>
      <w:pPr>
        <w:keepNext w:val="0"/>
        <w:keepLines w:val="0"/>
        <w:pageBreakBefore w:val="0"/>
        <w:kinsoku/>
        <w:wordWrap/>
        <w:overflowPunct/>
        <w:topLinePunct w:val="0"/>
        <w:autoSpaceDE/>
        <w:autoSpaceDN/>
        <w:bidi w:val="0"/>
        <w:adjustRightInd/>
        <w:snapToGrid/>
        <w:spacing w:line="360" w:lineRule="auto"/>
        <w:ind w:left="0" w:firstLine="422" w:firstLineChars="200"/>
        <w:textAlignment w:val="auto"/>
        <w:outlineLvl w:val="9"/>
        <w:rPr>
          <w:rFonts w:hint="eastAsia" w:ascii="宋体" w:hAnsi="宋体" w:eastAsia="宋体" w:cs="宋体"/>
          <w:b/>
          <w:color w:val="auto"/>
          <w:szCs w:val="21"/>
          <w:highlight w:val="none"/>
        </w:rPr>
      </w:pPr>
      <w:bookmarkStart w:id="25" w:name="_Toc76572277"/>
      <w:bookmarkStart w:id="26" w:name="_Toc110006425"/>
      <w:bookmarkStart w:id="27" w:name="_Toc3582"/>
      <w:r>
        <w:rPr>
          <w:rFonts w:hint="eastAsia" w:ascii="宋体" w:hAnsi="宋体" w:eastAsia="宋体" w:cs="宋体"/>
          <w:b/>
          <w:color w:val="auto"/>
          <w:szCs w:val="21"/>
          <w:highlight w:val="none"/>
        </w:rPr>
        <w:t>（四）投标文件的签署和份数</w:t>
      </w:r>
      <w:bookmarkEnd w:id="25"/>
      <w:bookmarkEnd w:id="26"/>
      <w:bookmarkEnd w:id="27"/>
    </w:p>
    <w:p>
      <w:pPr>
        <w:pStyle w:val="15"/>
        <w:keepNext w:val="0"/>
        <w:keepLines w:val="0"/>
        <w:pageBreakBefore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本项目实行网上投标，供应商可准备以下投标文件：</w:t>
      </w:r>
    </w:p>
    <w:p>
      <w:pPr>
        <w:pStyle w:val="15"/>
        <w:keepNext w:val="0"/>
        <w:keepLines w:val="0"/>
        <w:pageBreakBefore w:val="0"/>
        <w:kinsoku/>
        <w:wordWrap/>
        <w:overflowPunct/>
        <w:topLinePunct w:val="0"/>
        <w:autoSpaceDE/>
        <w:autoSpaceDN/>
        <w:bidi w:val="0"/>
        <w:adjustRightInd/>
        <w:snapToGrid/>
        <w:spacing w:line="360" w:lineRule="auto"/>
        <w:ind w:left="0"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电子投标文件</w:t>
      </w:r>
    </w:p>
    <w:p>
      <w:pPr>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电子投标文件按政采云平台供应商电子招投标操作指南及本招标文件规定的格式和顺序编制电子投标文件，在投标截止时间前将电子投标文件上传“政采云”平台。</w:t>
      </w:r>
      <w:r>
        <w:rPr>
          <w:rFonts w:hint="eastAsia" w:ascii="宋体" w:hAnsi="宋体" w:eastAsia="宋体" w:cs="宋体"/>
          <w:color w:val="auto"/>
          <w:szCs w:val="21"/>
          <w:highlight w:val="none"/>
        </w:rPr>
        <w:t xml:space="preserve"> </w:t>
      </w:r>
    </w:p>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投标文件须由投标人在规定位置盖章并由法定代表人或法定代表人的授权委托人签署，投标人应写全称。</w:t>
      </w:r>
    </w:p>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投标文件不得涂改，若有修改错漏处，须加盖单位公章或者法定代表人或授权委托人签字或盖章。投标文件因字迹潦草或表达不清所引起的后果由投标人负责。</w:t>
      </w:r>
    </w:p>
    <w:p>
      <w:pPr>
        <w:keepNext w:val="0"/>
        <w:keepLines w:val="0"/>
        <w:pageBreakBefore w:val="0"/>
        <w:kinsoku/>
        <w:wordWrap/>
        <w:overflowPunct/>
        <w:topLinePunct w:val="0"/>
        <w:autoSpaceDE/>
        <w:autoSpaceDN/>
        <w:bidi w:val="0"/>
        <w:adjustRightInd/>
        <w:snapToGrid/>
        <w:spacing w:line="360" w:lineRule="auto"/>
        <w:ind w:left="0"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（五）投标文件的递交、修改和撤回</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到达投标时间后，银行可通政采云平台进行投标。</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【提示】投标和投标信息确认两个步骤操作时间共60分钟，投标人务必在规定的60分钟内完成，否则视为投标逾期，视为投标人放弃投标，因此产生的后果由投标人自行承担。</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为避免银行在60分钟内无法完成项目投标与投标信息确认，银行报名审核通过后，可先将投标信息维护好，并点击“保存”，暂存投标信息，项目到达投标时间后，只需提交投标信息以及确认投标信息即可。</w:t>
      </w:r>
    </w:p>
    <w:p>
      <w:pPr>
        <w:keepNext w:val="0"/>
        <w:keepLines w:val="0"/>
        <w:pageBreakBefore w:val="0"/>
        <w:kinsoku/>
        <w:wordWrap/>
        <w:overflowPunct/>
        <w:topLinePunct w:val="0"/>
        <w:autoSpaceDE/>
        <w:autoSpaceDN/>
        <w:bidi w:val="0"/>
        <w:adjustRightInd/>
        <w:snapToGrid/>
        <w:spacing w:line="360" w:lineRule="auto"/>
        <w:ind w:firstLine="413" w:firstLineChars="196"/>
        <w:textAlignment w:val="auto"/>
        <w:outlineLvl w:val="9"/>
        <w:rPr>
          <w:rFonts w:hint="eastAsia" w:ascii="宋体" w:hAnsi="宋体" w:eastAsia="宋体" w:cs="宋体"/>
          <w:b/>
          <w:color w:val="auto"/>
          <w:szCs w:val="21"/>
          <w:highlight w:val="none"/>
        </w:rPr>
      </w:pPr>
      <w:bookmarkStart w:id="28" w:name="_Toc110006426"/>
      <w:bookmarkStart w:id="29" w:name="_Toc22377"/>
      <w:bookmarkStart w:id="30" w:name="_Toc76572278"/>
      <w:r>
        <w:rPr>
          <w:rFonts w:hint="eastAsia" w:ascii="宋体" w:hAnsi="宋体" w:eastAsia="宋体" w:cs="宋体"/>
          <w:b/>
          <w:color w:val="auto"/>
          <w:szCs w:val="21"/>
          <w:highlight w:val="none"/>
        </w:rPr>
        <w:t>（六）投标无效的情形</w:t>
      </w:r>
      <w:bookmarkEnd w:id="28"/>
      <w:bookmarkEnd w:id="29"/>
      <w:bookmarkEnd w:id="30"/>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color w:val="auto"/>
          <w:szCs w:val="21"/>
          <w:highlight w:val="none"/>
        </w:rPr>
      </w:pPr>
      <w:bookmarkStart w:id="31" w:name="_Toc110006427"/>
      <w:bookmarkStart w:id="32" w:name="_Toc563"/>
      <w:r>
        <w:rPr>
          <w:rFonts w:hint="eastAsia" w:ascii="宋体" w:hAnsi="宋体" w:eastAsia="宋体" w:cs="宋体"/>
          <w:color w:val="auto"/>
          <w:szCs w:val="21"/>
          <w:highlight w:val="none"/>
        </w:rPr>
        <w:t>▲上传投标文件同一网卡地址、同一IP地址的为无效标。</w:t>
      </w:r>
      <w:bookmarkEnd w:id="31"/>
      <w:bookmarkEnd w:id="32"/>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color w:val="auto"/>
          <w:szCs w:val="21"/>
          <w:highlight w:val="none"/>
        </w:rPr>
      </w:pPr>
      <w:bookmarkStart w:id="33" w:name="_Toc24737"/>
      <w:bookmarkStart w:id="34" w:name="_Toc110006428"/>
      <w:r>
        <w:rPr>
          <w:rFonts w:hint="eastAsia" w:ascii="宋体" w:hAnsi="宋体" w:eastAsia="宋体" w:cs="宋体"/>
          <w:color w:val="auto"/>
          <w:szCs w:val="21"/>
          <w:highlight w:val="none"/>
        </w:rPr>
        <w:t>1.投标文件出现下列情形之一的，被认为初审不合格的，为无效投标文件，不得进入评标：</w:t>
      </w:r>
      <w:bookmarkEnd w:id="33"/>
      <w:bookmarkEnd w:id="34"/>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color w:val="auto"/>
          <w:szCs w:val="21"/>
          <w:highlight w:val="none"/>
        </w:rPr>
      </w:pPr>
      <w:bookmarkStart w:id="35" w:name="_Toc3365"/>
      <w:bookmarkStart w:id="36" w:name="_Toc110006429"/>
      <w:r>
        <w:rPr>
          <w:rFonts w:hint="eastAsia" w:ascii="宋体" w:hAnsi="宋体" w:eastAsia="宋体" w:cs="宋体"/>
          <w:color w:val="auto"/>
          <w:szCs w:val="21"/>
          <w:highlight w:val="none"/>
        </w:rPr>
        <w:t>（1）未按照招标文件的要求签署、盖章的；</w:t>
      </w:r>
      <w:bookmarkEnd w:id="35"/>
      <w:bookmarkEnd w:id="36"/>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color w:val="auto"/>
          <w:szCs w:val="21"/>
          <w:highlight w:val="none"/>
        </w:rPr>
      </w:pPr>
      <w:bookmarkStart w:id="37" w:name="_Toc17311"/>
      <w:bookmarkStart w:id="38" w:name="_Toc110006430"/>
      <w:r>
        <w:rPr>
          <w:rFonts w:hint="eastAsia" w:ascii="宋体" w:hAnsi="宋体" w:eastAsia="宋体" w:cs="宋体"/>
          <w:color w:val="auto"/>
          <w:szCs w:val="21"/>
          <w:highlight w:val="none"/>
        </w:rPr>
        <w:t>（2）不具备招标文件中规定的资格要求的或未提供资格证明文件的；</w:t>
      </w:r>
      <w:bookmarkEnd w:id="37"/>
      <w:bookmarkEnd w:id="38"/>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color w:val="auto"/>
          <w:szCs w:val="21"/>
          <w:highlight w:val="none"/>
        </w:rPr>
      </w:pPr>
      <w:bookmarkStart w:id="39" w:name="_Toc29137"/>
      <w:bookmarkStart w:id="40" w:name="_Toc110006431"/>
      <w:r>
        <w:rPr>
          <w:rFonts w:hint="eastAsia" w:ascii="宋体" w:hAnsi="宋体" w:eastAsia="宋体" w:cs="宋体"/>
          <w:color w:val="auto"/>
          <w:szCs w:val="21"/>
          <w:highlight w:val="none"/>
        </w:rPr>
        <w:t>（3）不符合法律、法规和招标文件中规定的其他实质性要求的；</w:t>
      </w:r>
      <w:bookmarkEnd w:id="39"/>
      <w:bookmarkEnd w:id="40"/>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color w:val="auto"/>
          <w:szCs w:val="21"/>
          <w:highlight w:val="none"/>
        </w:rPr>
      </w:pPr>
      <w:bookmarkStart w:id="41" w:name="_Toc110006432"/>
      <w:bookmarkStart w:id="42" w:name="_Toc8525"/>
      <w:r>
        <w:rPr>
          <w:rFonts w:hint="eastAsia" w:ascii="宋体" w:hAnsi="宋体" w:eastAsia="宋体" w:cs="宋体"/>
          <w:color w:val="auto"/>
          <w:szCs w:val="21"/>
          <w:highlight w:val="none"/>
        </w:rPr>
        <w:t>2.投标文件有下述情形之一的，属于重大偏差，视为未能对招标文件做出实质性的响应，作无效标处理。</w:t>
      </w:r>
      <w:bookmarkEnd w:id="41"/>
      <w:bookmarkEnd w:id="42"/>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color w:val="auto"/>
          <w:szCs w:val="21"/>
          <w:highlight w:val="none"/>
        </w:rPr>
      </w:pPr>
      <w:bookmarkStart w:id="43" w:name="_Toc6097"/>
      <w:bookmarkStart w:id="44" w:name="_Toc110006433"/>
      <w:r>
        <w:rPr>
          <w:rFonts w:hint="eastAsia" w:ascii="宋体" w:hAnsi="宋体" w:eastAsia="宋体" w:cs="宋体"/>
          <w:color w:val="auto"/>
          <w:szCs w:val="21"/>
          <w:highlight w:val="none"/>
        </w:rPr>
        <w:t>（1）带“▲”的款项不能满足招标文件要求的；</w:t>
      </w:r>
      <w:bookmarkEnd w:id="43"/>
      <w:bookmarkEnd w:id="44"/>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color w:val="auto"/>
          <w:szCs w:val="21"/>
          <w:highlight w:val="none"/>
        </w:rPr>
      </w:pPr>
      <w:bookmarkStart w:id="45" w:name="_Toc110006434"/>
      <w:bookmarkStart w:id="46" w:name="_Toc19409"/>
      <w:r>
        <w:rPr>
          <w:rFonts w:hint="eastAsia" w:ascii="宋体" w:hAnsi="宋体" w:eastAsia="宋体" w:cs="宋体"/>
          <w:color w:val="auto"/>
          <w:szCs w:val="21"/>
          <w:highlight w:val="none"/>
        </w:rPr>
        <w:t>（2）投标文件附有招标人不能接受的条件；</w:t>
      </w:r>
      <w:bookmarkEnd w:id="45"/>
      <w:bookmarkEnd w:id="46"/>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color w:val="auto"/>
          <w:szCs w:val="21"/>
          <w:highlight w:val="none"/>
        </w:rPr>
      </w:pPr>
      <w:bookmarkStart w:id="47" w:name="_Toc13790"/>
      <w:bookmarkStart w:id="48" w:name="_Toc110006435"/>
      <w:r>
        <w:rPr>
          <w:rFonts w:hint="eastAsia" w:ascii="宋体" w:hAnsi="宋体" w:eastAsia="宋体" w:cs="宋体"/>
          <w:color w:val="auto"/>
          <w:szCs w:val="21"/>
          <w:highlight w:val="none"/>
        </w:rPr>
        <w:t>（3）经评标委员会评审服务方案不可行的；</w:t>
      </w:r>
      <w:bookmarkEnd w:id="47"/>
      <w:bookmarkEnd w:id="48"/>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color w:val="auto"/>
          <w:szCs w:val="21"/>
          <w:highlight w:val="none"/>
        </w:rPr>
      </w:pPr>
      <w:bookmarkStart w:id="49" w:name="_Toc16254"/>
      <w:bookmarkStart w:id="50" w:name="_Toc110006436"/>
      <w:r>
        <w:rPr>
          <w:rFonts w:hint="eastAsia" w:ascii="宋体" w:hAnsi="宋体" w:eastAsia="宋体" w:cs="宋体"/>
          <w:color w:val="auto"/>
          <w:szCs w:val="21"/>
          <w:highlight w:val="none"/>
        </w:rPr>
        <w:t>（4）未按招标文件要求形式进行报价的。</w:t>
      </w:r>
      <w:bookmarkEnd w:id="49"/>
      <w:bookmarkEnd w:id="50"/>
    </w:p>
    <w:p>
      <w:pPr>
        <w:keepNext w:val="0"/>
        <w:keepLines w:val="0"/>
        <w:pageBreakBefore w:val="0"/>
        <w:kinsoku/>
        <w:wordWrap/>
        <w:overflowPunct/>
        <w:topLinePunct w:val="0"/>
        <w:autoSpaceDE/>
        <w:autoSpaceDN/>
        <w:bidi w:val="0"/>
        <w:adjustRightInd/>
        <w:snapToGrid/>
        <w:spacing w:line="360" w:lineRule="auto"/>
        <w:ind w:firstLine="413" w:firstLineChars="196"/>
        <w:textAlignment w:val="auto"/>
        <w:outlineLvl w:val="9"/>
        <w:rPr>
          <w:rFonts w:hint="eastAsia" w:ascii="宋体" w:hAnsi="宋体" w:eastAsia="宋体" w:cs="宋体"/>
          <w:b/>
          <w:color w:val="auto"/>
          <w:szCs w:val="21"/>
          <w:highlight w:val="none"/>
        </w:rPr>
      </w:pPr>
      <w:bookmarkStart w:id="51" w:name="_Toc110006437"/>
      <w:bookmarkStart w:id="52" w:name="_Toc32120"/>
      <w:r>
        <w:rPr>
          <w:rFonts w:hint="eastAsia" w:ascii="宋体" w:hAnsi="宋体" w:eastAsia="宋体" w:cs="宋体"/>
          <w:b/>
          <w:color w:val="auto"/>
          <w:szCs w:val="21"/>
          <w:highlight w:val="none"/>
        </w:rPr>
        <w:t>三、开标</w:t>
      </w:r>
      <w:bookmarkEnd w:id="51"/>
      <w:bookmarkEnd w:id="52"/>
    </w:p>
    <w:p>
      <w:pPr>
        <w:pStyle w:val="15"/>
        <w:keepNext w:val="0"/>
        <w:keepLines w:val="0"/>
        <w:pageBreakBefore w:val="0"/>
        <w:kinsoku/>
        <w:wordWrap/>
        <w:overflowPunct/>
        <w:topLinePunct w:val="0"/>
        <w:autoSpaceDE/>
        <w:autoSpaceDN/>
        <w:bidi w:val="0"/>
        <w:adjustRightInd/>
        <w:snapToGrid/>
        <w:spacing w:line="360" w:lineRule="auto"/>
        <w:ind w:firstLine="413" w:firstLineChars="196"/>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（一）开标准备</w:t>
      </w:r>
    </w:p>
    <w:p>
      <w:pPr>
        <w:pStyle w:val="15"/>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采购代理机构将在规定的时间和地点进行开标，投标人的法定代表人或其授权代表可参加开标会并接受核验、签到，无关人员不得进入开标现场。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（二）开标程序：</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开标时，采购代理机构在政采云平台公款竞争性存放—招标项目管理—开标评标管理，点击【开标评标】按钮，进行开标；</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开标时，采购代理机构将通过网上开标系统公布开标结果，公布内容包括投标人名称、投标报价及招标文件规定的其他内容。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公布评审结果。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开标会议结束。</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注：1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投标人如未在线参加开标的，视同认可开标结果，事后不得对开标结果提出异议。</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开标过程由采购代理机构负责记录，由参加开标的投标人代表和相关工作人员签字确认后随采购文件一并存档。</w:t>
      </w:r>
    </w:p>
    <w:p>
      <w:pPr>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投标人代表对开标过程和开标记录有疑义，以及认为采购人或采购代理机构相关工作人员有需要回避的情形的，应当场提出询问或者回避申请。</w:t>
      </w:r>
    </w:p>
    <w:p>
      <w:pPr>
        <w:pStyle w:val="15"/>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四、评标</w:t>
      </w:r>
    </w:p>
    <w:p>
      <w:pPr>
        <w:pStyle w:val="15"/>
        <w:keepNext w:val="0"/>
        <w:keepLines w:val="0"/>
        <w:pageBreakBefore w:val="0"/>
        <w:kinsoku/>
        <w:wordWrap/>
        <w:overflowPunct/>
        <w:topLinePunct w:val="0"/>
        <w:autoSpaceDE/>
        <w:autoSpaceDN/>
        <w:bidi w:val="0"/>
        <w:adjustRightInd/>
        <w:snapToGrid/>
        <w:spacing w:line="360" w:lineRule="auto"/>
        <w:ind w:left="690" w:leftChars="228" w:hanging="211" w:hangingChars="1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（一）组建评标委员会</w:t>
      </w:r>
    </w:p>
    <w:p>
      <w:pPr>
        <w:pStyle w:val="15"/>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评标委员会由</w:t>
      </w:r>
      <w:r>
        <w:rPr>
          <w:rFonts w:hint="eastAsia" w:ascii="宋体" w:hAnsi="宋体" w:eastAsia="宋体" w:cs="宋体"/>
          <w:color w:val="auto"/>
          <w:szCs w:val="21"/>
          <w:highlight w:val="none"/>
          <w:u w:val="single"/>
        </w:rPr>
        <w:t>5人</w:t>
      </w:r>
      <w:r>
        <w:rPr>
          <w:rFonts w:hint="eastAsia" w:ascii="宋体" w:hAnsi="宋体" w:eastAsia="宋体" w:cs="宋体"/>
          <w:color w:val="auto"/>
          <w:szCs w:val="21"/>
          <w:highlight w:val="none"/>
        </w:rPr>
        <w:t>（含）以上奇数的人员组成，由招标人代表和技术或经济专家组成，其中专家成员</w:t>
      </w:r>
      <w:r>
        <w:rPr>
          <w:rFonts w:hint="eastAsia" w:ascii="宋体" w:hAnsi="宋体" w:eastAsia="宋体" w:cs="宋体"/>
          <w:color w:val="auto"/>
          <w:szCs w:val="21"/>
          <w:highlight w:val="none"/>
          <w:u w:val="single"/>
        </w:rPr>
        <w:t>≥4</w:t>
      </w:r>
      <w:r>
        <w:rPr>
          <w:rFonts w:hint="eastAsia" w:ascii="宋体" w:hAnsi="宋体" w:eastAsia="宋体" w:cs="宋体"/>
          <w:color w:val="auto"/>
          <w:szCs w:val="21"/>
          <w:highlight w:val="none"/>
        </w:rPr>
        <w:t>人，招标人代表</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人。</w:t>
      </w:r>
    </w:p>
    <w:p>
      <w:pPr>
        <w:pStyle w:val="15"/>
        <w:keepNext w:val="0"/>
        <w:keepLines w:val="0"/>
        <w:pageBreakBefore w:val="0"/>
        <w:kinsoku/>
        <w:wordWrap/>
        <w:overflowPunct/>
        <w:topLinePunct w:val="0"/>
        <w:autoSpaceDE/>
        <w:autoSpaceDN/>
        <w:bidi w:val="0"/>
        <w:adjustRightInd/>
        <w:snapToGrid/>
        <w:spacing w:line="360" w:lineRule="auto"/>
        <w:ind w:left="690" w:leftChars="228" w:hanging="211" w:hangingChars="1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w:t>
      </w:r>
      <w:r>
        <w:rPr>
          <w:rFonts w:hint="eastAsia" w:ascii="宋体" w:hAnsi="宋体" w:eastAsia="宋体" w:cs="宋体"/>
          <w:b/>
          <w:bCs/>
          <w:color w:val="auto"/>
          <w:szCs w:val="21"/>
          <w:highlight w:val="none"/>
        </w:rPr>
        <w:t>评标程序</w:t>
      </w:r>
    </w:p>
    <w:p>
      <w:pPr>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00" w:firstLineChars="0"/>
        <w:textAlignment w:val="auto"/>
        <w:outlineLvl w:val="9"/>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招标代理机构</w:t>
      </w:r>
      <w:r>
        <w:rPr>
          <w:rFonts w:hint="eastAsia" w:ascii="宋体" w:hAnsi="宋体" w:eastAsia="宋体" w:cs="宋体"/>
          <w:color w:val="auto"/>
          <w:szCs w:val="21"/>
          <w:highlight w:val="none"/>
        </w:rPr>
        <w:t>工作人员协助评标委员会对投标人的资格和投标文件的完整性、合法性等进行审查。</w:t>
      </w:r>
    </w:p>
    <w:p>
      <w:pPr>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0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评标委员会审查投标文件的实质性内容是否符合招标文件的实质性要求。</w:t>
      </w:r>
    </w:p>
    <w:p>
      <w:pPr>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0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评标委员会将根据投标人的投标文件进行审查、核对,如有疑问,将对投标人进行询标,投标人要向评标委员会澄清有关问题,并最终以书面形式进行答复。</w:t>
      </w:r>
    </w:p>
    <w:p>
      <w:pPr>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0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评标委员会完成评标后,评标委员会按评标原则推荐中标候选人同时起草评标报告。</w:t>
      </w:r>
    </w:p>
    <w:p>
      <w:pPr>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0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全权代表未到场或者拒绝澄清或者澄清的内容改变了投标文件的实质性内容的，评标委员会有权对该投标文件作出不利于投标人的评判。</w:t>
      </w:r>
    </w:p>
    <w:p>
      <w:pPr>
        <w:pStyle w:val="15"/>
        <w:keepNext w:val="0"/>
        <w:keepLines w:val="0"/>
        <w:pageBreakBefore w:val="0"/>
        <w:tabs>
          <w:tab w:val="left" w:pos="630"/>
        </w:tabs>
        <w:kinsoku/>
        <w:wordWrap/>
        <w:overflowPunct/>
        <w:topLinePunct w:val="0"/>
        <w:autoSpaceDE/>
        <w:autoSpaceDN/>
        <w:bidi w:val="0"/>
        <w:adjustRightInd/>
        <w:snapToGrid/>
        <w:spacing w:line="360" w:lineRule="auto"/>
        <w:ind w:firstLine="413" w:firstLineChars="196"/>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（三）评标原则</w:t>
      </w:r>
    </w:p>
    <w:p>
      <w:pPr>
        <w:pStyle w:val="15"/>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15"/>
        <w:keepNext w:val="0"/>
        <w:keepLines w:val="0"/>
        <w:pageBreakBefore w:val="0"/>
        <w:kinsoku/>
        <w:wordWrap/>
        <w:overflowPunct/>
        <w:topLinePunct w:val="0"/>
        <w:autoSpaceDE/>
        <w:autoSpaceDN/>
        <w:bidi w:val="0"/>
        <w:adjustRightInd/>
        <w:snapToGrid/>
        <w:spacing w:line="360" w:lineRule="auto"/>
        <w:ind w:firstLine="417" w:firstLineChars="198"/>
        <w:textAlignment w:val="auto"/>
        <w:outlineLvl w:val="9"/>
        <w:rPr>
          <w:rFonts w:hint="eastAsia" w:ascii="宋体" w:hAnsi="宋体" w:eastAsia="宋体" w:cs="宋体"/>
          <w:b/>
          <w:color w:val="auto"/>
          <w:szCs w:val="21"/>
          <w:highlight w:val="none"/>
        </w:rPr>
      </w:pPr>
      <w:bookmarkStart w:id="53" w:name="_Toc76572279"/>
      <w:bookmarkStart w:id="54" w:name="_Toc110006438"/>
      <w:bookmarkStart w:id="55" w:name="_Toc23654"/>
      <w:r>
        <w:rPr>
          <w:rFonts w:hint="eastAsia" w:ascii="宋体" w:hAnsi="宋体" w:eastAsia="宋体" w:cs="宋体"/>
          <w:b/>
          <w:color w:val="auto"/>
          <w:szCs w:val="21"/>
          <w:highlight w:val="none"/>
        </w:rPr>
        <w:t>五、定标</w:t>
      </w:r>
      <w:bookmarkEnd w:id="53"/>
      <w:bookmarkEnd w:id="54"/>
      <w:bookmarkEnd w:id="55"/>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hAnsi="宋体" w:cs="宋体"/>
          <w:color w:val="auto"/>
          <w:szCs w:val="21"/>
          <w:highlight w:val="none"/>
          <w:lang w:val="en-US" w:eastAsia="zh-CN"/>
        </w:rPr>
        <w:t>1.</w:t>
      </w:r>
      <w:r>
        <w:rPr>
          <w:rFonts w:hint="eastAsia" w:ascii="宋体" w:hAnsi="宋体" w:eastAsia="宋体" w:cs="宋体"/>
          <w:color w:val="auto"/>
          <w:szCs w:val="21"/>
          <w:highlight w:val="none"/>
        </w:rPr>
        <w:t>本项目由评标委员会根据第三章《评标办法与评分标准》规定推荐中标人，评标结果由招标人代表签字确认。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评标结果经招标人确认后，招标代理机构将于浙江政府采购网、宁波政府采购网、宁波市公共资源交易网江北区分网发布中标公告，并向中标方签发书面《中标通知书》。中标方自行与招标人联系协议签订事宜。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bCs/>
          <w:color w:val="auto"/>
          <w:szCs w:val="21"/>
          <w:highlight w:val="none"/>
        </w:rPr>
      </w:pPr>
      <w:r>
        <w:rPr>
          <w:rFonts w:hint="eastAsia" w:ascii="宋体" w:hAnsi="宋体" w:cs="宋体"/>
          <w:color w:val="auto"/>
          <w:szCs w:val="21"/>
          <w:highlight w:val="none"/>
          <w:lang w:val="en-US" w:eastAsia="zh-CN"/>
        </w:rPr>
        <w:t>3.</w:t>
      </w:r>
      <w:r>
        <w:rPr>
          <w:rFonts w:hint="eastAsia" w:ascii="宋体" w:hAnsi="宋体"/>
          <w:bCs/>
          <w:color w:val="auto"/>
          <w:szCs w:val="21"/>
          <w:highlight w:val="none"/>
        </w:rPr>
        <w:t>招标人应当自收到评标报告之日起3日内公示中标候选人，公示期不少于3日。</w:t>
      </w:r>
    </w:p>
    <w:p>
      <w:pPr>
        <w:pStyle w:val="35"/>
        <w:rPr>
          <w:rFonts w:hint="default" w:eastAsia="宋体"/>
          <w:color w:val="auto"/>
          <w:highlight w:val="none"/>
          <w:lang w:val="en-US" w:eastAsia="zh-CN"/>
        </w:rPr>
      </w:pPr>
    </w:p>
    <w:p>
      <w:pPr>
        <w:pStyle w:val="35"/>
        <w:outlineLvl w:val="9"/>
        <w:rPr>
          <w:rFonts w:hint="eastAsia" w:ascii="宋体" w:hAnsi="宋体" w:eastAsia="宋体" w:cs="宋体"/>
          <w:color w:val="auto"/>
          <w:highlight w:val="none"/>
        </w:rPr>
      </w:pPr>
    </w:p>
    <w:p>
      <w:pPr>
        <w:pStyle w:val="35"/>
        <w:outlineLvl w:val="9"/>
        <w:rPr>
          <w:rFonts w:hint="eastAsia" w:ascii="宋体" w:hAnsi="宋体" w:eastAsia="宋体" w:cs="宋体"/>
          <w:color w:val="auto"/>
          <w:highlight w:val="none"/>
        </w:rPr>
      </w:pPr>
    </w:p>
    <w:p>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1"/>
    <w:p>
      <w:pPr>
        <w:pStyle w:val="3"/>
        <w:spacing w:before="0" w:after="0" w:line="360" w:lineRule="auto"/>
        <w:jc w:val="center"/>
        <w:rPr>
          <w:rFonts w:hint="eastAsia" w:ascii="宋体" w:hAnsi="宋体" w:eastAsia="宋体" w:cs="宋体"/>
          <w:color w:val="auto"/>
          <w:sz w:val="28"/>
          <w:szCs w:val="32"/>
          <w:highlight w:val="none"/>
        </w:rPr>
      </w:pPr>
      <w:bookmarkStart w:id="56" w:name="_Toc76572280"/>
      <w:bookmarkStart w:id="57" w:name="_Toc21927"/>
      <w:bookmarkStart w:id="58" w:name="_Toc137008683"/>
      <w:bookmarkStart w:id="59" w:name="_Toc132730035"/>
      <w:r>
        <w:rPr>
          <w:rFonts w:hint="eastAsia" w:ascii="宋体" w:hAnsi="宋体" w:eastAsia="宋体" w:cs="宋体"/>
          <w:color w:val="auto"/>
          <w:sz w:val="28"/>
          <w:szCs w:val="32"/>
          <w:highlight w:val="none"/>
        </w:rPr>
        <w:t>第三章  评标办法及评分标准</w:t>
      </w:r>
      <w:bookmarkEnd w:id="56"/>
      <w:bookmarkEnd w:id="57"/>
    </w:p>
    <w:p>
      <w:pPr>
        <w:keepNext w:val="0"/>
        <w:keepLines w:val="0"/>
        <w:pageBreakBefore w:val="0"/>
        <w:widowControl w:val="0"/>
        <w:kinsoku/>
        <w:wordWrap/>
        <w:overflowPunct/>
        <w:topLinePunct w:val="0"/>
        <w:autoSpaceDE/>
        <w:autoSpaceDN/>
        <w:bidi w:val="0"/>
        <w:adjustRightInd/>
        <w:snapToGrid/>
        <w:spacing w:line="360" w:lineRule="auto"/>
        <w:ind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一、总则</w:t>
      </w:r>
    </w:p>
    <w:p>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评标采用综合评分法，总分为100分。合格投标人的评标得分为各项目汇总得分，中标候选资格按评标得分由高到低顺序排列。综合得分相同的，按存款利率上浮幅度从高到低顺序排列；综合得分且存款利率上浮幅度相同的，按“服务水平”得分由高到低顺序排列。以上分值均相同的，抽签决定。评分过程中采用四舍五入法，并保留小数2位。</w:t>
      </w:r>
    </w:p>
    <w:p>
      <w:pPr>
        <w:keepNext w:val="0"/>
        <w:keepLines w:val="0"/>
        <w:pageBreakBefore w:val="0"/>
        <w:widowControl w:val="0"/>
        <w:kinsoku/>
        <w:wordWrap/>
        <w:overflowPunct/>
        <w:topLinePunct w:val="0"/>
        <w:autoSpaceDE/>
        <w:autoSpaceDN/>
        <w:bidi w:val="0"/>
        <w:adjustRightInd/>
        <w:snapToGrid/>
        <w:spacing w:line="360" w:lineRule="auto"/>
        <w:ind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二、分值的计算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对评标委员会的综合打分，采用记名方式，取所有评委有效评分的算术平均数作为最终评定分</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分值采用四舍五入法，并保留小数2位。</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三、评标内容及评分标准</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1263"/>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blHeader/>
          <w:jc w:val="center"/>
        </w:trPr>
        <w:tc>
          <w:tcPr>
            <w:tcW w:w="663" w:type="pct"/>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w:t>
            </w:r>
          </w:p>
        </w:tc>
        <w:tc>
          <w:tcPr>
            <w:tcW w:w="634" w:type="pct"/>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指标</w:t>
            </w:r>
          </w:p>
        </w:tc>
        <w:tc>
          <w:tcPr>
            <w:tcW w:w="3702" w:type="pct"/>
            <w:noWrap w:val="0"/>
            <w:vAlign w:val="center"/>
          </w:tcPr>
          <w:p>
            <w:pPr>
              <w:widowControl/>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评审内容及评分细则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pct"/>
            <w:vMerge w:val="restart"/>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综合收益水</w:t>
            </w:r>
            <w:r>
              <w:rPr>
                <w:rFonts w:hint="eastAsia" w:ascii="宋体" w:hAnsi="宋体" w:eastAsia="宋体" w:cs="宋体"/>
                <w:color w:val="auto"/>
                <w:sz w:val="21"/>
                <w:szCs w:val="21"/>
                <w:highlight w:val="none"/>
                <w:lang w:val="en-US" w:eastAsia="zh-CN"/>
              </w:rPr>
              <w:t>平</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分）</w:t>
            </w:r>
          </w:p>
        </w:tc>
        <w:tc>
          <w:tcPr>
            <w:tcW w:w="634" w:type="pct"/>
            <w:vMerge w:val="restar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存款</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利率</w:t>
            </w:r>
          </w:p>
        </w:tc>
        <w:tc>
          <w:tcPr>
            <w:tcW w:w="3702" w:type="pct"/>
            <w:noWrap w:val="0"/>
            <w:vAlign w:val="center"/>
          </w:tcPr>
          <w:p>
            <w:pPr>
              <w:widowControl/>
              <w:spacing w:line="30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活期存款利率：满足央行基准利率的得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分，此后每加点5BP加1分，最高得4分。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63" w:type="pct"/>
            <w:vMerge w:val="continue"/>
            <w:noWrap w:val="0"/>
            <w:vAlign w:val="center"/>
          </w:tcPr>
          <w:p>
            <w:pPr>
              <w:jc w:val="center"/>
              <w:rPr>
                <w:rFonts w:hint="eastAsia" w:ascii="宋体" w:hAnsi="宋体" w:eastAsia="宋体" w:cs="宋体"/>
                <w:color w:val="auto"/>
                <w:sz w:val="21"/>
                <w:szCs w:val="21"/>
                <w:highlight w:val="none"/>
              </w:rPr>
            </w:pPr>
          </w:p>
        </w:tc>
        <w:tc>
          <w:tcPr>
            <w:tcW w:w="634" w:type="pct"/>
            <w:vMerge w:val="continue"/>
            <w:noWrap w:val="0"/>
            <w:vAlign w:val="center"/>
          </w:tcPr>
          <w:p>
            <w:pPr>
              <w:jc w:val="center"/>
              <w:rPr>
                <w:rFonts w:hint="eastAsia" w:ascii="宋体" w:hAnsi="宋体" w:eastAsia="宋体" w:cs="宋体"/>
                <w:color w:val="auto"/>
                <w:sz w:val="21"/>
                <w:szCs w:val="21"/>
                <w:highlight w:val="none"/>
              </w:rPr>
            </w:pPr>
          </w:p>
        </w:tc>
        <w:tc>
          <w:tcPr>
            <w:tcW w:w="3702" w:type="pct"/>
            <w:noWrap w:val="0"/>
            <w:vAlign w:val="center"/>
          </w:tcPr>
          <w:p>
            <w:pPr>
              <w:widowControl/>
              <w:spacing w:line="30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协定存款利率：满足央行基准利率加点</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BP的得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分，此后每加点</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BP加1分，最高得4分。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63" w:type="pct"/>
            <w:vMerge w:val="continue"/>
            <w:noWrap w:val="0"/>
            <w:vAlign w:val="center"/>
          </w:tcPr>
          <w:p>
            <w:pPr>
              <w:jc w:val="center"/>
              <w:rPr>
                <w:rFonts w:hint="eastAsia" w:ascii="宋体" w:hAnsi="宋体" w:eastAsia="宋体" w:cs="宋体"/>
                <w:color w:val="auto"/>
                <w:sz w:val="21"/>
                <w:szCs w:val="21"/>
                <w:highlight w:val="none"/>
              </w:rPr>
            </w:pPr>
          </w:p>
        </w:tc>
        <w:tc>
          <w:tcPr>
            <w:tcW w:w="634" w:type="pct"/>
            <w:vMerge w:val="continue"/>
            <w:noWrap w:val="0"/>
            <w:vAlign w:val="center"/>
          </w:tcPr>
          <w:p>
            <w:pPr>
              <w:jc w:val="center"/>
              <w:rPr>
                <w:rFonts w:hint="eastAsia" w:ascii="宋体" w:hAnsi="宋体" w:eastAsia="宋体" w:cs="宋体"/>
                <w:color w:val="auto"/>
                <w:sz w:val="21"/>
                <w:szCs w:val="21"/>
                <w:highlight w:val="none"/>
              </w:rPr>
            </w:pPr>
          </w:p>
        </w:tc>
        <w:tc>
          <w:tcPr>
            <w:tcW w:w="3702" w:type="pct"/>
            <w:noWrap w:val="0"/>
            <w:vAlign w:val="center"/>
          </w:tcPr>
          <w:p>
            <w:pPr>
              <w:widowControl/>
              <w:spacing w:line="30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七天通知存款利率：满足央行基准利率加点</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BP的得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分，此后每加点</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BP加1分，最高得4分。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3" w:type="pct"/>
            <w:vMerge w:val="continue"/>
            <w:noWrap w:val="0"/>
            <w:vAlign w:val="center"/>
          </w:tcPr>
          <w:p>
            <w:pPr>
              <w:jc w:val="center"/>
              <w:rPr>
                <w:rFonts w:hint="eastAsia" w:ascii="宋体" w:hAnsi="宋体" w:eastAsia="宋体" w:cs="宋体"/>
                <w:color w:val="auto"/>
                <w:sz w:val="21"/>
                <w:szCs w:val="21"/>
                <w:highlight w:val="none"/>
              </w:rPr>
            </w:pPr>
          </w:p>
        </w:tc>
        <w:tc>
          <w:tcPr>
            <w:tcW w:w="634" w:type="pct"/>
            <w:vMerge w:val="continue"/>
            <w:noWrap w:val="0"/>
            <w:vAlign w:val="center"/>
          </w:tcPr>
          <w:p>
            <w:pPr>
              <w:jc w:val="center"/>
              <w:rPr>
                <w:rFonts w:hint="eastAsia" w:ascii="宋体" w:hAnsi="宋体" w:eastAsia="宋体" w:cs="宋体"/>
                <w:color w:val="auto"/>
                <w:sz w:val="21"/>
                <w:szCs w:val="21"/>
                <w:highlight w:val="none"/>
              </w:rPr>
            </w:pPr>
          </w:p>
        </w:tc>
        <w:tc>
          <w:tcPr>
            <w:tcW w:w="3702" w:type="pct"/>
            <w:noWrap w:val="0"/>
            <w:vAlign w:val="center"/>
          </w:tcPr>
          <w:p>
            <w:pPr>
              <w:widowControl/>
              <w:spacing w:line="30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定期存款利率（一年期及以内）：满足央行基准利率加点10BP的得1分，此后每加点10BP加1分，最高得4分。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663" w:type="pct"/>
            <w:vMerge w:val="restar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安全性和经营状况</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（20分）</w:t>
            </w:r>
          </w:p>
        </w:tc>
        <w:tc>
          <w:tcPr>
            <w:tcW w:w="634" w:type="pct"/>
            <w:noWrap w:val="0"/>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资本充足率</w:t>
            </w:r>
          </w:p>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3702" w:type="pct"/>
            <w:noWrap w:val="0"/>
            <w:vAlign w:val="center"/>
          </w:tcPr>
          <w:p>
            <w:pPr>
              <w:widowControl/>
              <w:spacing w:line="30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2022年度投标银行总行资本充足率指标情况，15%（含）及以上得5分，每减少0.5%扣1分（不足0.5%的不扣分），扣至0分为止。</w:t>
            </w:r>
          </w:p>
          <w:p>
            <w:pPr>
              <w:widowControl/>
              <w:spacing w:line="30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（以投标人总行2022年末数据为准，投标文件需提供总行2022年年报证明页，不提供证明材料不得分）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pct"/>
            <w:vMerge w:val="continue"/>
            <w:noWrap w:val="0"/>
            <w:vAlign w:val="center"/>
          </w:tcPr>
          <w:p>
            <w:pPr>
              <w:jc w:val="center"/>
              <w:rPr>
                <w:rFonts w:hint="eastAsia" w:ascii="宋体" w:hAnsi="宋体" w:eastAsia="宋体" w:cs="宋体"/>
                <w:color w:val="auto"/>
                <w:sz w:val="21"/>
                <w:szCs w:val="21"/>
                <w:highlight w:val="none"/>
              </w:rPr>
            </w:pPr>
          </w:p>
        </w:tc>
        <w:tc>
          <w:tcPr>
            <w:tcW w:w="634" w:type="pct"/>
            <w:noWrap w:val="0"/>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不良贷款率</w:t>
            </w:r>
          </w:p>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3702" w:type="pct"/>
            <w:noWrap w:val="0"/>
            <w:vAlign w:val="center"/>
          </w:tcPr>
          <w:p>
            <w:pPr>
              <w:widowControl/>
              <w:spacing w:line="30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2022年度投标银行总行不良贷款率指标情况，1</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%（含）及以下得5分，每上升0.1%扣1分（不足0.1%的不扣分），扣至0分为止。</w:t>
            </w:r>
          </w:p>
          <w:p>
            <w:pPr>
              <w:widowControl/>
              <w:spacing w:line="30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（以投标人总行2022年末数据为准，投标文件需提供总行2022年年报证明页，不提供证明材料不得分）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663" w:type="pct"/>
            <w:vMerge w:val="continue"/>
            <w:noWrap w:val="0"/>
            <w:vAlign w:val="center"/>
          </w:tcPr>
          <w:p>
            <w:pPr>
              <w:jc w:val="center"/>
              <w:rPr>
                <w:rFonts w:hint="eastAsia" w:ascii="宋体" w:hAnsi="宋体" w:eastAsia="宋体" w:cs="宋体"/>
                <w:color w:val="auto"/>
                <w:sz w:val="21"/>
                <w:szCs w:val="21"/>
                <w:highlight w:val="none"/>
              </w:rPr>
            </w:pPr>
          </w:p>
        </w:tc>
        <w:tc>
          <w:tcPr>
            <w:tcW w:w="634" w:type="pct"/>
            <w:noWrap w:val="0"/>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拨备覆盖率</w:t>
            </w:r>
          </w:p>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3702" w:type="pct"/>
            <w:noWrap w:val="0"/>
            <w:vAlign w:val="center"/>
          </w:tcPr>
          <w:p>
            <w:pPr>
              <w:widowControl/>
              <w:spacing w:line="30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2022年度投标银行总行拨备覆盖率指标情况，</w:t>
            </w:r>
            <w:r>
              <w:rPr>
                <w:rFonts w:hint="eastAsia" w:ascii="宋体" w:hAnsi="宋体" w:eastAsia="宋体" w:cs="宋体"/>
                <w:color w:val="auto"/>
                <w:kern w:val="0"/>
                <w:sz w:val="21"/>
                <w:szCs w:val="21"/>
                <w:highlight w:val="none"/>
                <w:lang w:val="en-US" w:eastAsia="zh-CN"/>
              </w:rPr>
              <w:t>280</w:t>
            </w:r>
            <w:r>
              <w:rPr>
                <w:rFonts w:hint="eastAsia" w:ascii="宋体" w:hAnsi="宋体" w:eastAsia="宋体" w:cs="宋体"/>
                <w:color w:val="auto"/>
                <w:kern w:val="0"/>
                <w:sz w:val="21"/>
                <w:szCs w:val="21"/>
                <w:highlight w:val="none"/>
              </w:rPr>
              <w:t>%（含）及以上得5分，每减少</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%扣1分（不足</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%不扣分），扣至0分为止。</w:t>
            </w:r>
          </w:p>
          <w:p>
            <w:pPr>
              <w:widowControl/>
              <w:spacing w:line="30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（以投标人总行2022年末数据为准，投标文件需提供总行2022年年报证明页，不提供证明材料不得分）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663" w:type="pct"/>
            <w:vMerge w:val="continue"/>
            <w:noWrap w:val="0"/>
            <w:vAlign w:val="center"/>
          </w:tcPr>
          <w:p>
            <w:pPr>
              <w:jc w:val="center"/>
              <w:rPr>
                <w:rFonts w:hint="eastAsia" w:ascii="宋体" w:hAnsi="宋体" w:eastAsia="宋体" w:cs="宋体"/>
                <w:color w:val="auto"/>
                <w:sz w:val="21"/>
                <w:szCs w:val="21"/>
                <w:highlight w:val="none"/>
              </w:rPr>
            </w:pPr>
          </w:p>
        </w:tc>
        <w:tc>
          <w:tcPr>
            <w:tcW w:w="634" w:type="pct"/>
            <w:noWrap w:val="0"/>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流动性比率（本币）</w:t>
            </w:r>
          </w:p>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3702" w:type="pct"/>
            <w:noWrap w:val="0"/>
            <w:vAlign w:val="center"/>
          </w:tcPr>
          <w:p>
            <w:pPr>
              <w:widowControl/>
              <w:spacing w:line="30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2022年度投标银行总行流动性比率（本币）指标情况，60%（含）及以上得5分，每减少5%扣1分（不足5%不扣分），扣至0分为止。</w:t>
            </w:r>
          </w:p>
          <w:p>
            <w:pPr>
              <w:widowControl/>
              <w:spacing w:line="30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（以投标人总行2022年末数据为准，投标文件需提供总行2022年年报证明页，不提供证明材料不得分）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663" w:type="pct"/>
            <w:vMerge w:val="restart"/>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区域经济发展贡献</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634"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企业贷款总规模</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（9分）</w:t>
            </w:r>
          </w:p>
        </w:tc>
        <w:tc>
          <w:tcPr>
            <w:tcW w:w="3702" w:type="pct"/>
            <w:noWrap w:val="0"/>
            <w:vAlign w:val="center"/>
          </w:tcPr>
          <w:p>
            <w:pPr>
              <w:spacing w:line="30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根据2022年度对江北区的区域内企业贷款规模（以当年年末贷款余额为准），按</w:t>
            </w:r>
            <w:r>
              <w:rPr>
                <w:rFonts w:hint="eastAsia" w:ascii="宋体" w:hAnsi="宋体" w:eastAsia="宋体" w:cs="宋体"/>
                <w:bCs/>
                <w:color w:val="auto"/>
                <w:sz w:val="21"/>
                <w:szCs w:val="21"/>
                <w:highlight w:val="none"/>
              </w:rPr>
              <w:t>开标日</w:t>
            </w:r>
            <w:r>
              <w:rPr>
                <w:rFonts w:hint="eastAsia" w:ascii="宋体" w:hAnsi="宋体" w:eastAsia="宋体" w:cs="宋体"/>
                <w:color w:val="auto"/>
                <w:kern w:val="0"/>
                <w:sz w:val="21"/>
                <w:szCs w:val="21"/>
                <w:highlight w:val="none"/>
              </w:rPr>
              <w:t>实际有效投标人的贷款余额合计数值从高到低排序，</w:t>
            </w:r>
            <w:r>
              <w:rPr>
                <w:rFonts w:hint="eastAsia" w:ascii="宋体" w:hAnsi="宋体" w:eastAsia="宋体" w:cs="宋体"/>
                <w:bCs/>
                <w:color w:val="auto"/>
                <w:sz w:val="21"/>
                <w:szCs w:val="21"/>
                <w:highlight w:val="none"/>
              </w:rPr>
              <w:t xml:space="preserve">1-8名得9分，9-12名得8分，13名及之后的得7分。 </w:t>
            </w:r>
          </w:p>
          <w:p>
            <w:p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（投标人自行提供相关证明材料并加盖公章）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pct"/>
            <w:vMerge w:val="continue"/>
            <w:noWrap w:val="0"/>
            <w:vAlign w:val="center"/>
          </w:tcPr>
          <w:p>
            <w:pPr>
              <w:widowControl/>
              <w:jc w:val="center"/>
              <w:rPr>
                <w:rFonts w:hint="eastAsia" w:ascii="宋体" w:hAnsi="宋体" w:eastAsia="宋体" w:cs="宋体"/>
                <w:color w:val="auto"/>
                <w:sz w:val="21"/>
                <w:szCs w:val="21"/>
                <w:highlight w:val="none"/>
              </w:rPr>
            </w:pPr>
          </w:p>
        </w:tc>
        <w:tc>
          <w:tcPr>
            <w:tcW w:w="1263"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 w:val="21"/>
                <w:highlight w:val="none"/>
              </w:rPr>
            </w:pPr>
            <w:r>
              <w:rPr>
                <w:rFonts w:hint="eastAsia" w:ascii="宋体" w:hAnsi="宋体" w:eastAsia="宋体"/>
                <w:color w:val="auto"/>
                <w:sz w:val="21"/>
                <w:highlight w:val="none"/>
              </w:rPr>
              <w:t>政府性融资规模</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21"/>
                <w:szCs w:val="21"/>
                <w:highlight w:val="none"/>
              </w:rPr>
            </w:pPr>
            <w:r>
              <w:rPr>
                <w:rFonts w:hint="eastAsia" w:ascii="宋体" w:hAnsi="宋体" w:eastAsia="宋体"/>
                <w:color w:val="auto"/>
                <w:sz w:val="21"/>
                <w:highlight w:val="none"/>
              </w:rPr>
              <w:t>（</w:t>
            </w:r>
            <w:r>
              <w:rPr>
                <w:rFonts w:hint="eastAsia" w:ascii="宋体" w:hAnsi="宋体"/>
                <w:color w:val="auto"/>
                <w:sz w:val="21"/>
                <w:highlight w:val="none"/>
                <w:lang w:val="en-US" w:eastAsia="zh-CN"/>
              </w:rPr>
              <w:t>9</w:t>
            </w:r>
            <w:r>
              <w:rPr>
                <w:rFonts w:hint="eastAsia" w:ascii="宋体" w:hAnsi="宋体" w:eastAsia="宋体"/>
                <w:color w:val="auto"/>
                <w:sz w:val="21"/>
                <w:highlight w:val="none"/>
              </w:rPr>
              <w:t>分）</w:t>
            </w:r>
          </w:p>
        </w:tc>
        <w:tc>
          <w:tcPr>
            <w:tcW w:w="7374"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line="240" w:lineRule="auto"/>
              <w:jc w:val="left"/>
              <w:textAlignment w:val="auto"/>
              <w:rPr>
                <w:rFonts w:hint="eastAsia" w:ascii="宋体" w:hAnsi="宋体" w:eastAsia="宋体" w:cs="宋体"/>
                <w:color w:val="0000FF"/>
                <w:sz w:val="21"/>
                <w:szCs w:val="21"/>
                <w:highlight w:val="none"/>
              </w:rPr>
            </w:pPr>
            <w:r>
              <w:rPr>
                <w:rFonts w:hint="eastAsia" w:ascii="宋体" w:hAnsi="宋体" w:eastAsia="宋体" w:cs="宋体"/>
                <w:color w:val="auto"/>
                <w:highlight w:val="none"/>
                <w:lang w:eastAsia="zh-CN"/>
              </w:rPr>
              <w:t>根据投标人</w:t>
            </w:r>
            <w:r>
              <w:rPr>
                <w:rFonts w:hint="eastAsia" w:ascii="宋体" w:hAnsi="宋体" w:cs="宋体"/>
                <w:color w:val="auto"/>
                <w:highlight w:val="none"/>
                <w:lang w:val="en-US" w:eastAsia="zh-CN"/>
              </w:rPr>
              <w:t>2022</w:t>
            </w:r>
            <w:r>
              <w:rPr>
                <w:rFonts w:hint="eastAsia" w:ascii="宋体" w:hAnsi="宋体" w:eastAsia="宋体" w:cs="宋体"/>
                <w:color w:val="auto"/>
                <w:highlight w:val="none"/>
                <w:lang w:eastAsia="zh-CN"/>
              </w:rPr>
              <w:t>年度对江北区的区域内政府性融资规模（以当年年末数据为准）。以数值从高到低排序，</w:t>
            </w:r>
            <w:r>
              <w:rPr>
                <w:rFonts w:hint="eastAsia" w:ascii="宋体" w:hAnsi="宋体" w:eastAsia="宋体" w:cs="宋体"/>
                <w:color w:val="auto"/>
                <w:highlight w:val="none"/>
              </w:rPr>
              <w:t>1-</w:t>
            </w:r>
            <w:r>
              <w:rPr>
                <w:rFonts w:hint="eastAsia" w:ascii="宋体" w:hAnsi="宋体" w:cs="宋体"/>
                <w:color w:val="auto"/>
                <w:highlight w:val="none"/>
                <w:lang w:val="en-US" w:eastAsia="zh-CN"/>
              </w:rPr>
              <w:t>8</w:t>
            </w:r>
            <w:r>
              <w:rPr>
                <w:rFonts w:hint="eastAsia" w:ascii="宋体" w:hAnsi="宋体" w:eastAsia="宋体" w:cs="宋体"/>
                <w:color w:val="auto"/>
                <w:highlight w:val="none"/>
              </w:rPr>
              <w:t>名得</w:t>
            </w:r>
            <w:r>
              <w:rPr>
                <w:rFonts w:hint="eastAsia" w:ascii="宋体" w:hAnsi="宋体" w:cs="宋体"/>
                <w:color w:val="auto"/>
                <w:highlight w:val="none"/>
                <w:lang w:val="en-US" w:eastAsia="zh-CN"/>
              </w:rPr>
              <w:t>9</w:t>
            </w:r>
            <w:r>
              <w:rPr>
                <w:rFonts w:hint="eastAsia" w:ascii="宋体" w:hAnsi="宋体" w:eastAsia="宋体" w:cs="宋体"/>
                <w:color w:val="auto"/>
                <w:highlight w:val="none"/>
              </w:rPr>
              <w:t>分,</w:t>
            </w:r>
            <w:r>
              <w:rPr>
                <w:rFonts w:hint="eastAsia" w:ascii="宋体" w:hAnsi="宋体" w:cs="宋体"/>
                <w:color w:val="auto"/>
                <w:highlight w:val="none"/>
                <w:lang w:val="en-US" w:eastAsia="zh-CN"/>
              </w:rPr>
              <w:t>9</w:t>
            </w:r>
            <w:r>
              <w:rPr>
                <w:rFonts w:hint="eastAsia" w:ascii="宋体" w:hAnsi="宋体" w:eastAsia="宋体" w:cs="宋体"/>
                <w:color w:val="auto"/>
                <w:highlight w:val="none"/>
              </w:rPr>
              <w:t>-1</w:t>
            </w:r>
            <w:r>
              <w:rPr>
                <w:rFonts w:hint="eastAsia" w:ascii="宋体" w:hAnsi="宋体" w:cs="宋体"/>
                <w:color w:val="auto"/>
                <w:highlight w:val="none"/>
                <w:lang w:val="en-US" w:eastAsia="zh-CN"/>
              </w:rPr>
              <w:t>2</w:t>
            </w:r>
            <w:r>
              <w:rPr>
                <w:rFonts w:hint="eastAsia" w:ascii="宋体" w:hAnsi="宋体" w:eastAsia="宋体" w:cs="宋体"/>
                <w:color w:val="auto"/>
                <w:highlight w:val="none"/>
              </w:rPr>
              <w:t>名得</w:t>
            </w:r>
            <w:r>
              <w:rPr>
                <w:rFonts w:hint="eastAsia" w:ascii="宋体" w:hAnsi="宋体" w:cs="宋体"/>
                <w:color w:val="auto"/>
                <w:highlight w:val="none"/>
                <w:lang w:val="en-US" w:eastAsia="zh-CN"/>
              </w:rPr>
              <w:t>8</w:t>
            </w:r>
            <w:r>
              <w:rPr>
                <w:rFonts w:hint="eastAsia" w:ascii="宋体" w:hAnsi="宋体" w:eastAsia="宋体" w:cs="宋体"/>
                <w:color w:val="auto"/>
                <w:highlight w:val="none"/>
              </w:rPr>
              <w:t>分,1</w:t>
            </w:r>
            <w:r>
              <w:rPr>
                <w:rFonts w:hint="eastAsia" w:ascii="宋体" w:hAnsi="宋体" w:cs="宋体"/>
                <w:color w:val="auto"/>
                <w:highlight w:val="none"/>
                <w:lang w:val="en-US" w:eastAsia="zh-CN"/>
              </w:rPr>
              <w:t>2</w:t>
            </w:r>
            <w:r>
              <w:rPr>
                <w:rFonts w:hint="eastAsia" w:ascii="宋体" w:hAnsi="宋体" w:eastAsia="宋体" w:cs="宋体"/>
                <w:color w:val="auto"/>
                <w:highlight w:val="none"/>
              </w:rPr>
              <w:t>名之后的得</w:t>
            </w:r>
            <w:r>
              <w:rPr>
                <w:rFonts w:hint="eastAsia" w:ascii="宋体" w:hAnsi="宋体" w:cs="宋体"/>
                <w:color w:val="auto"/>
                <w:highlight w:val="none"/>
                <w:lang w:val="en-US" w:eastAsia="zh-CN"/>
              </w:rPr>
              <w:t>7</w:t>
            </w:r>
            <w:r>
              <w:rPr>
                <w:rFonts w:hint="eastAsia" w:ascii="宋体" w:hAnsi="宋体" w:eastAsia="宋体" w:cs="宋体"/>
                <w:color w:val="auto"/>
                <w:highlight w:val="none"/>
              </w:rPr>
              <w:t>分</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（证明材料以江北区债务办统一提供数据为准，无需编入标书）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663" w:type="pct"/>
            <w:vMerge w:val="continue"/>
            <w:noWrap w:val="0"/>
            <w:vAlign w:val="center"/>
          </w:tcPr>
          <w:p>
            <w:pPr>
              <w:widowControl/>
              <w:jc w:val="center"/>
              <w:rPr>
                <w:rFonts w:hint="eastAsia" w:ascii="宋体" w:hAnsi="宋体" w:eastAsia="宋体" w:cs="宋体"/>
                <w:color w:val="auto"/>
                <w:sz w:val="21"/>
                <w:szCs w:val="21"/>
                <w:highlight w:val="none"/>
              </w:rPr>
            </w:pPr>
          </w:p>
        </w:tc>
        <w:tc>
          <w:tcPr>
            <w:tcW w:w="634" w:type="pct"/>
            <w:noWrap w:val="0"/>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小微企业贷款总额</w:t>
            </w:r>
          </w:p>
          <w:p>
            <w:pPr>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（9分）</w:t>
            </w:r>
          </w:p>
        </w:tc>
        <w:tc>
          <w:tcPr>
            <w:tcW w:w="3702" w:type="pct"/>
            <w:noWrap w:val="0"/>
            <w:vAlign w:val="center"/>
          </w:tcPr>
          <w:p>
            <w:pPr>
              <w:spacing w:line="276"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根据投标人2022年度在江北区范围内小微企业贷款总额，按开标日实际有效投标人的</w:t>
            </w:r>
            <w:r>
              <w:rPr>
                <w:rFonts w:hint="eastAsia" w:ascii="宋体" w:hAnsi="宋体" w:eastAsia="宋体" w:cs="宋体"/>
                <w:color w:val="auto"/>
                <w:kern w:val="0"/>
                <w:sz w:val="21"/>
                <w:szCs w:val="21"/>
                <w:highlight w:val="none"/>
              </w:rPr>
              <w:t>数值</w:t>
            </w:r>
            <w:r>
              <w:rPr>
                <w:rFonts w:hint="eastAsia" w:ascii="宋体" w:hAnsi="宋体" w:eastAsia="宋体" w:cs="宋体"/>
                <w:bCs/>
                <w:color w:val="auto"/>
                <w:sz w:val="21"/>
                <w:szCs w:val="21"/>
                <w:highlight w:val="none"/>
              </w:rPr>
              <w:t>从高到低排名比较，1-8名得9分，9-12名得8分，13名及之后的得7分。</w:t>
            </w:r>
          </w:p>
          <w:p>
            <w:pPr>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（投标人自行提供相关证明材料并加盖公章）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pct"/>
            <w:vMerge w:val="continue"/>
            <w:noWrap w:val="0"/>
            <w:vAlign w:val="center"/>
          </w:tcPr>
          <w:p>
            <w:pPr>
              <w:widowControl/>
              <w:jc w:val="center"/>
              <w:rPr>
                <w:rFonts w:hint="eastAsia" w:ascii="宋体" w:hAnsi="宋体" w:eastAsia="宋体" w:cs="宋体"/>
                <w:color w:val="auto"/>
                <w:sz w:val="21"/>
                <w:szCs w:val="21"/>
                <w:highlight w:val="none"/>
              </w:rPr>
            </w:pPr>
          </w:p>
        </w:tc>
        <w:tc>
          <w:tcPr>
            <w:tcW w:w="634" w:type="pct"/>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税收贡献度</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（9分）</w:t>
            </w:r>
          </w:p>
        </w:tc>
        <w:tc>
          <w:tcPr>
            <w:tcW w:w="3702" w:type="pct"/>
            <w:noWrap w:val="0"/>
            <w:vAlign w:val="center"/>
          </w:tcPr>
          <w:p>
            <w:pPr>
              <w:autoSpaceDE w:val="0"/>
              <w:autoSpaceDN w:val="0"/>
              <w:adjustRightInd w:val="0"/>
              <w:spacing w:line="30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根据2022年度对江北区的税收贡献度（入库期），按</w:t>
            </w:r>
            <w:r>
              <w:rPr>
                <w:rFonts w:hint="eastAsia" w:ascii="宋体" w:hAnsi="宋体" w:eastAsia="宋体" w:cs="宋体"/>
                <w:bCs/>
                <w:color w:val="auto"/>
                <w:sz w:val="21"/>
                <w:szCs w:val="21"/>
                <w:highlight w:val="none"/>
              </w:rPr>
              <w:t>开标日实际有效投标人的</w:t>
            </w:r>
            <w:r>
              <w:rPr>
                <w:rFonts w:hint="eastAsia" w:ascii="宋体" w:hAnsi="宋体" w:eastAsia="宋体" w:cs="宋体"/>
                <w:color w:val="auto"/>
                <w:kern w:val="0"/>
                <w:sz w:val="21"/>
                <w:szCs w:val="21"/>
                <w:highlight w:val="none"/>
              </w:rPr>
              <w:t>数值从高到低排序，1-8名得9分，9-12名得8分，13名及之后的得7分。</w:t>
            </w:r>
          </w:p>
          <w:p>
            <w:pPr>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（提供江北区税务部门出具的书面证明材料（须汇总说明在我区的纳税总额）不提供证明材料不得分）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63" w:type="pct"/>
            <w:vMerge w:val="continue"/>
            <w:noWrap w:val="0"/>
            <w:vAlign w:val="center"/>
          </w:tcPr>
          <w:p>
            <w:pPr>
              <w:widowControl/>
              <w:jc w:val="center"/>
              <w:rPr>
                <w:rFonts w:hint="eastAsia" w:ascii="宋体" w:hAnsi="宋体" w:eastAsia="宋体" w:cs="宋体"/>
                <w:color w:val="auto"/>
                <w:sz w:val="21"/>
                <w:szCs w:val="21"/>
                <w:highlight w:val="none"/>
              </w:rPr>
            </w:pPr>
          </w:p>
        </w:tc>
        <w:tc>
          <w:tcPr>
            <w:tcW w:w="634" w:type="pct"/>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纳税增幅</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分）</w:t>
            </w:r>
          </w:p>
        </w:tc>
        <w:tc>
          <w:tcPr>
            <w:tcW w:w="3702" w:type="pct"/>
            <w:noWrap w:val="0"/>
            <w:vAlign w:val="center"/>
          </w:tcPr>
          <w:p>
            <w:pPr>
              <w:spacing w:line="30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根据2022年度江北区纳税增幅，按</w:t>
            </w:r>
            <w:r>
              <w:rPr>
                <w:rFonts w:hint="eastAsia" w:ascii="宋体" w:hAnsi="宋体" w:eastAsia="宋体" w:cs="宋体"/>
                <w:bCs/>
                <w:color w:val="auto"/>
                <w:sz w:val="21"/>
                <w:szCs w:val="21"/>
                <w:highlight w:val="none"/>
              </w:rPr>
              <w:t>开标日实际有效投标人的</w:t>
            </w:r>
            <w:r>
              <w:rPr>
                <w:rFonts w:hint="eastAsia" w:ascii="宋体" w:hAnsi="宋体" w:eastAsia="宋体" w:cs="宋体"/>
                <w:color w:val="auto"/>
                <w:kern w:val="0"/>
                <w:sz w:val="21"/>
                <w:szCs w:val="21"/>
                <w:highlight w:val="none"/>
              </w:rPr>
              <w:t>数值从高到低排序，1-8名得</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分，9-12名得</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分，13名及之后的得</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分。</w:t>
            </w:r>
          </w:p>
          <w:p>
            <w:p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（提供江北区税务部门出具的书面证明材料（须汇总说明在我区的纳税总额）不提供证明材料不得分）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663" w:type="pct"/>
            <w:vMerge w:val="restart"/>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投标人服务水平</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分）</w:t>
            </w:r>
          </w:p>
        </w:tc>
        <w:tc>
          <w:tcPr>
            <w:tcW w:w="634" w:type="pct"/>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27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金融增值服务方案（5分）</w:t>
            </w:r>
          </w:p>
        </w:tc>
        <w:tc>
          <w:tcPr>
            <w:tcW w:w="3702" w:type="pct"/>
            <w:noWrap w:val="0"/>
            <w:vAlign w:val="center"/>
          </w:tcPr>
          <w:p>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根据投标人针对本项目的</w:t>
            </w:r>
            <w:r>
              <w:rPr>
                <w:rFonts w:hint="eastAsia" w:ascii="宋体" w:hAnsi="宋体" w:eastAsia="宋体" w:cs="宋体"/>
                <w:color w:val="auto"/>
                <w:sz w:val="21"/>
                <w:szCs w:val="21"/>
                <w:highlight w:val="none"/>
                <w:lang w:val="en-US" w:eastAsia="zh-CN"/>
              </w:rPr>
              <w:t>金融增值服务</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的全面性、针对性、操作规范可行性</w:t>
            </w:r>
            <w:r>
              <w:rPr>
                <w:rFonts w:hint="eastAsia" w:ascii="宋体" w:hAnsi="宋体" w:eastAsia="宋体" w:cs="宋体"/>
                <w:color w:val="auto"/>
                <w:sz w:val="21"/>
                <w:szCs w:val="21"/>
                <w:highlight w:val="none"/>
              </w:rPr>
              <w:t>进行综合评议得5-0分。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pct"/>
            <w:vMerge w:val="continue"/>
            <w:noWrap w:val="0"/>
            <w:vAlign w:val="center"/>
          </w:tcPr>
          <w:p>
            <w:pPr>
              <w:widowControl/>
              <w:jc w:val="center"/>
              <w:rPr>
                <w:rFonts w:hint="eastAsia" w:ascii="宋体" w:hAnsi="宋体" w:eastAsia="宋体" w:cs="宋体"/>
                <w:color w:val="auto"/>
                <w:sz w:val="21"/>
                <w:szCs w:val="21"/>
                <w:highlight w:val="none"/>
              </w:rPr>
            </w:pPr>
          </w:p>
        </w:tc>
        <w:tc>
          <w:tcPr>
            <w:tcW w:w="634" w:type="pct"/>
            <w:noWrap w:val="0"/>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服务水平</w:t>
            </w:r>
          </w:p>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3702" w:type="pct"/>
            <w:noWrap w:val="0"/>
            <w:vAlign w:val="center"/>
          </w:tcPr>
          <w:p>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是否具备完整的信息系统，柜面、网上、电话等对账查询服务，子账户核算服务功能，并能按招标人要求进行分类查询、提供账单；能提供快速的服务响应；是否承诺对银行自收的各项服务费用全免等方面进行综合评议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63" w:type="pct"/>
            <w:vMerge w:val="continue"/>
            <w:noWrap w:val="0"/>
            <w:vAlign w:val="center"/>
          </w:tcPr>
          <w:p>
            <w:pPr>
              <w:widowControl/>
              <w:jc w:val="center"/>
              <w:rPr>
                <w:rFonts w:hint="eastAsia" w:ascii="宋体" w:hAnsi="宋体" w:eastAsia="宋体" w:cs="宋体"/>
                <w:color w:val="auto"/>
                <w:sz w:val="21"/>
                <w:szCs w:val="21"/>
                <w:highlight w:val="none"/>
              </w:rPr>
            </w:pPr>
          </w:p>
        </w:tc>
        <w:tc>
          <w:tcPr>
            <w:tcW w:w="634" w:type="pct"/>
            <w:noWrap w:val="0"/>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保障与风险控制</w:t>
            </w:r>
          </w:p>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3702" w:type="pct"/>
            <w:noWrap w:val="0"/>
            <w:vAlign w:val="center"/>
          </w:tcPr>
          <w:p>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根据投标人针对本项目的安全保障、财务稳健保障与风险控制方案进行综合评议得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663" w:type="pct"/>
            <w:vMerge w:val="continue"/>
            <w:noWrap w:val="0"/>
            <w:vAlign w:val="center"/>
          </w:tcPr>
          <w:p>
            <w:pPr>
              <w:widowControl/>
              <w:jc w:val="center"/>
              <w:rPr>
                <w:rFonts w:hint="eastAsia" w:ascii="宋体" w:hAnsi="宋体" w:eastAsia="宋体" w:cs="宋体"/>
                <w:color w:val="auto"/>
                <w:sz w:val="21"/>
                <w:szCs w:val="21"/>
                <w:highlight w:val="none"/>
              </w:rPr>
            </w:pPr>
          </w:p>
        </w:tc>
        <w:tc>
          <w:tcPr>
            <w:tcW w:w="634" w:type="pct"/>
            <w:noWrap w:val="0"/>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综合服务</w:t>
            </w:r>
          </w:p>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702" w:type="pct"/>
            <w:noWrap w:val="0"/>
            <w:vAlign w:val="center"/>
          </w:tcPr>
          <w:p>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配备的对口服务团队，要求提供详细成员介绍、联系方式，根据服务团队人员数量、资历配备、高效服务以及根据预算单位要求开设的各类账户并对投标人关于账户的开设与管理措施能力等进行综合评议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pct"/>
            <w:vMerge w:val="continue"/>
            <w:noWrap w:val="0"/>
            <w:vAlign w:val="center"/>
          </w:tcPr>
          <w:p>
            <w:pPr>
              <w:widowControl/>
              <w:jc w:val="center"/>
              <w:rPr>
                <w:rFonts w:hint="eastAsia" w:ascii="宋体" w:hAnsi="宋体" w:eastAsia="宋体" w:cs="宋体"/>
                <w:color w:val="auto"/>
                <w:sz w:val="21"/>
                <w:szCs w:val="21"/>
                <w:highlight w:val="none"/>
              </w:rPr>
            </w:pPr>
          </w:p>
        </w:tc>
        <w:tc>
          <w:tcPr>
            <w:tcW w:w="634"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网点配置（</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702" w:type="pct"/>
            <w:noWrap w:val="0"/>
            <w:vAlign w:val="center"/>
          </w:tcPr>
          <w:p>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根据投标人在江北区区域内设置的物理网点数量(不含ATM机)进行评分,在10个以上的得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分,8个(含)-10个(含)得2分,8个以下得1分。投标文件中须附各网点名称、位置、负责人及</w:t>
            </w:r>
            <w:r>
              <w:rPr>
                <w:rFonts w:hint="eastAsia" w:ascii="宋体" w:hAnsi="宋体" w:eastAsia="宋体" w:cs="宋体"/>
                <w:color w:val="auto"/>
                <w:sz w:val="21"/>
                <w:szCs w:val="21"/>
                <w:highlight w:val="none"/>
                <w:lang w:val="en-US" w:eastAsia="zh-CN"/>
              </w:rPr>
              <w:t>联系方式清单。</w:t>
            </w:r>
          </w:p>
        </w:tc>
      </w:tr>
    </w:tbl>
    <w:p>
      <w:pPr>
        <w:rPr>
          <w:rFonts w:hint="eastAsia" w:ascii="宋体" w:hAnsi="宋体" w:eastAsia="宋体" w:cs="宋体"/>
          <w:color w:val="auto"/>
          <w:highlight w:val="none"/>
        </w:rPr>
      </w:pPr>
    </w:p>
    <w:p>
      <w:pPr>
        <w:pStyle w:val="9"/>
        <w:snapToGrid w:val="0"/>
        <w:spacing w:line="360" w:lineRule="auto"/>
        <w:ind w:left="0" w:leftChars="0"/>
        <w:jc w:val="left"/>
        <w:rPr>
          <w:rFonts w:hint="eastAsia" w:ascii="宋体" w:hAnsi="宋体" w:eastAsia="宋体" w:cs="宋体"/>
          <w:b/>
          <w:color w:val="auto"/>
          <w:sz w:val="21"/>
          <w:szCs w:val="21"/>
          <w:highlight w:val="none"/>
        </w:rPr>
      </w:pPr>
    </w:p>
    <w:p>
      <w:pPr>
        <w:widowControl/>
        <w:jc w:val="left"/>
        <w:rPr>
          <w:rFonts w:hint="eastAsia" w:ascii="宋体" w:hAnsi="宋体" w:eastAsia="宋体" w:cs="宋体"/>
          <w:color w:val="auto"/>
          <w:highlight w:val="none"/>
        </w:rPr>
      </w:pPr>
    </w:p>
    <w:p>
      <w:pPr>
        <w:rPr>
          <w:rFonts w:hint="eastAsia" w:ascii="宋体" w:hAnsi="宋体" w:eastAsia="宋体" w:cs="宋体"/>
          <w:color w:val="auto"/>
          <w:sz w:val="28"/>
          <w:szCs w:val="32"/>
          <w:highlight w:val="none"/>
        </w:rPr>
      </w:pPr>
      <w:bookmarkStart w:id="60" w:name="_Toc76572281"/>
      <w:bookmarkStart w:id="61" w:name="_Toc34844745"/>
      <w:bookmarkStart w:id="62" w:name="_Toc47976785"/>
      <w:bookmarkStart w:id="63" w:name="_Toc36194039"/>
      <w:r>
        <w:rPr>
          <w:rFonts w:hint="eastAsia" w:ascii="宋体" w:hAnsi="宋体" w:eastAsia="宋体" w:cs="宋体"/>
          <w:color w:val="auto"/>
          <w:sz w:val="28"/>
          <w:szCs w:val="32"/>
          <w:highlight w:val="none"/>
        </w:rPr>
        <w:br w:type="page"/>
      </w:r>
    </w:p>
    <w:p>
      <w:pPr>
        <w:pStyle w:val="3"/>
        <w:spacing w:before="0" w:after="0" w:line="360" w:lineRule="auto"/>
        <w:jc w:val="center"/>
        <w:rPr>
          <w:rFonts w:hint="eastAsia" w:ascii="宋体" w:hAnsi="宋体" w:eastAsia="宋体" w:cs="宋体"/>
          <w:color w:val="auto"/>
          <w:sz w:val="28"/>
          <w:szCs w:val="32"/>
          <w:highlight w:val="none"/>
        </w:rPr>
      </w:pPr>
      <w:bookmarkStart w:id="64" w:name="_Toc26952"/>
      <w:r>
        <w:rPr>
          <w:rFonts w:hint="eastAsia" w:ascii="宋体" w:hAnsi="宋体" w:eastAsia="宋体" w:cs="宋体"/>
          <w:color w:val="auto"/>
          <w:sz w:val="28"/>
          <w:szCs w:val="32"/>
          <w:highlight w:val="none"/>
        </w:rPr>
        <w:t>第四章  招标需求</w:t>
      </w:r>
      <w:bookmarkEnd w:id="60"/>
      <w:bookmarkEnd w:id="64"/>
    </w:p>
    <w:p>
      <w:pPr>
        <w:widowControl/>
        <w:spacing w:line="360" w:lineRule="auto"/>
        <w:ind w:left="61" w:leftChars="29" w:right="-540" w:rightChars="-257" w:firstLine="420" w:firstLineChars="200"/>
        <w:jc w:val="left"/>
        <w:rPr>
          <w:rFonts w:hint="eastAsia" w:ascii="宋体" w:hAnsi="宋体" w:eastAsia="宋体" w:cs="宋体"/>
          <w:bCs/>
          <w:color w:val="auto"/>
          <w:szCs w:val="21"/>
          <w:highlight w:val="none"/>
          <w:lang w:eastAsia="zh-CN"/>
        </w:rPr>
      </w:pPr>
      <w:bookmarkStart w:id="65" w:name="_Toc324412565"/>
      <w:bookmarkStart w:id="66" w:name="_Toc222735436"/>
      <w:bookmarkStart w:id="67" w:name="_Toc259429100"/>
      <w:bookmarkStart w:id="68" w:name="_Toc263148909"/>
      <w:bookmarkStart w:id="69" w:name="_Toc324254278"/>
      <w:bookmarkStart w:id="70" w:name="_Toc195098609"/>
      <w:r>
        <w:rPr>
          <w:rFonts w:hint="eastAsia" w:ascii="宋体" w:hAnsi="宋体" w:eastAsia="宋体" w:cs="宋体"/>
          <w:bCs/>
          <w:color w:val="auto"/>
          <w:szCs w:val="21"/>
          <w:highlight w:val="none"/>
          <w:lang w:eastAsia="zh-CN"/>
        </w:rPr>
        <w:t>一、招标内容</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838"/>
        <w:gridCol w:w="4027"/>
        <w:gridCol w:w="1088"/>
        <w:gridCol w:w="1088"/>
        <w:gridCol w:w="291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421"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021"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内容</w:t>
            </w:r>
          </w:p>
        </w:tc>
        <w:tc>
          <w:tcPr>
            <w:tcW w:w="546"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546"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tc>
        <w:tc>
          <w:tcPr>
            <w:tcW w:w="146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7" w:hRule="atLeast"/>
          <w:jc w:val="center"/>
        </w:trPr>
        <w:tc>
          <w:tcPr>
            <w:tcW w:w="421"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2021"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庄桥街道城市建设管理办公室基本账户银行开户项目（重招）</w:t>
            </w:r>
          </w:p>
        </w:tc>
        <w:tc>
          <w:tcPr>
            <w:tcW w:w="546"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546"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家</w:t>
            </w:r>
          </w:p>
        </w:tc>
        <w:tc>
          <w:tcPr>
            <w:tcW w:w="146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六年</w:t>
            </w:r>
          </w:p>
        </w:tc>
      </w:tr>
    </w:tbl>
    <w:p>
      <w:pPr>
        <w:keepNext w:val="0"/>
        <w:keepLines w:val="0"/>
        <w:pageBreakBefore w:val="0"/>
        <w:widowControl/>
        <w:kinsoku/>
        <w:wordWrap/>
        <w:overflowPunct/>
        <w:topLinePunct w:val="0"/>
        <w:autoSpaceDE/>
        <w:autoSpaceDN/>
        <w:bidi w:val="0"/>
        <w:adjustRightInd/>
        <w:snapToGrid/>
        <w:spacing w:before="157" w:beforeLines="50" w:line="360" w:lineRule="auto"/>
        <w:ind w:left="61" w:leftChars="29" w:right="-540" w:rightChars="-257" w:firstLine="420" w:firstLineChars="200"/>
        <w:jc w:val="lef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二</w:t>
      </w:r>
      <w:r>
        <w:rPr>
          <w:rFonts w:hint="eastAsia" w:ascii="宋体" w:hAnsi="宋体" w:eastAsia="宋体" w:cs="宋体"/>
          <w:bCs/>
          <w:color w:val="auto"/>
          <w:szCs w:val="21"/>
          <w:highlight w:val="none"/>
          <w:lang w:eastAsia="zh-CN"/>
        </w:rPr>
        <w:t>、账户要求</w:t>
      </w:r>
    </w:p>
    <w:p>
      <w:pPr>
        <w:widowControl/>
        <w:numPr>
          <w:ilvl w:val="0"/>
          <w:numId w:val="7"/>
        </w:numPr>
        <w:spacing w:line="360" w:lineRule="auto"/>
        <w:ind w:left="0" w:leftChars="0" w:right="-540" w:rightChars="-257" w:firstLine="400" w:firstLineChars="0"/>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账户情况表</w:t>
      </w:r>
    </w:p>
    <w:p>
      <w:pPr>
        <w:widowControl/>
        <w:numPr>
          <w:ilvl w:val="0"/>
          <w:numId w:val="0"/>
        </w:numPr>
        <w:spacing w:line="360" w:lineRule="auto"/>
        <w:ind w:left="400" w:leftChars="0" w:right="-540" w:rightChars="-257"/>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（1）基本存款账户。</w:t>
      </w:r>
    </w:p>
    <w:p>
      <w:pPr>
        <w:widowControl/>
        <w:numPr>
          <w:ilvl w:val="0"/>
          <w:numId w:val="7"/>
        </w:numPr>
        <w:spacing w:line="360" w:lineRule="auto"/>
        <w:ind w:left="0" w:leftChars="0" w:right="-540" w:rightChars="-257" w:firstLine="400" w:firstLineChars="0"/>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账户存款（具体金额根据实际情况确定），对存入的资金进行记账、按中标承诺优惠利率计息。利息一个季度结算一次，提供一式多联的利息通知单。</w:t>
      </w:r>
    </w:p>
    <w:p>
      <w:pPr>
        <w:widowControl/>
        <w:numPr>
          <w:ilvl w:val="0"/>
          <w:numId w:val="7"/>
        </w:numPr>
        <w:spacing w:line="360" w:lineRule="auto"/>
        <w:ind w:left="0" w:leftChars="0" w:right="-540" w:rightChars="-257" w:firstLine="400" w:firstLineChars="0"/>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包括日常资金收付结算服务、账户对账服务、年检服务、网银操作、安全性、流动性保障等在内的一切配套基本服务。</w:t>
      </w:r>
    </w:p>
    <w:p>
      <w:pPr>
        <w:widowControl/>
        <w:numPr>
          <w:ilvl w:val="0"/>
          <w:numId w:val="7"/>
        </w:numPr>
        <w:spacing w:line="360" w:lineRule="auto"/>
        <w:ind w:left="0" w:leftChars="0" w:right="-540" w:rightChars="-257" w:firstLine="400" w:firstLineChars="0"/>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投标人应提供服务费用减免等银行服务优惠措施。</w:t>
      </w:r>
    </w:p>
    <w:p>
      <w:pPr>
        <w:widowControl/>
        <w:numPr>
          <w:ilvl w:val="0"/>
          <w:numId w:val="7"/>
        </w:numPr>
        <w:spacing w:line="360" w:lineRule="auto"/>
        <w:ind w:left="0" w:leftChars="0" w:right="-540" w:rightChars="-257" w:firstLine="400" w:firstLineChars="0"/>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投标人应在投标文件中明确本项目的项目负责人及项目团队人员，并在提供项目负责人及项目团队人员的姓名和联系方式。项目负责人信息、技术服务部门信息必须明确详尽（包括联系人、联系电话、传真、地址和电子邮件信息）。</w:t>
      </w:r>
    </w:p>
    <w:p>
      <w:pPr>
        <w:widowControl/>
        <w:numPr>
          <w:ilvl w:val="0"/>
          <w:numId w:val="7"/>
        </w:numPr>
        <w:spacing w:line="360" w:lineRule="auto"/>
        <w:ind w:left="0" w:leftChars="0" w:right="-540" w:rightChars="-257" w:firstLine="400" w:firstLineChars="0"/>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项目负责人全权负责与本项目相关全部事宜，包括履行服务承诺、接受投诉、接受相关监督管理部门对执行情况的考核等事务。</w:t>
      </w:r>
    </w:p>
    <w:p>
      <w:pPr>
        <w:widowControl/>
        <w:numPr>
          <w:ilvl w:val="0"/>
          <w:numId w:val="7"/>
        </w:numPr>
        <w:spacing w:line="360" w:lineRule="auto"/>
        <w:ind w:left="0" w:leftChars="0" w:right="-540" w:rightChars="-257" w:firstLine="400" w:firstLineChars="0"/>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依法为采购人的账户信息保密。</w:t>
      </w:r>
    </w:p>
    <w:p>
      <w:pPr>
        <w:widowControl/>
        <w:spacing w:line="360" w:lineRule="auto"/>
        <w:ind w:firstLine="420" w:firstLineChars="200"/>
        <w:contextualSpacing/>
        <w:jc w:val="left"/>
        <w:rPr>
          <w:rFonts w:hint="eastAsia" w:ascii="宋体" w:hAnsi="宋体" w:eastAsia="宋体" w:cs="宋体"/>
          <w:bCs/>
          <w:color w:val="auto"/>
          <w:szCs w:val="21"/>
          <w:highlight w:val="none"/>
          <w:lang w:eastAsia="zh-CN"/>
        </w:rPr>
      </w:pPr>
      <w:r>
        <w:rPr>
          <w:rFonts w:hint="eastAsia" w:ascii="宋体" w:hAnsi="宋体" w:cs="宋体"/>
          <w:b w:val="0"/>
          <w:bCs/>
          <w:color w:val="auto"/>
          <w:szCs w:val="21"/>
          <w:highlight w:val="none"/>
          <w:lang w:val="en-US" w:eastAsia="zh-CN"/>
        </w:rPr>
        <w:t>三</w:t>
      </w:r>
      <w:r>
        <w:rPr>
          <w:rFonts w:hint="eastAsia" w:ascii="宋体" w:hAnsi="宋体" w:eastAsia="宋体" w:cs="宋体"/>
          <w:b w:val="0"/>
          <w:bCs/>
          <w:color w:val="auto"/>
          <w:szCs w:val="21"/>
          <w:highlight w:val="none"/>
        </w:rPr>
        <w:t>、服务期限</w:t>
      </w:r>
      <w:r>
        <w:rPr>
          <w:rFonts w:hint="eastAsia" w:ascii="宋体" w:hAnsi="宋体" w:cs="宋体"/>
          <w:b w:val="0"/>
          <w:bCs/>
          <w:color w:val="auto"/>
          <w:szCs w:val="21"/>
          <w:highlight w:val="none"/>
          <w:lang w:eastAsia="zh-CN"/>
        </w:rPr>
        <w:t>：</w:t>
      </w:r>
      <w:r>
        <w:rPr>
          <w:rFonts w:hint="eastAsia" w:ascii="宋体" w:hAnsi="宋体" w:cs="宋体"/>
          <w:color w:val="auto"/>
          <w:szCs w:val="21"/>
          <w:highlight w:val="none"/>
        </w:rPr>
        <w:t>自合同签订之日起六年。协议（合同）一年一签。一年期满后，</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的服务达到了要求和投标承诺的，经双方同意可续签订下一周期的协议。合同期内</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服务不能达到招标要求和投标承诺的，</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有权终止合同或协议。</w:t>
      </w:r>
    </w:p>
    <w:p>
      <w:pPr>
        <w:widowControl/>
        <w:spacing w:line="360" w:lineRule="auto"/>
        <w:ind w:right="-540" w:rightChars="-257" w:firstLine="420" w:firstLineChars="200"/>
        <w:jc w:val="left"/>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val="en-US" w:eastAsia="zh-CN"/>
        </w:rPr>
        <w:t>四</w:t>
      </w:r>
      <w:r>
        <w:rPr>
          <w:rFonts w:hint="eastAsia" w:ascii="宋体" w:hAnsi="宋体" w:eastAsia="宋体" w:cs="宋体"/>
          <w:b w:val="0"/>
          <w:bCs/>
          <w:color w:val="auto"/>
          <w:szCs w:val="21"/>
          <w:highlight w:val="none"/>
          <w:lang w:eastAsia="zh-CN"/>
        </w:rPr>
        <w:t>、其他服务要求：</w:t>
      </w:r>
    </w:p>
    <w:p>
      <w:pPr>
        <w:widowControl/>
        <w:numPr>
          <w:ilvl w:val="0"/>
          <w:numId w:val="8"/>
        </w:numPr>
        <w:spacing w:line="360" w:lineRule="auto"/>
        <w:ind w:left="0" w:leftChars="0" w:right="-540" w:rightChars="-257" w:firstLine="400" w:firstLineChars="0"/>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银行故障或招标人工作遇到疑问时，投标人应该能够30分钟内及时响应招标人疑问或维修要求，并在2小时内提出解决方案，24小时内解决问题；</w:t>
      </w:r>
    </w:p>
    <w:p>
      <w:pPr>
        <w:widowControl/>
        <w:numPr>
          <w:ilvl w:val="0"/>
          <w:numId w:val="8"/>
        </w:numPr>
        <w:spacing w:line="360" w:lineRule="auto"/>
        <w:ind w:left="0" w:leftChars="0" w:right="-540" w:rightChars="-257" w:firstLine="400" w:firstLineChars="0"/>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其他招标人提出的合理的服务要求。</w:t>
      </w:r>
    </w:p>
    <w:bookmarkEnd w:id="65"/>
    <w:bookmarkEnd w:id="66"/>
    <w:bookmarkEnd w:id="67"/>
    <w:bookmarkEnd w:id="68"/>
    <w:bookmarkEnd w:id="69"/>
    <w:bookmarkEnd w:id="70"/>
    <w:p>
      <w:pPr>
        <w:widowControl/>
        <w:spacing w:line="360" w:lineRule="auto"/>
        <w:ind w:left="61" w:leftChars="29" w:right="-540" w:rightChars="-257" w:firstLine="420" w:firstLineChars="200"/>
        <w:jc w:val="left"/>
        <w:rPr>
          <w:rFonts w:hint="eastAsia" w:ascii="宋体" w:hAnsi="宋体" w:eastAsia="宋体" w:cs="宋体"/>
          <w:bCs/>
          <w:color w:val="auto"/>
          <w:szCs w:val="21"/>
          <w:highlight w:val="none"/>
          <w:lang w:eastAsia="zh-CN"/>
        </w:rPr>
      </w:pPr>
    </w:p>
    <w:p>
      <w:pPr>
        <w:widowControl/>
        <w:jc w:val="left"/>
        <w:rPr>
          <w:rFonts w:hint="eastAsia" w:ascii="宋体" w:hAnsi="宋体" w:eastAsia="宋体" w:cs="宋体"/>
          <w:b/>
          <w:bCs/>
          <w:color w:val="auto"/>
          <w:kern w:val="44"/>
          <w:sz w:val="28"/>
          <w:szCs w:val="32"/>
          <w:highlight w:val="none"/>
        </w:rPr>
      </w:pPr>
      <w:r>
        <w:rPr>
          <w:rFonts w:hint="eastAsia" w:ascii="宋体" w:hAnsi="宋体" w:eastAsia="宋体" w:cs="宋体"/>
          <w:b/>
          <w:snapToGrid w:val="0"/>
          <w:color w:val="auto"/>
          <w:kern w:val="0"/>
          <w:sz w:val="36"/>
          <w:szCs w:val="36"/>
          <w:highlight w:val="none"/>
        </w:rPr>
        <w:br w:type="page"/>
      </w:r>
    </w:p>
    <w:p>
      <w:pPr>
        <w:pStyle w:val="3"/>
        <w:spacing w:before="0" w:after="0" w:line="360" w:lineRule="auto"/>
        <w:jc w:val="center"/>
        <w:rPr>
          <w:rFonts w:hint="eastAsia" w:ascii="宋体" w:hAnsi="宋体" w:eastAsia="宋体" w:cs="宋体"/>
          <w:color w:val="auto"/>
          <w:sz w:val="28"/>
          <w:szCs w:val="32"/>
          <w:highlight w:val="none"/>
        </w:rPr>
      </w:pPr>
      <w:bookmarkStart w:id="71" w:name="_Toc31254"/>
      <w:r>
        <w:rPr>
          <w:rFonts w:hint="eastAsia" w:ascii="宋体" w:hAnsi="宋体" w:eastAsia="宋体" w:cs="宋体"/>
          <w:color w:val="auto"/>
          <w:sz w:val="28"/>
          <w:szCs w:val="32"/>
          <w:highlight w:val="none"/>
        </w:rPr>
        <w:t>第五章  合同文本</w:t>
      </w:r>
      <w:bookmarkEnd w:id="61"/>
      <w:bookmarkEnd w:id="62"/>
      <w:bookmarkEnd w:id="63"/>
      <w:bookmarkEnd w:id="71"/>
    </w:p>
    <w:p>
      <w:pPr>
        <w:pStyle w:val="15"/>
        <w:spacing w:before="0" w:beforeLines="0" w:after="0" w:afterLines="0" w:line="360" w:lineRule="auto"/>
        <w:ind w:firstLine="420" w:firstLineChars="200"/>
        <w:contextualSpacing/>
        <w:rPr>
          <w:rFonts w:hint="default" w:hAnsi="宋体" w:eastAsia="宋体" w:cs="宋体"/>
          <w:color w:val="auto"/>
          <w:sz w:val="21"/>
          <w:szCs w:val="21"/>
          <w:highlight w:val="none"/>
          <w:lang w:val="en-US" w:eastAsia="zh-CN"/>
        </w:rPr>
      </w:pPr>
      <w:r>
        <w:rPr>
          <w:rFonts w:hint="eastAsia" w:hAnsi="宋体" w:cs="宋体"/>
          <w:color w:val="auto"/>
          <w:sz w:val="21"/>
          <w:szCs w:val="21"/>
          <w:highlight w:val="none"/>
        </w:rPr>
        <w:t>项目名称：</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 xml:space="preserve">     </w:t>
      </w:r>
    </w:p>
    <w:p>
      <w:pPr>
        <w:pStyle w:val="15"/>
        <w:spacing w:before="0" w:beforeLines="0" w:after="0" w:afterLines="0" w:line="360" w:lineRule="auto"/>
        <w:ind w:firstLine="420" w:firstLineChars="200"/>
        <w:contextualSpacing/>
        <w:rPr>
          <w:rFonts w:hint="default" w:hAnsi="宋体" w:eastAsia="宋体" w:cs="宋体"/>
          <w:color w:val="auto"/>
          <w:sz w:val="21"/>
          <w:szCs w:val="21"/>
          <w:highlight w:val="none"/>
          <w:u w:val="single"/>
          <w:lang w:val="en-US" w:eastAsia="zh-CN"/>
        </w:rPr>
      </w:pPr>
      <w:r>
        <w:rPr>
          <w:rFonts w:hint="eastAsia" w:hAnsi="宋体" w:cs="宋体"/>
          <w:color w:val="auto"/>
          <w:sz w:val="21"/>
          <w:szCs w:val="21"/>
          <w:highlight w:val="none"/>
        </w:rPr>
        <w:t>项目编号：</w:t>
      </w:r>
      <w:r>
        <w:rPr>
          <w:rFonts w:hint="eastAsia" w:hAnsi="宋体" w:cs="宋体"/>
          <w:color w:val="auto"/>
          <w:sz w:val="21"/>
          <w:szCs w:val="21"/>
          <w:highlight w:val="none"/>
          <w:u w:val="single"/>
          <w:lang w:val="en-US" w:eastAsia="zh-CN"/>
        </w:rPr>
        <w:t xml:space="preserve">                          </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甲方：</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eastAsia="zh-CN"/>
        </w:rPr>
        <w:t>甲方</w:t>
      </w:r>
      <w:r>
        <w:rPr>
          <w:rFonts w:hint="eastAsia" w:hAnsi="宋体" w:cs="宋体"/>
          <w:color w:val="auto"/>
          <w:sz w:val="21"/>
          <w:szCs w:val="21"/>
          <w:highlight w:val="none"/>
          <w:u w:val="single"/>
        </w:rPr>
        <w:t>）</w:t>
      </w:r>
    </w:p>
    <w:p>
      <w:pPr>
        <w:pStyle w:val="15"/>
        <w:spacing w:before="0" w:beforeLines="0" w:after="0" w:afterLines="0" w:line="360" w:lineRule="auto"/>
        <w:ind w:firstLine="420" w:firstLineChars="200"/>
        <w:contextualSpacing/>
        <w:rPr>
          <w:rFonts w:hint="eastAsia" w:hAnsi="宋体" w:cs="宋体"/>
          <w:color w:val="auto"/>
          <w:sz w:val="21"/>
          <w:szCs w:val="21"/>
          <w:highlight w:val="none"/>
          <w:u w:val="single"/>
        </w:rPr>
      </w:pPr>
      <w:r>
        <w:rPr>
          <w:rFonts w:hint="eastAsia" w:hAnsi="宋体" w:cs="宋体"/>
          <w:color w:val="auto"/>
          <w:sz w:val="21"/>
          <w:szCs w:val="21"/>
          <w:highlight w:val="none"/>
        </w:rPr>
        <w:t>乙方：</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eastAsia="zh-CN"/>
        </w:rPr>
        <w:t>乙方</w:t>
      </w:r>
      <w:r>
        <w:rPr>
          <w:rFonts w:hint="eastAsia" w:hAnsi="宋体" w:cs="宋体"/>
          <w:color w:val="auto"/>
          <w:sz w:val="21"/>
          <w:szCs w:val="21"/>
          <w:highlight w:val="none"/>
          <w:u w:val="single"/>
        </w:rPr>
        <w:t>）</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甲乙双方根据</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rPr>
        <w:t>公开招标的结果，签署本合同。</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下述文件作为附件，是本合同的一部分，并与本合同一起阅读和解释：</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a.招标文件；</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b.投标文件；</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c.中标通知书；</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上述文件与合同若有不一致之处，优先次序第一应为合同、第二应为附件(附件的优先次序为 c,b,a)。</w:t>
      </w:r>
    </w:p>
    <w:p>
      <w:pPr>
        <w:pStyle w:val="15"/>
        <w:spacing w:before="0" w:beforeLines="0" w:after="0" w:afterLines="0" w:line="360" w:lineRule="auto"/>
        <w:ind w:firstLine="422" w:firstLineChars="200"/>
        <w:contextualSpacing/>
        <w:rPr>
          <w:rFonts w:hint="eastAsia" w:hAnsi="宋体" w:cs="宋体"/>
          <w:b/>
          <w:bCs/>
          <w:color w:val="auto"/>
          <w:sz w:val="21"/>
          <w:szCs w:val="21"/>
          <w:highlight w:val="none"/>
        </w:rPr>
      </w:pPr>
      <w:r>
        <w:rPr>
          <w:rFonts w:hint="eastAsia" w:hAnsi="宋体" w:cs="宋体"/>
          <w:b/>
          <w:color w:val="auto"/>
          <w:sz w:val="21"/>
          <w:szCs w:val="21"/>
          <w:highlight w:val="none"/>
        </w:rPr>
        <w:t>一、服务内容及要求</w:t>
      </w:r>
    </w:p>
    <w:p>
      <w:pPr>
        <w:keepNext w:val="0"/>
        <w:keepLines w:val="0"/>
        <w:pageBreakBefore w:val="0"/>
        <w:widowControl/>
        <w:kinsoku/>
        <w:wordWrap/>
        <w:overflowPunct/>
        <w:topLinePunct w:val="0"/>
        <w:autoSpaceDE/>
        <w:autoSpaceDN/>
        <w:bidi w:val="0"/>
        <w:adjustRightInd/>
        <w:snapToGrid/>
        <w:spacing w:line="360" w:lineRule="auto"/>
        <w:ind w:right="0" w:rightChars="0" w:firstLine="422" w:firstLineChars="200"/>
        <w:jc w:val="left"/>
        <w:textAlignment w:val="auto"/>
        <w:rPr>
          <w:rFonts w:hint="eastAsia" w:ascii="宋体" w:hAnsi="宋体" w:eastAsia="宋体" w:cs="宋体"/>
          <w:b/>
          <w:bCs w:val="0"/>
          <w:color w:val="auto"/>
          <w:szCs w:val="21"/>
          <w:highlight w:val="none"/>
        </w:rPr>
      </w:pPr>
      <w:r>
        <w:rPr>
          <w:rFonts w:hint="eastAsia" w:ascii="宋体" w:hAnsi="宋体" w:cs="宋体"/>
          <w:b/>
          <w:bCs w:val="0"/>
          <w:color w:val="auto"/>
          <w:szCs w:val="21"/>
          <w:highlight w:val="none"/>
          <w:lang w:val="en-US" w:eastAsia="zh-CN"/>
        </w:rPr>
        <w:t>1.</w:t>
      </w:r>
      <w:r>
        <w:rPr>
          <w:rFonts w:hint="eastAsia" w:ascii="宋体" w:hAnsi="宋体" w:eastAsia="宋体" w:cs="宋体"/>
          <w:b/>
          <w:bCs w:val="0"/>
          <w:color w:val="auto"/>
          <w:szCs w:val="21"/>
          <w:highlight w:val="none"/>
        </w:rPr>
        <w:t>账户要求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1.1</w:t>
      </w:r>
      <w:r>
        <w:rPr>
          <w:rFonts w:hint="eastAsia" w:ascii="宋体" w:hAnsi="宋体" w:eastAsia="宋体" w:cs="宋体"/>
          <w:bCs/>
          <w:color w:val="auto"/>
          <w:szCs w:val="21"/>
          <w:highlight w:val="none"/>
          <w:lang w:eastAsia="zh-CN"/>
        </w:rPr>
        <w:t>账户开立及存款：</w:t>
      </w:r>
      <w:r>
        <w:rPr>
          <w:rFonts w:hint="eastAsia" w:ascii="宋体" w:hAnsi="宋体" w:cs="宋体"/>
          <w:bCs/>
          <w:color w:val="auto"/>
          <w:szCs w:val="21"/>
          <w:highlight w:val="none"/>
          <w:lang w:eastAsia="zh-CN"/>
        </w:rPr>
        <w:t>庄桥街道城市建设管理办公室基本账户银行开户项目（重招）</w:t>
      </w:r>
      <w:r>
        <w:rPr>
          <w:rFonts w:hint="eastAsia" w:ascii="宋体" w:hAnsi="宋体" w:eastAsia="宋体" w:cs="宋体"/>
          <w:bCs/>
          <w:color w:val="auto"/>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1.2</w:t>
      </w:r>
      <w:r>
        <w:rPr>
          <w:rFonts w:hint="eastAsia" w:ascii="宋体" w:hAnsi="宋体" w:eastAsia="宋体" w:cs="宋体"/>
          <w:bCs/>
          <w:color w:val="auto"/>
          <w:szCs w:val="21"/>
          <w:highlight w:val="none"/>
          <w:lang w:eastAsia="zh-CN"/>
        </w:rPr>
        <w:t>账户存款（具体金额根据</w:t>
      </w:r>
      <w:r>
        <w:rPr>
          <w:rFonts w:hint="eastAsia" w:ascii="宋体" w:hAnsi="宋体" w:cs="宋体"/>
          <w:bCs/>
          <w:color w:val="auto"/>
          <w:szCs w:val="21"/>
          <w:highlight w:val="none"/>
          <w:lang w:eastAsia="zh-CN"/>
        </w:rPr>
        <w:t>甲方</w:t>
      </w:r>
      <w:r>
        <w:rPr>
          <w:rFonts w:hint="eastAsia" w:ascii="宋体" w:hAnsi="宋体" w:eastAsia="宋体" w:cs="宋体"/>
          <w:bCs/>
          <w:color w:val="auto"/>
          <w:szCs w:val="21"/>
          <w:highlight w:val="none"/>
          <w:lang w:eastAsia="zh-CN"/>
        </w:rPr>
        <w:t>的增减而定），对存入的资金进行记账、按中标承诺优惠利率计息。利息一个季度结算一次，提供一式多联的利息通知单。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1.3</w:t>
      </w:r>
      <w:r>
        <w:rPr>
          <w:rFonts w:hint="eastAsia" w:ascii="宋体" w:hAnsi="宋体" w:eastAsia="宋体" w:cs="宋体"/>
          <w:bCs/>
          <w:color w:val="auto"/>
          <w:szCs w:val="21"/>
          <w:highlight w:val="none"/>
          <w:lang w:eastAsia="zh-CN"/>
        </w:rPr>
        <w:t>严格按照法律、法规办理各项业务。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1.4</w:t>
      </w:r>
      <w:r>
        <w:rPr>
          <w:rFonts w:hint="eastAsia" w:ascii="宋体" w:hAnsi="宋体" w:eastAsia="宋体" w:cs="宋体"/>
          <w:bCs/>
          <w:color w:val="auto"/>
          <w:szCs w:val="21"/>
          <w:highlight w:val="none"/>
          <w:lang w:eastAsia="zh-CN"/>
        </w:rPr>
        <w:t>及时对有效凭证进行入账处理，确保资金及时到账，有退票业务需当天反馈，定期存款到期需及时告知。</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1.5</w:t>
      </w:r>
      <w:r>
        <w:rPr>
          <w:rFonts w:hint="eastAsia" w:ascii="宋体" w:hAnsi="宋体" w:eastAsia="宋体" w:cs="宋体"/>
          <w:bCs/>
          <w:color w:val="auto"/>
          <w:szCs w:val="21"/>
          <w:highlight w:val="none"/>
          <w:lang w:eastAsia="zh-CN"/>
        </w:rPr>
        <w:t>有专人负责办理相关业务。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1.6</w:t>
      </w:r>
      <w:r>
        <w:rPr>
          <w:rFonts w:hint="eastAsia" w:ascii="宋体" w:hAnsi="宋体" w:eastAsia="宋体" w:cs="宋体"/>
          <w:bCs/>
          <w:color w:val="auto"/>
          <w:szCs w:val="21"/>
          <w:highlight w:val="none"/>
          <w:lang w:eastAsia="zh-CN"/>
        </w:rPr>
        <w:t>依法为甲方的账户信息保密。</w:t>
      </w:r>
    </w:p>
    <w:p>
      <w:pPr>
        <w:keepNext w:val="0"/>
        <w:keepLines w:val="0"/>
        <w:pageBreakBefore w:val="0"/>
        <w:widowControl/>
        <w:tabs>
          <w:tab w:val="left" w:pos="3505"/>
        </w:tabs>
        <w:kinsoku/>
        <w:wordWrap/>
        <w:overflowPunct/>
        <w:topLinePunct w:val="0"/>
        <w:bidi w:val="0"/>
        <w:adjustRightInd/>
        <w:snapToGrid/>
        <w:spacing w:line="360" w:lineRule="auto"/>
        <w:ind w:left="0" w:leftChars="0" w:right="0" w:rightChars="0" w:firstLine="422" w:firstLineChars="200"/>
        <w:jc w:val="left"/>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rPr>
        <w:t>服务要求</w:t>
      </w:r>
      <w:r>
        <w:rPr>
          <w:rFonts w:hint="eastAsia" w:ascii="宋体" w:hAnsi="宋体" w:eastAsia="宋体" w:cs="宋体"/>
          <w:color w:val="auto"/>
          <w:szCs w:val="21"/>
          <w:highlight w:val="none"/>
          <w:lang w:eastAsia="zh-CN"/>
        </w:rPr>
        <w:tab/>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rPr>
        <w:t>日常资金收付结算服务、账户对账服务、年检服务、网银操作、安全保障等在内的一切配套基本服务。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2.2</w:t>
      </w:r>
      <w:r>
        <w:rPr>
          <w:rFonts w:hint="eastAsia" w:ascii="宋体" w:hAnsi="宋体" w:eastAsia="宋体" w:cs="宋体"/>
          <w:color w:val="auto"/>
          <w:szCs w:val="21"/>
          <w:highlight w:val="none"/>
        </w:rPr>
        <w:t>包含服务期间</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提出的一切有关账户管理的服务。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2.3</w:t>
      </w:r>
      <w:r>
        <w:rPr>
          <w:rFonts w:hint="eastAsia" w:ascii="宋体" w:hAnsi="宋体" w:eastAsia="宋体" w:cs="宋体"/>
          <w:color w:val="auto"/>
          <w:szCs w:val="21"/>
          <w:highlight w:val="none"/>
        </w:rPr>
        <w:t>按承诺优惠利率对账户资金进行计息。</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rPr>
        <w:t>有专人负责办理财政专户资金相关业务以及上门收取资金拨付凭证和送达银行回单等相关凭证。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2.5</w:t>
      </w:r>
      <w:r>
        <w:rPr>
          <w:rFonts w:hint="eastAsia" w:ascii="宋体" w:hAnsi="宋体" w:eastAsia="宋体" w:cs="宋体"/>
          <w:color w:val="auto"/>
          <w:szCs w:val="21"/>
          <w:highlight w:val="none"/>
        </w:rPr>
        <w:t>及时办理资金进出业务。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2.6</w:t>
      </w:r>
      <w:r>
        <w:rPr>
          <w:rFonts w:hint="eastAsia" w:ascii="宋体" w:hAnsi="宋体" w:eastAsia="宋体" w:cs="宋体"/>
          <w:color w:val="auto"/>
          <w:szCs w:val="21"/>
          <w:highlight w:val="none"/>
        </w:rPr>
        <w:t>按要求定期提供对账单、收支业务回单和利息通知单。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2.7</w:t>
      </w:r>
      <w:r>
        <w:rPr>
          <w:rFonts w:hint="eastAsia" w:ascii="宋体" w:hAnsi="宋体" w:eastAsia="宋体" w:cs="宋体"/>
          <w:color w:val="auto"/>
          <w:szCs w:val="21"/>
          <w:highlight w:val="none"/>
        </w:rPr>
        <w:t>其他服务要求：</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2.7.1</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需要协助完成账户开户、销户手续。</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2.7.2</w:t>
      </w:r>
      <w:r>
        <w:rPr>
          <w:rFonts w:hint="eastAsia" w:ascii="宋体" w:hAnsi="宋体" w:eastAsia="宋体" w:cs="宋体"/>
          <w:color w:val="auto"/>
          <w:szCs w:val="21"/>
          <w:highlight w:val="none"/>
        </w:rPr>
        <w:t>银行故障或</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工作遇到疑问时，</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应该能够30分钟内及时响应</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疑问或维修要求，并在2小时内提出解决方案，24小时内解决问题。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2.7.3</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需有完善的信息系统、金融信息安全保障技术，符合金融行业要求的相关技术措施。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2.7.4</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需提供完善的服务，包括提供完善的对账服务、分账核算服务。需具有安全及风险控制措施以及保证服务质量的措施等。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2.7.5</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应在投标文件中明确本项目的项目负责人及项目团队人员，并在提供项目负责人及项目团队人员的姓名和联系方式。项目负责人信息、技术服务部门信息必须明确详尽（包括联系人、联系电话、传真、地址和电子邮件信息）。</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2.7.6</w:t>
      </w:r>
      <w:r>
        <w:rPr>
          <w:rFonts w:hint="eastAsia" w:ascii="宋体" w:hAnsi="宋体" w:eastAsia="宋体" w:cs="宋体"/>
          <w:color w:val="auto"/>
          <w:szCs w:val="21"/>
          <w:highlight w:val="none"/>
        </w:rPr>
        <w:t>项目负责人全权负责与本项目相关全部事宜，包括履行服务承诺、接受投诉、接受相关监督管理部门对执行情况的考核等事务。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hAnsi="宋体" w:cs="宋体"/>
          <w:b/>
          <w:bCs/>
          <w:color w:val="auto"/>
          <w:sz w:val="21"/>
          <w:szCs w:val="21"/>
          <w:highlight w:val="none"/>
        </w:rPr>
      </w:pPr>
      <w:r>
        <w:rPr>
          <w:rFonts w:hint="eastAsia" w:ascii="宋体" w:hAnsi="宋体" w:cs="宋体"/>
          <w:color w:val="auto"/>
          <w:szCs w:val="21"/>
          <w:highlight w:val="none"/>
          <w:lang w:val="en-US" w:eastAsia="zh-CN"/>
        </w:rPr>
        <w:t>2.7.7</w:t>
      </w:r>
      <w:r>
        <w:rPr>
          <w:rFonts w:hint="eastAsia" w:ascii="宋体" w:hAnsi="宋体" w:eastAsia="宋体" w:cs="宋体"/>
          <w:color w:val="auto"/>
          <w:szCs w:val="21"/>
          <w:highlight w:val="none"/>
        </w:rPr>
        <w:t>依法为</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的账户信息保密。</w:t>
      </w:r>
    </w:p>
    <w:p>
      <w:pPr>
        <w:pStyle w:val="15"/>
        <w:spacing w:before="0" w:beforeLines="0" w:after="0" w:afterLines="0" w:line="360" w:lineRule="auto"/>
        <w:ind w:firstLine="422" w:firstLineChars="200"/>
        <w:contextualSpacing/>
        <w:rPr>
          <w:rFonts w:hint="eastAsia" w:hAnsi="宋体" w:cs="宋体"/>
          <w:color w:val="auto"/>
          <w:sz w:val="21"/>
          <w:szCs w:val="21"/>
          <w:highlight w:val="none"/>
        </w:rPr>
      </w:pPr>
      <w:r>
        <w:rPr>
          <w:rFonts w:hint="eastAsia" w:hAnsi="宋体" w:cs="宋体"/>
          <w:b/>
          <w:bCs/>
          <w:color w:val="auto"/>
          <w:sz w:val="21"/>
          <w:szCs w:val="21"/>
          <w:highlight w:val="none"/>
          <w:lang w:val="en-US" w:eastAsia="zh-CN"/>
        </w:rPr>
        <w:t>3.</w:t>
      </w:r>
      <w:r>
        <w:rPr>
          <w:rFonts w:hint="eastAsia" w:hAnsi="宋体" w:cs="宋体"/>
          <w:b/>
          <w:bCs/>
          <w:color w:val="auto"/>
          <w:sz w:val="21"/>
          <w:szCs w:val="21"/>
          <w:highlight w:val="none"/>
        </w:rPr>
        <w:t>本合同乙方提供服务的营业网点为：</w:t>
      </w:r>
      <w:r>
        <w:rPr>
          <w:rFonts w:hint="eastAsia" w:hAnsi="宋体" w:cs="宋体"/>
          <w:b/>
          <w:bCs/>
          <w:color w:val="auto"/>
          <w:sz w:val="21"/>
          <w:szCs w:val="21"/>
          <w:highlight w:val="none"/>
          <w:u w:val="single"/>
        </w:rPr>
        <w:t xml:space="preserve">                  </w:t>
      </w:r>
      <w:r>
        <w:rPr>
          <w:rFonts w:hint="eastAsia" w:hAnsi="宋体" w:cs="宋体"/>
          <w:b/>
          <w:bCs/>
          <w:color w:val="auto"/>
          <w:sz w:val="21"/>
          <w:szCs w:val="21"/>
          <w:highlight w:val="none"/>
        </w:rPr>
        <w:t xml:space="preserve"> 。</w:t>
      </w:r>
    </w:p>
    <w:p>
      <w:pPr>
        <w:pStyle w:val="15"/>
        <w:spacing w:before="0" w:beforeLines="0" w:after="0" w:afterLines="0" w:line="360" w:lineRule="auto"/>
        <w:ind w:firstLine="422" w:firstLineChars="200"/>
        <w:contextualSpacing/>
        <w:rPr>
          <w:rFonts w:hint="eastAsia" w:hAnsi="宋体" w:cs="宋体"/>
          <w:b/>
          <w:color w:val="auto"/>
          <w:sz w:val="21"/>
          <w:szCs w:val="21"/>
          <w:highlight w:val="none"/>
        </w:rPr>
      </w:pPr>
      <w:r>
        <w:rPr>
          <w:rFonts w:hint="eastAsia" w:hAnsi="宋体" w:cs="宋体"/>
          <w:b/>
          <w:color w:val="auto"/>
          <w:sz w:val="21"/>
          <w:szCs w:val="21"/>
          <w:highlight w:val="none"/>
        </w:rPr>
        <w:t>二、合同执行利率</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2.1 本合同执行利率：按中国人民银行规定基准利率基础上加点：</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活期存款利率：+</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BP；</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协定存款利率：+</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BP；</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七天通知存款利率：+</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BP；</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定期存款利率(一年期及以内)：+</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BP；</w:t>
      </w:r>
    </w:p>
    <w:p>
      <w:pPr>
        <w:widowControl/>
        <w:spacing w:line="360" w:lineRule="auto"/>
        <w:ind w:firstLine="422" w:firstLineChars="200"/>
        <w:contextualSpacing/>
        <w:jc w:val="left"/>
        <w:rPr>
          <w:rFonts w:hint="eastAsia" w:ascii="宋体" w:hAnsi="宋体" w:cs="宋体"/>
          <w:b/>
          <w:color w:val="auto"/>
          <w:szCs w:val="21"/>
          <w:highlight w:val="none"/>
        </w:rPr>
      </w:pPr>
      <w:r>
        <w:rPr>
          <w:rFonts w:hint="eastAsia" w:ascii="宋体" w:hAnsi="宋体" w:cs="宋体"/>
          <w:b/>
          <w:color w:val="auto"/>
          <w:szCs w:val="21"/>
          <w:highlight w:val="none"/>
        </w:rPr>
        <w:t>三、服务期限：</w:t>
      </w:r>
    </w:p>
    <w:p>
      <w:pPr>
        <w:widowControl/>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3.1 自合同签订之日起六年。协议（合同）一年一签。一年期满后，</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的服务达到了要求和投标承诺的，经双方同意可续签订下一周期的协议。合同期内</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服务不能达到招标要求和投标承诺的，</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有权终止合同或协议。</w:t>
      </w:r>
    </w:p>
    <w:p>
      <w:pPr>
        <w:widowControl/>
        <w:spacing w:line="360" w:lineRule="auto"/>
        <w:ind w:firstLine="422" w:firstLineChars="200"/>
        <w:contextualSpacing/>
        <w:jc w:val="left"/>
        <w:rPr>
          <w:rFonts w:hint="eastAsia" w:ascii="宋体" w:hAnsi="宋体" w:cs="宋体"/>
          <w:b/>
          <w:color w:val="auto"/>
          <w:szCs w:val="21"/>
          <w:highlight w:val="none"/>
        </w:rPr>
      </w:pPr>
      <w:r>
        <w:rPr>
          <w:rFonts w:hint="eastAsia" w:ascii="宋体" w:hAnsi="宋体" w:cs="宋体"/>
          <w:b/>
          <w:color w:val="auto"/>
          <w:szCs w:val="21"/>
          <w:highlight w:val="none"/>
        </w:rPr>
        <w:t>四、单位公款存放原则：</w:t>
      </w:r>
    </w:p>
    <w:p>
      <w:pPr>
        <w:widowControl/>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4.1公开、公平、公正原则。单位资金竞争性存放应公开、公平、公正开展，防范廉政风险；</w:t>
      </w:r>
    </w:p>
    <w:p>
      <w:pPr>
        <w:widowControl/>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4.2安全性、流动性、收益性相统一原则。在确保单位资金安全和资金支付流动性需求基础上，实现资金保值增值；</w:t>
      </w:r>
    </w:p>
    <w:p>
      <w:pPr>
        <w:widowControl/>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4.3突出重点、兼顾效率原则。重点做好对大额资金、专项资金的竞争性存放，在效益优先的同时，确保工作效率。</w:t>
      </w:r>
    </w:p>
    <w:p>
      <w:pPr>
        <w:widowControl/>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4.4服务内容安全、便捷、灵活。</w:t>
      </w:r>
    </w:p>
    <w:p>
      <w:pPr>
        <w:spacing w:line="360" w:lineRule="auto"/>
        <w:ind w:firstLine="422" w:firstLineChars="200"/>
        <w:contextualSpacing/>
        <w:rPr>
          <w:rFonts w:hint="eastAsia" w:ascii="宋体" w:hAnsi="宋体" w:cs="宋体"/>
          <w:b/>
          <w:color w:val="auto"/>
          <w:szCs w:val="21"/>
          <w:highlight w:val="none"/>
        </w:rPr>
      </w:pPr>
      <w:r>
        <w:rPr>
          <w:rFonts w:hint="eastAsia" w:ascii="宋体" w:hAnsi="宋体" w:cs="宋体"/>
          <w:b/>
          <w:color w:val="auto"/>
          <w:szCs w:val="21"/>
          <w:highlight w:val="none"/>
        </w:rPr>
        <w:t>五、转包或分包</w:t>
      </w:r>
    </w:p>
    <w:p>
      <w:pPr>
        <w:widowControl/>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5.1本合同范围的服务，应由乙方直接供应，不得转让他人供应；</w:t>
      </w:r>
    </w:p>
    <w:p>
      <w:pPr>
        <w:widowControl/>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5.2 除非得到甲方的书面同意，乙方不得部分分包给他人供应。</w:t>
      </w:r>
    </w:p>
    <w:p>
      <w:pPr>
        <w:widowControl/>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5.3如有转让和未经甲方同意的分包行为，甲方有权给予终止合同。</w:t>
      </w:r>
    </w:p>
    <w:p>
      <w:pPr>
        <w:spacing w:line="360" w:lineRule="auto"/>
        <w:ind w:firstLine="422" w:firstLineChars="200"/>
        <w:contextualSpacing/>
        <w:rPr>
          <w:rFonts w:hint="eastAsia" w:ascii="宋体" w:hAnsi="宋体" w:cs="宋体"/>
          <w:b/>
          <w:color w:val="auto"/>
          <w:szCs w:val="21"/>
          <w:highlight w:val="none"/>
        </w:rPr>
      </w:pPr>
      <w:r>
        <w:rPr>
          <w:rFonts w:hint="eastAsia" w:ascii="宋体" w:hAnsi="宋体" w:cs="宋体"/>
          <w:b/>
          <w:color w:val="auto"/>
          <w:szCs w:val="21"/>
          <w:highlight w:val="none"/>
        </w:rPr>
        <w:t>六、税</w:t>
      </w:r>
    </w:p>
    <w:p>
      <w:pPr>
        <w:widowControl/>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6.1本合同执行中相关的一切税费均由乙方负担。</w:t>
      </w:r>
    </w:p>
    <w:p>
      <w:pPr>
        <w:pStyle w:val="15"/>
        <w:spacing w:before="0" w:beforeLines="0" w:after="0" w:afterLines="0" w:line="360" w:lineRule="auto"/>
        <w:ind w:firstLine="422" w:firstLineChars="200"/>
        <w:contextualSpacing/>
        <w:rPr>
          <w:rFonts w:hint="eastAsia" w:hAnsi="宋体" w:cs="宋体"/>
          <w:color w:val="auto"/>
          <w:sz w:val="21"/>
          <w:szCs w:val="21"/>
          <w:highlight w:val="none"/>
        </w:rPr>
      </w:pPr>
      <w:r>
        <w:rPr>
          <w:rFonts w:hint="eastAsia" w:hAnsi="宋体" w:cs="宋体"/>
          <w:b/>
          <w:color w:val="auto"/>
          <w:sz w:val="21"/>
          <w:szCs w:val="21"/>
          <w:highlight w:val="none"/>
        </w:rPr>
        <w:t>七、质量保证及售后服务</w:t>
      </w:r>
    </w:p>
    <w:p>
      <w:pPr>
        <w:widowControl/>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7.1 乙方应按招标文件规定的服务要求、质量标准向甲方提供完整服务。</w:t>
      </w:r>
    </w:p>
    <w:p>
      <w:pPr>
        <w:pStyle w:val="15"/>
        <w:numPr>
          <w:ilvl w:val="0"/>
          <w:numId w:val="9"/>
        </w:numPr>
        <w:spacing w:before="0" w:beforeLines="0" w:after="0" w:afterLines="0" w:line="360" w:lineRule="auto"/>
        <w:ind w:firstLine="422" w:firstLineChars="200"/>
        <w:contextualSpacing/>
        <w:rPr>
          <w:rFonts w:hint="eastAsia" w:hAnsi="宋体" w:cs="宋体"/>
          <w:b/>
          <w:color w:val="auto"/>
          <w:sz w:val="21"/>
          <w:szCs w:val="21"/>
          <w:highlight w:val="none"/>
        </w:rPr>
      </w:pPr>
      <w:r>
        <w:rPr>
          <w:rFonts w:hint="eastAsia" w:hAnsi="宋体" w:cs="宋体"/>
          <w:b/>
          <w:color w:val="auto"/>
          <w:sz w:val="21"/>
          <w:szCs w:val="21"/>
          <w:highlight w:val="none"/>
        </w:rPr>
        <w:t>违约责任</w:t>
      </w:r>
    </w:p>
    <w:p>
      <w:pPr>
        <w:pStyle w:val="15"/>
        <w:spacing w:before="0" w:beforeLines="0" w:after="0" w:afterLines="0" w:line="360" w:lineRule="auto"/>
        <w:ind w:firstLine="420" w:firstLineChars="200"/>
        <w:contextualSpacing/>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8.1 乙方应按本合同约定的利率水平及时、足额向甲方付清利息，杜绝出现错漏或少付情形，否则，除应向甲方补足差额部分利息外，每逾期一日还应按欠款金额的万分之五向甲方支付违约金。本合同有效期内，出现前述违约情形，经甲方催告之日起15个工作日内未予纠正，或者一年期内累计出现3次以上（含三次）违约情形，甲方有权解除本合同并追究乙方全部违约责任。</w:t>
      </w:r>
    </w:p>
    <w:p>
      <w:pPr>
        <w:pStyle w:val="15"/>
        <w:spacing w:before="0" w:beforeLines="0" w:after="0" w:afterLines="0" w:line="360" w:lineRule="auto"/>
        <w:ind w:firstLine="422" w:firstLineChars="200"/>
        <w:contextualSpacing/>
        <w:rPr>
          <w:rFonts w:hint="eastAsia" w:hAnsi="宋体" w:cs="宋体"/>
          <w:b/>
          <w:color w:val="auto"/>
          <w:sz w:val="21"/>
          <w:szCs w:val="21"/>
          <w:highlight w:val="none"/>
        </w:rPr>
      </w:pPr>
      <w:r>
        <w:rPr>
          <w:rFonts w:hint="eastAsia" w:hAnsi="宋体" w:cs="宋体"/>
          <w:b/>
          <w:color w:val="auto"/>
          <w:sz w:val="21"/>
          <w:szCs w:val="21"/>
          <w:highlight w:val="none"/>
        </w:rPr>
        <w:t>九、不可抗力事件处理</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9.1 在合同有效期内，任何一方因不可抗力事件导致不能履行合同，则合同履行期可延长，其延长期与不可抗力影响期相同。</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9.2 不可抗力事件发生后，应立即通知对方，并寄送有关权威机构出具的证明。</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9.3 不可抗力事件延续120天以上，双方应通过友好协商，确定是否继续履行合同。</w:t>
      </w:r>
    </w:p>
    <w:p>
      <w:pPr>
        <w:pStyle w:val="15"/>
        <w:spacing w:before="0" w:beforeLines="0" w:after="0" w:afterLines="0" w:line="360" w:lineRule="auto"/>
        <w:ind w:firstLine="422" w:firstLineChars="200"/>
        <w:contextualSpacing/>
        <w:rPr>
          <w:rFonts w:hint="eastAsia" w:hAnsi="宋体" w:cs="宋体"/>
          <w:b/>
          <w:color w:val="auto"/>
          <w:sz w:val="21"/>
          <w:szCs w:val="21"/>
          <w:highlight w:val="none"/>
        </w:rPr>
      </w:pPr>
      <w:r>
        <w:rPr>
          <w:rFonts w:hint="eastAsia" w:hAnsi="宋体" w:cs="宋体"/>
          <w:b/>
          <w:color w:val="auto"/>
          <w:sz w:val="21"/>
          <w:szCs w:val="21"/>
          <w:highlight w:val="none"/>
        </w:rPr>
        <w:t>十、诉讼</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10.1 双方在执行合同中所发生的一切争议，应通过协商解决。如协商不成，可向合同签订地法院起诉，合同签订地在此约定为</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rPr>
        <w:t>。</w:t>
      </w:r>
    </w:p>
    <w:p>
      <w:pPr>
        <w:pStyle w:val="15"/>
        <w:spacing w:before="0" w:beforeLines="0" w:after="0" w:afterLines="0" w:line="360" w:lineRule="auto"/>
        <w:ind w:firstLine="422" w:firstLineChars="200"/>
        <w:contextualSpacing/>
        <w:rPr>
          <w:rFonts w:hint="eastAsia" w:hAnsi="宋体" w:cs="宋体"/>
          <w:b/>
          <w:color w:val="auto"/>
          <w:sz w:val="21"/>
          <w:szCs w:val="21"/>
          <w:highlight w:val="none"/>
        </w:rPr>
      </w:pPr>
      <w:r>
        <w:rPr>
          <w:rFonts w:hint="eastAsia" w:hAnsi="宋体" w:cs="宋体"/>
          <w:b/>
          <w:color w:val="auto"/>
          <w:sz w:val="21"/>
          <w:szCs w:val="21"/>
          <w:highlight w:val="none"/>
        </w:rPr>
        <w:t>十一、合同生效及其它</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11.1 合同经双方法定代表人（或单位负责人）或授权委托代理人签字并加盖单位公章后生效。</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11.2本合同未尽事宜，遵照《</w:t>
      </w:r>
      <w:r>
        <w:rPr>
          <w:rFonts w:hint="eastAsia" w:hAnsi="宋体" w:cs="宋体"/>
          <w:color w:val="auto"/>
          <w:sz w:val="21"/>
          <w:szCs w:val="21"/>
          <w:highlight w:val="none"/>
          <w:lang w:val="en-US" w:eastAsia="zh-CN"/>
        </w:rPr>
        <w:t>中华人民共和国民法典</w:t>
      </w:r>
      <w:r>
        <w:rPr>
          <w:rFonts w:hint="eastAsia" w:hAnsi="宋体" w:cs="宋体"/>
          <w:color w:val="auto"/>
          <w:sz w:val="21"/>
          <w:szCs w:val="21"/>
          <w:highlight w:val="none"/>
        </w:rPr>
        <w:t>》有关条文执行。</w:t>
      </w:r>
    </w:p>
    <w:p>
      <w:pPr>
        <w:pStyle w:val="15"/>
        <w:spacing w:before="0" w:beforeLines="0" w:after="0" w:afterLines="0" w:line="360" w:lineRule="auto"/>
        <w:ind w:firstLine="420" w:firstLineChars="200"/>
        <w:contextualSpacing/>
        <w:rPr>
          <w:rFonts w:hint="eastAsia" w:ascii="宋体" w:hAnsi="宋体" w:eastAsia="宋体" w:cs="宋体"/>
          <w:color w:val="auto"/>
          <w:sz w:val="22"/>
          <w:highlight w:val="none"/>
        </w:rPr>
      </w:pPr>
      <w:r>
        <w:rPr>
          <w:rFonts w:hint="eastAsia" w:hAnsi="宋体" w:cs="宋体"/>
          <w:color w:val="auto"/>
          <w:sz w:val="21"/>
          <w:szCs w:val="21"/>
          <w:highlight w:val="none"/>
        </w:rPr>
        <w:t>11.3本合同正本一式</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份，具有同等法律效力，甲乙双方各执</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w:t>
      </w:r>
    </w:p>
    <w:p>
      <w:pPr>
        <w:pStyle w:val="15"/>
        <w:snapToGrid w:val="0"/>
        <w:spacing w:before="120" w:after="120"/>
        <w:rPr>
          <w:rFonts w:hint="eastAsia" w:ascii="宋体" w:hAnsi="宋体" w:eastAsia="宋体" w:cs="宋体"/>
          <w:color w:val="auto"/>
          <w:sz w:val="22"/>
          <w:highlight w:val="none"/>
        </w:rPr>
      </w:pPr>
    </w:p>
    <w:p>
      <w:pPr>
        <w:pStyle w:val="15"/>
        <w:snapToGrid w:val="0"/>
        <w:spacing w:before="120" w:after="120"/>
        <w:ind w:left="199" w:leftChars="95" w:firstLine="440" w:firstLineChars="200"/>
        <w:rPr>
          <w:rFonts w:hint="eastAsia" w:ascii="宋体" w:hAnsi="宋体" w:eastAsia="宋体" w:cs="宋体"/>
          <w:color w:val="auto"/>
          <w:sz w:val="22"/>
          <w:highlight w:val="none"/>
        </w:rPr>
      </w:pPr>
      <w:r>
        <w:rPr>
          <w:rFonts w:hint="eastAsia" w:hAnsi="宋体" w:eastAsia="宋体" w:cs="宋体"/>
          <w:color w:val="auto"/>
          <w:sz w:val="22"/>
          <w:highlight w:val="none"/>
          <w:lang w:val="en-US" w:eastAsia="zh-CN"/>
        </w:rPr>
        <w:t>甲方</w:t>
      </w:r>
      <w:r>
        <w:rPr>
          <w:rFonts w:hint="eastAsia" w:ascii="宋体" w:hAnsi="宋体" w:eastAsia="宋体" w:cs="宋体"/>
          <w:color w:val="auto"/>
          <w:sz w:val="22"/>
          <w:highlight w:val="none"/>
        </w:rPr>
        <w:t xml:space="preserve">：                                  </w:t>
      </w:r>
      <w:r>
        <w:rPr>
          <w:rFonts w:hint="eastAsia"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 xml:space="preserve"> </w:t>
      </w:r>
      <w:r>
        <w:rPr>
          <w:rFonts w:hint="eastAsia" w:hAnsi="宋体" w:eastAsia="宋体" w:cs="宋体"/>
          <w:color w:val="auto"/>
          <w:sz w:val="22"/>
          <w:highlight w:val="none"/>
          <w:lang w:val="en-US" w:eastAsia="zh-CN"/>
        </w:rPr>
        <w:t>乙方</w:t>
      </w:r>
      <w:r>
        <w:rPr>
          <w:rFonts w:hint="eastAsia" w:ascii="宋体" w:hAnsi="宋体" w:eastAsia="宋体" w:cs="宋体"/>
          <w:color w:val="auto"/>
          <w:sz w:val="22"/>
          <w:highlight w:val="none"/>
        </w:rPr>
        <w:t xml:space="preserve">： </w:t>
      </w:r>
    </w:p>
    <w:p>
      <w:pPr>
        <w:pStyle w:val="15"/>
        <w:snapToGrid w:val="0"/>
        <w:spacing w:before="120" w:after="120"/>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地址：                                     地址： </w:t>
      </w:r>
    </w:p>
    <w:p>
      <w:pPr>
        <w:pStyle w:val="15"/>
        <w:snapToGrid w:val="0"/>
        <w:spacing w:before="120" w:after="120"/>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法定（授权）代表人：                       法定（授权）代表人：</w:t>
      </w:r>
    </w:p>
    <w:p>
      <w:pPr>
        <w:ind w:firstLine="440" w:firstLineChars="200"/>
        <w:rPr>
          <w:color w:val="auto"/>
          <w:highlight w:val="none"/>
        </w:rPr>
      </w:pPr>
      <w:r>
        <w:rPr>
          <w:rFonts w:hint="eastAsia" w:ascii="宋体" w:hAnsi="宋体" w:eastAsia="宋体" w:cs="宋体"/>
          <w:color w:val="auto"/>
          <w:sz w:val="22"/>
          <w:highlight w:val="none"/>
        </w:rPr>
        <w:t xml:space="preserve">  签字日期：      年  月  日                 签字日期：     年  月  日</w:t>
      </w:r>
    </w:p>
    <w:p>
      <w:pPr>
        <w:pStyle w:val="15"/>
        <w:snapToGrid w:val="0"/>
        <w:spacing w:before="120" w:after="120"/>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w:t>
      </w:r>
    </w:p>
    <w:p>
      <w:pPr>
        <w:pStyle w:val="35"/>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58"/>
    <w:bookmarkEnd w:id="59"/>
    <w:p>
      <w:pPr>
        <w:pStyle w:val="9"/>
        <w:numPr>
          <w:ilvl w:val="0"/>
          <w:numId w:val="0"/>
        </w:numPr>
        <w:spacing w:line="480" w:lineRule="auto"/>
        <w:jc w:val="center"/>
        <w:outlineLvl w:val="0"/>
        <w:rPr>
          <w:rFonts w:hint="eastAsia" w:ascii="宋体" w:hAnsi="宋体" w:eastAsia="宋体" w:cs="宋体"/>
          <w:color w:val="auto"/>
          <w:spacing w:val="0"/>
          <w:sz w:val="30"/>
          <w:szCs w:val="30"/>
          <w:highlight w:val="none"/>
        </w:rPr>
      </w:pPr>
      <w:bookmarkStart w:id="72" w:name="_Toc13763"/>
      <w:bookmarkStart w:id="73" w:name="_Toc30792"/>
      <w:r>
        <w:rPr>
          <w:rFonts w:hint="eastAsia" w:ascii="宋体" w:hAnsi="宋体" w:eastAsia="宋体" w:cs="宋体"/>
          <w:b/>
          <w:bCs w:val="0"/>
          <w:color w:val="auto"/>
          <w:spacing w:val="0"/>
          <w:sz w:val="30"/>
          <w:szCs w:val="30"/>
          <w:highlight w:val="none"/>
          <w:lang w:val="en-US" w:eastAsia="zh-CN"/>
        </w:rPr>
        <w:t xml:space="preserve">第六章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bCs w:val="0"/>
          <w:color w:val="auto"/>
          <w:spacing w:val="0"/>
          <w:sz w:val="30"/>
          <w:szCs w:val="30"/>
          <w:highlight w:val="none"/>
        </w:rPr>
        <w:t>投标文件格式</w:t>
      </w:r>
      <w:bookmarkEnd w:id="72"/>
      <w:bookmarkEnd w:id="73"/>
    </w:p>
    <w:p>
      <w:pPr>
        <w:snapToGrid w:val="0"/>
        <w:spacing w:line="460" w:lineRule="exact"/>
        <w:ind w:firstLine="1108" w:firstLineChars="396"/>
        <w:jc w:val="right"/>
        <w:rPr>
          <w:rFonts w:hint="eastAsia" w:ascii="宋体" w:hAnsi="宋体" w:eastAsia="宋体" w:cs="宋体"/>
          <w:b/>
          <w:color w:val="auto"/>
          <w:sz w:val="30"/>
          <w:szCs w:val="30"/>
          <w:highlight w:val="none"/>
        </w:rPr>
      </w:pPr>
      <w:r>
        <w:rPr>
          <w:rFonts w:hint="eastAsia" w:ascii="宋体" w:hAnsi="宋体" w:eastAsia="宋体" w:cs="宋体"/>
          <w:bCs/>
          <w:color w:val="auto"/>
          <w:sz w:val="28"/>
          <w:szCs w:val="28"/>
          <w:highlight w:val="none"/>
        </w:rPr>
        <w:t>正本(副本)</w:t>
      </w:r>
    </w:p>
    <w:p>
      <w:pPr>
        <w:snapToGrid w:val="0"/>
        <w:spacing w:before="120" w:beforeLines="50" w:after="120" w:afterLines="50" w:line="360" w:lineRule="auto"/>
        <w:rPr>
          <w:rFonts w:hint="eastAsia" w:ascii="宋体" w:hAnsi="宋体" w:eastAsia="宋体" w:cs="宋体"/>
          <w:color w:val="auto"/>
          <w:sz w:val="48"/>
          <w:szCs w:val="48"/>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48"/>
          <w:szCs w:val="48"/>
          <w:highlight w:val="none"/>
        </w:rPr>
        <w:t xml:space="preserve"> </w:t>
      </w:r>
    </w:p>
    <w:p>
      <w:pPr>
        <w:pStyle w:val="56"/>
        <w:rPr>
          <w:rFonts w:hint="eastAsia" w:ascii="宋体" w:hAnsi="宋体" w:eastAsia="宋体" w:cs="宋体"/>
          <w:color w:val="auto"/>
          <w:highlight w:val="none"/>
        </w:rPr>
      </w:pPr>
    </w:p>
    <w:p>
      <w:pPr>
        <w:snapToGrid w:val="0"/>
        <w:spacing w:before="120" w:beforeLines="50" w:after="120" w:afterLines="50" w:line="360" w:lineRule="auto"/>
        <w:jc w:val="center"/>
        <w:rPr>
          <w:rFonts w:hint="eastAsia" w:ascii="宋体" w:hAnsi="宋体" w:eastAsia="宋体" w:cs="宋体"/>
          <w:color w:val="auto"/>
          <w:spacing w:val="40"/>
          <w:sz w:val="40"/>
          <w:szCs w:val="40"/>
          <w:highlight w:val="none"/>
        </w:rPr>
      </w:pPr>
      <w:r>
        <w:rPr>
          <w:rFonts w:hint="eastAsia" w:ascii="宋体" w:hAnsi="宋体" w:eastAsia="宋体" w:cs="宋体"/>
          <w:color w:val="auto"/>
          <w:spacing w:val="40"/>
          <w:sz w:val="56"/>
          <w:szCs w:val="56"/>
          <w:highlight w:val="none"/>
        </w:rPr>
        <w:t>投 标 文 件</w:t>
      </w:r>
    </w:p>
    <w:p>
      <w:pPr>
        <w:snapToGrid w:val="0"/>
        <w:spacing w:before="120" w:beforeLines="50" w:after="120" w:afterLines="50" w:line="360" w:lineRule="auto"/>
        <w:jc w:val="center"/>
        <w:rPr>
          <w:rFonts w:hint="eastAsia" w:ascii="宋体" w:hAnsi="宋体" w:eastAsia="宋体" w:cs="宋体"/>
          <w:color w:val="auto"/>
          <w:spacing w:val="40"/>
          <w:sz w:val="48"/>
          <w:szCs w:val="48"/>
          <w:highlight w:val="none"/>
        </w:rPr>
      </w:pPr>
    </w:p>
    <w:p>
      <w:pPr>
        <w:spacing w:before="120" w:beforeLines="50" w:after="120" w:afterLines="50" w:line="360" w:lineRule="auto"/>
        <w:ind w:right="532" w:firstLine="600" w:firstLineChars="200"/>
        <w:rPr>
          <w:rFonts w:hint="eastAsia" w:ascii="宋体" w:hAnsi="宋体" w:eastAsia="宋体" w:cs="宋体"/>
          <w:color w:val="auto"/>
          <w:sz w:val="30"/>
          <w:szCs w:val="30"/>
          <w:highlight w:val="none"/>
        </w:rPr>
      </w:pPr>
    </w:p>
    <w:p>
      <w:pPr>
        <w:snapToGrid w:val="0"/>
        <w:spacing w:after="50"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p>
    <w:p>
      <w:pPr>
        <w:snapToGrid w:val="0"/>
        <w:spacing w:after="50"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项目编号：</w:t>
      </w:r>
    </w:p>
    <w:p>
      <w:pPr>
        <w:snapToGrid w:val="0"/>
        <w:spacing w:after="50"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p>
      <w:pPr>
        <w:snapToGrid w:val="0"/>
        <w:spacing w:after="50"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投标人地址：</w:t>
      </w:r>
    </w:p>
    <w:p>
      <w:pPr>
        <w:pStyle w:val="56"/>
        <w:ind w:firstLine="480"/>
        <w:rPr>
          <w:rFonts w:hint="eastAsia" w:ascii="宋体" w:hAnsi="宋体" w:eastAsia="宋体" w:cs="宋体"/>
          <w:bCs/>
          <w:color w:val="auto"/>
          <w:sz w:val="24"/>
          <w:szCs w:val="24"/>
          <w:highlight w:val="none"/>
        </w:rPr>
      </w:pPr>
    </w:p>
    <w:p>
      <w:pPr>
        <w:pStyle w:val="56"/>
        <w:ind w:firstLine="480"/>
        <w:rPr>
          <w:rFonts w:hint="eastAsia" w:ascii="宋体" w:hAnsi="宋体" w:eastAsia="宋体" w:cs="宋体"/>
          <w:bCs/>
          <w:color w:val="auto"/>
          <w:sz w:val="24"/>
          <w:szCs w:val="24"/>
          <w:highlight w:val="none"/>
        </w:rPr>
      </w:pPr>
    </w:p>
    <w:p>
      <w:pPr>
        <w:pStyle w:val="56"/>
        <w:ind w:firstLine="480"/>
        <w:rPr>
          <w:rFonts w:hint="eastAsia" w:ascii="宋体" w:hAnsi="宋体" w:eastAsia="宋体" w:cs="宋体"/>
          <w:bCs/>
          <w:color w:val="auto"/>
          <w:sz w:val="24"/>
          <w:szCs w:val="24"/>
          <w:highlight w:val="none"/>
        </w:rPr>
      </w:pPr>
    </w:p>
    <w:p>
      <w:pPr>
        <w:pStyle w:val="56"/>
        <w:rPr>
          <w:rFonts w:hint="eastAsia" w:ascii="宋体" w:hAnsi="宋体" w:eastAsia="宋体" w:cs="宋体"/>
          <w:bCs/>
          <w:color w:val="auto"/>
          <w:szCs w:val="21"/>
          <w:highlight w:val="none"/>
        </w:rPr>
      </w:pPr>
    </w:p>
    <w:p>
      <w:pPr>
        <w:snapToGrid w:val="0"/>
        <w:spacing w:after="50" w:line="480" w:lineRule="auto"/>
        <w:ind w:firstLine="480" w:firstLineChars="200"/>
        <w:jc w:val="righ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投标单位全称（盖章）</w:t>
      </w:r>
    </w:p>
    <w:p>
      <w:pPr>
        <w:spacing w:before="120" w:beforeLines="50" w:after="120" w:afterLines="50" w:line="360" w:lineRule="auto"/>
        <w:ind w:right="532"/>
        <w:jc w:val="right"/>
        <w:rPr>
          <w:rFonts w:hint="eastAsia" w:ascii="宋体" w:hAnsi="宋体" w:eastAsia="宋体" w:cs="宋体"/>
          <w:color w:val="auto"/>
          <w:sz w:val="30"/>
          <w:szCs w:val="30"/>
          <w:highlight w:val="none"/>
        </w:rPr>
      </w:pPr>
      <w:r>
        <w:rPr>
          <w:rFonts w:hint="eastAsia" w:ascii="宋体" w:hAnsi="宋体" w:eastAsia="宋体" w:cs="宋体"/>
          <w:bCs/>
          <w:color w:val="auto"/>
          <w:sz w:val="24"/>
          <w:szCs w:val="24"/>
          <w:highlight w:val="none"/>
        </w:rPr>
        <w:t xml:space="preserve">    年   月   日</w:t>
      </w: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30"/>
          <w:szCs w:val="30"/>
          <w:highlight w:val="none"/>
        </w:rPr>
        <w:t>1.</w:t>
      </w:r>
      <w:r>
        <w:rPr>
          <w:rFonts w:hint="eastAsia" w:ascii="宋体" w:hAnsi="宋体" w:eastAsia="宋体" w:cs="宋体"/>
          <w:b/>
          <w:color w:val="auto"/>
          <w:sz w:val="30"/>
          <w:szCs w:val="30"/>
          <w:highlight w:val="none"/>
        </w:rPr>
        <w:t>投标声明书</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u w:val="single"/>
          <w:lang w:val="en-US" w:eastAsia="zh-CN"/>
        </w:rPr>
        <w:t xml:space="preserve"> （项目名称） </w:t>
      </w:r>
      <w:r>
        <w:rPr>
          <w:rFonts w:hint="eastAsia" w:ascii="宋体" w:hAnsi="宋体" w:eastAsia="宋体" w:cs="宋体"/>
          <w:color w:val="auto"/>
          <w:szCs w:val="21"/>
          <w:highlight w:val="none"/>
        </w:rPr>
        <w:t>的招标公告，签字代表</w:t>
      </w:r>
      <w:r>
        <w:rPr>
          <w:rFonts w:hint="eastAsia" w:ascii="宋体" w:hAnsi="宋体" w:eastAsia="宋体" w:cs="宋体"/>
          <w:color w:val="auto"/>
          <w:szCs w:val="21"/>
          <w:highlight w:val="none"/>
          <w:u w:val="single"/>
        </w:rPr>
        <w:t>（姓名和职务）</w:t>
      </w:r>
      <w:r>
        <w:rPr>
          <w:rFonts w:hint="eastAsia" w:ascii="宋体" w:hAnsi="宋体" w:eastAsia="宋体" w:cs="宋体"/>
          <w:color w:val="auto"/>
          <w:szCs w:val="21"/>
          <w:highlight w:val="none"/>
        </w:rPr>
        <w:t>经正式授权并代表投标人</w:t>
      </w:r>
      <w:r>
        <w:rPr>
          <w:rFonts w:hint="eastAsia" w:ascii="宋体" w:hAnsi="宋体" w:eastAsia="宋体" w:cs="宋体"/>
          <w:color w:val="auto"/>
          <w:szCs w:val="21"/>
          <w:highlight w:val="none"/>
          <w:u w:val="single"/>
        </w:rPr>
        <w:t>（投标人名称、地址）</w:t>
      </w:r>
      <w:r>
        <w:rPr>
          <w:rFonts w:hint="eastAsia" w:ascii="宋体" w:hAnsi="宋体" w:eastAsia="宋体" w:cs="宋体"/>
          <w:color w:val="auto"/>
          <w:szCs w:val="21"/>
          <w:highlight w:val="none"/>
        </w:rPr>
        <w:t>提交下述文件正本一份和副本四份。</w:t>
      </w:r>
    </w:p>
    <w:p>
      <w:pPr>
        <w:pStyle w:val="15"/>
        <w:snapToGrid w:val="0"/>
        <w:spacing w:before="0" w:beforeLines="0" w:after="0" w:afterLines="0" w:line="380" w:lineRule="exact"/>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（1）投标声明书；</w:t>
      </w:r>
    </w:p>
    <w:p>
      <w:pPr>
        <w:pStyle w:val="15"/>
        <w:snapToGrid w:val="0"/>
        <w:spacing w:before="0" w:beforeLines="0" w:after="0" w:afterLines="0" w:line="380" w:lineRule="exact"/>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（2）开标一览表；</w:t>
      </w:r>
    </w:p>
    <w:p>
      <w:pPr>
        <w:pStyle w:val="15"/>
        <w:snapToGrid w:val="0"/>
        <w:spacing w:before="0" w:beforeLines="0" w:after="0" w:afterLines="0" w:line="380" w:lineRule="exact"/>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（3）法定代表人（或分行负责人或支行负责人）身份证明书或法定代表人（或分行负责人或支行负责人）授权委托书；</w:t>
      </w:r>
    </w:p>
    <w:p>
      <w:pPr>
        <w:pStyle w:val="15"/>
        <w:snapToGrid w:val="0"/>
        <w:spacing w:before="0" w:beforeLines="0" w:after="0" w:afterLines="0" w:line="380" w:lineRule="exact"/>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（4）投标人营业执照、金融许可证；</w:t>
      </w:r>
    </w:p>
    <w:p>
      <w:pPr>
        <w:pStyle w:val="15"/>
        <w:snapToGrid w:val="0"/>
        <w:spacing w:before="0" w:beforeLines="0" w:after="0" w:afterLines="0" w:line="380" w:lineRule="exact"/>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（5）廉政承诺书；</w:t>
      </w:r>
    </w:p>
    <w:p>
      <w:pPr>
        <w:pStyle w:val="15"/>
        <w:snapToGrid w:val="0"/>
        <w:spacing w:before="0" w:beforeLines="0" w:after="0" w:afterLines="0" w:line="380" w:lineRule="exact"/>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（6）自评分表；</w:t>
      </w:r>
    </w:p>
    <w:p>
      <w:pPr>
        <w:pStyle w:val="15"/>
        <w:snapToGrid w:val="0"/>
        <w:spacing w:before="0" w:beforeLines="0" w:after="0" w:afterLines="0" w:line="380" w:lineRule="exact"/>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（7）服务承诺对照表；</w:t>
      </w:r>
    </w:p>
    <w:p>
      <w:pPr>
        <w:pStyle w:val="15"/>
        <w:snapToGrid w:val="0"/>
        <w:spacing w:before="0" w:beforeLines="0" w:after="0" w:afterLines="0" w:line="380" w:lineRule="exact"/>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（8）项目负责人及服务小组人员情况表；</w:t>
      </w:r>
    </w:p>
    <w:p>
      <w:pPr>
        <w:pStyle w:val="15"/>
        <w:snapToGrid w:val="0"/>
        <w:spacing w:before="0" w:beforeLines="0" w:after="0" w:afterLines="0" w:line="380" w:lineRule="exact"/>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（9）根据第三章评分标准中的内容提供相应的资料；</w:t>
      </w:r>
    </w:p>
    <w:p>
      <w:pPr>
        <w:pStyle w:val="15"/>
        <w:snapToGrid w:val="0"/>
        <w:spacing w:before="0" w:beforeLines="0" w:after="0" w:afterLines="0" w:line="380" w:lineRule="exact"/>
        <w:ind w:firstLine="409" w:firstLineChars="195"/>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（10）投标人认为需提供的其他资料。</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据此函，签字代表宣布同意如下：</w:t>
      </w:r>
    </w:p>
    <w:p>
      <w:pPr>
        <w:numPr>
          <w:ilvl w:val="0"/>
          <w:numId w:val="10"/>
        </w:num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我方将按招标文件的规定履行协议责任和义务；</w:t>
      </w:r>
    </w:p>
    <w:p>
      <w:pPr>
        <w:numPr>
          <w:ilvl w:val="0"/>
          <w:numId w:val="10"/>
        </w:num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我方已详细审核全部招标文件，包括补充修改文件（如果有的话）。我们完全理解并同意放弃对这方面有不明及误解的权利；</w:t>
      </w:r>
    </w:p>
    <w:p>
      <w:pPr>
        <w:numPr>
          <w:ilvl w:val="0"/>
          <w:numId w:val="10"/>
        </w:num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本投标有效期为投标截止</w:t>
      </w:r>
      <w:r>
        <w:rPr>
          <w:rFonts w:hint="eastAsia" w:ascii="宋体" w:hAnsi="宋体" w:eastAsia="宋体" w:cs="宋体"/>
          <w:color w:val="auto"/>
          <w:szCs w:val="21"/>
          <w:highlight w:val="none"/>
          <w:lang w:val="en-US" w:eastAsia="zh-CN"/>
        </w:rPr>
        <w:t>日起</w:t>
      </w: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rPr>
        <w:t>个日历天。</w:t>
      </w:r>
    </w:p>
    <w:p>
      <w:pPr>
        <w:numPr>
          <w:ilvl w:val="0"/>
          <w:numId w:val="10"/>
        </w:num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如果在规定的开标时间后，我方在投标有效期内撤回投标，可取消我行本次投标资格；</w:t>
      </w:r>
    </w:p>
    <w:p>
      <w:pPr>
        <w:numPr>
          <w:ilvl w:val="0"/>
          <w:numId w:val="10"/>
        </w:num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我方同意提供按照贵方要求的与其投标有关的一切证据或资料；</w:t>
      </w:r>
    </w:p>
    <w:p>
      <w:pPr>
        <w:numPr>
          <w:ilvl w:val="0"/>
          <w:numId w:val="10"/>
        </w:num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一旦我方中标，我们将根据招标文件的规定，严格按照《</w:t>
      </w:r>
      <w:r>
        <w:rPr>
          <w:rFonts w:hint="eastAsia" w:ascii="宋体" w:hAnsi="宋体" w:eastAsia="宋体" w:cs="宋体"/>
          <w:color w:val="auto"/>
          <w:szCs w:val="21"/>
          <w:highlight w:val="none"/>
          <w:lang w:val="en-US" w:eastAsia="zh-CN"/>
        </w:rPr>
        <w:t>民法典</w:t>
      </w:r>
      <w:r>
        <w:rPr>
          <w:rFonts w:hint="eastAsia" w:ascii="宋体" w:hAnsi="宋体" w:eastAsia="宋体" w:cs="宋体"/>
          <w:color w:val="auto"/>
          <w:szCs w:val="21"/>
          <w:highlight w:val="none"/>
        </w:rPr>
        <w:t>》履行自己的责任和义务，并保证完全按照合同为</w:t>
      </w:r>
      <w:r>
        <w:rPr>
          <w:rFonts w:hint="eastAsia" w:ascii="宋体" w:hAnsi="宋体" w:eastAsia="宋体" w:cs="宋体"/>
          <w:color w:val="auto"/>
          <w:szCs w:val="21"/>
          <w:highlight w:val="none"/>
          <w:lang w:val="en-US" w:eastAsia="zh-CN"/>
        </w:rPr>
        <w:t>本项目</w:t>
      </w:r>
      <w:r>
        <w:rPr>
          <w:rFonts w:hint="eastAsia" w:ascii="宋体" w:hAnsi="宋体" w:eastAsia="宋体" w:cs="宋体"/>
          <w:color w:val="auto"/>
          <w:szCs w:val="21"/>
          <w:highlight w:val="none"/>
        </w:rPr>
        <w:t>的相关业务提供服务；</w:t>
      </w:r>
    </w:p>
    <w:p>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 与本投标有关的一切正式往来信函请寄：</w:t>
      </w:r>
    </w:p>
    <w:p>
      <w:pPr>
        <w:spacing w:line="380" w:lineRule="exact"/>
        <w:ind w:left="3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地址：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single"/>
        </w:rPr>
        <w:t xml:space="preserve">           </w:t>
      </w:r>
    </w:p>
    <w:p>
      <w:pPr>
        <w:spacing w:line="380" w:lineRule="exact"/>
        <w:ind w:left="3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pPr>
        <w:spacing w:line="380" w:lineRule="exact"/>
        <w:ind w:left="3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授权委托人签字：</w:t>
      </w:r>
      <w:r>
        <w:rPr>
          <w:rFonts w:hint="eastAsia" w:ascii="宋体" w:hAnsi="宋体" w:eastAsia="宋体" w:cs="宋体"/>
          <w:color w:val="auto"/>
          <w:szCs w:val="21"/>
          <w:highlight w:val="none"/>
          <w:u w:val="single"/>
        </w:rPr>
        <w:t xml:space="preserve">                                    </w:t>
      </w:r>
    </w:p>
    <w:p>
      <w:pPr>
        <w:spacing w:line="380" w:lineRule="exact"/>
        <w:ind w:left="36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投标人名称：  </w:t>
      </w:r>
      <w:r>
        <w:rPr>
          <w:rFonts w:hint="eastAsia" w:ascii="宋体" w:hAnsi="宋体" w:eastAsia="宋体" w:cs="宋体"/>
          <w:color w:val="auto"/>
          <w:szCs w:val="21"/>
          <w:highlight w:val="none"/>
          <w:u w:val="single"/>
        </w:rPr>
        <w:t xml:space="preserve">                                    </w:t>
      </w:r>
    </w:p>
    <w:p>
      <w:pPr>
        <w:spacing w:line="380" w:lineRule="exact"/>
        <w:ind w:left="3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公章：   </w:t>
      </w:r>
      <w:r>
        <w:rPr>
          <w:rFonts w:hint="eastAsia" w:ascii="宋体" w:hAnsi="宋体" w:eastAsia="宋体" w:cs="宋体"/>
          <w:color w:val="auto"/>
          <w:szCs w:val="21"/>
          <w:highlight w:val="none"/>
          <w:u w:val="single"/>
        </w:rPr>
        <w:t xml:space="preserve">                                        </w:t>
      </w:r>
    </w:p>
    <w:p>
      <w:pPr>
        <w:spacing w:line="380" w:lineRule="exact"/>
        <w:ind w:left="36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日期：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tabs>
          <w:tab w:val="left" w:pos="0"/>
        </w:tabs>
        <w:spacing w:line="380" w:lineRule="exact"/>
        <w:ind w:left="1619" w:leftChars="771" w:firstLine="1764" w:firstLineChars="735"/>
        <w:rPr>
          <w:rFonts w:hint="eastAsia" w:ascii="宋体" w:hAnsi="宋体" w:eastAsia="宋体" w:cs="宋体"/>
          <w:color w:val="auto"/>
          <w:szCs w:val="21"/>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30"/>
          <w:szCs w:val="30"/>
          <w:highlight w:val="none"/>
        </w:rPr>
        <w:t>2.开标一览表</w:t>
      </w:r>
    </w:p>
    <w:p>
      <w:pPr>
        <w:spacing w:line="360" w:lineRule="auto"/>
        <w:ind w:firstLine="157" w:firstLineChars="75"/>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ind w:firstLine="157" w:firstLineChars="75"/>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4220"/>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38" w:type="pct"/>
            <w:noWrap w:val="0"/>
            <w:vAlign w:val="center"/>
          </w:tcPr>
          <w:p>
            <w:pPr>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项目名称</w:t>
            </w:r>
          </w:p>
        </w:tc>
        <w:tc>
          <w:tcPr>
            <w:tcW w:w="2119" w:type="pct"/>
            <w:noWrap w:val="0"/>
            <w:vAlign w:val="center"/>
          </w:tcPr>
          <w:p>
            <w:pPr>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内容</w:t>
            </w:r>
          </w:p>
        </w:tc>
        <w:tc>
          <w:tcPr>
            <w:tcW w:w="1342" w:type="pct"/>
            <w:noWrap w:val="0"/>
            <w:vAlign w:val="center"/>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加点值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8" w:type="pct"/>
            <w:vMerge w:val="restart"/>
            <w:noWrap w:val="0"/>
            <w:vAlign w:val="center"/>
          </w:tcPr>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庄桥街道城市建设管理办公室基本账户银行开户项目（重招）</w:t>
            </w:r>
          </w:p>
        </w:tc>
        <w:tc>
          <w:tcPr>
            <w:tcW w:w="2119" w:type="pct"/>
            <w:noWrap w:val="0"/>
            <w:vAlign w:val="center"/>
          </w:tcPr>
          <w:p>
            <w:pPr>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活期存款利率</w:t>
            </w:r>
          </w:p>
        </w:tc>
        <w:tc>
          <w:tcPr>
            <w:tcW w:w="1342" w:type="pct"/>
            <w:noWrap w:val="0"/>
            <w:vAlign w:val="center"/>
          </w:tcPr>
          <w:p>
            <w:pPr>
              <w:tabs>
                <w:tab w:val="left" w:pos="2670"/>
              </w:tabs>
              <w:adjustRightInd w:val="0"/>
              <w:spacing w:line="360" w:lineRule="auto"/>
              <w:jc w:val="center"/>
              <w:rPr>
                <w:rFonts w:hint="eastAsia" w:ascii="宋体" w:hAnsi="宋体" w:eastAsia="宋体" w:cs="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8" w:type="pct"/>
            <w:vMerge w:val="continue"/>
            <w:noWrap w:val="0"/>
            <w:vAlign w:val="center"/>
          </w:tcPr>
          <w:p>
            <w:pPr>
              <w:jc w:val="center"/>
              <w:rPr>
                <w:rFonts w:hint="eastAsia" w:ascii="宋体" w:hAnsi="宋体" w:eastAsia="宋体" w:cs="宋体"/>
                <w:color w:val="auto"/>
                <w:highlight w:val="none"/>
                <w:lang w:val="zh-CN"/>
              </w:rPr>
            </w:pPr>
          </w:p>
        </w:tc>
        <w:tc>
          <w:tcPr>
            <w:tcW w:w="2119" w:type="pct"/>
            <w:noWrap w:val="0"/>
            <w:vAlign w:val="center"/>
          </w:tcPr>
          <w:p>
            <w:pPr>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协定存款利率</w:t>
            </w:r>
          </w:p>
        </w:tc>
        <w:tc>
          <w:tcPr>
            <w:tcW w:w="1342" w:type="pct"/>
            <w:noWrap w:val="0"/>
            <w:vAlign w:val="center"/>
          </w:tcPr>
          <w:p>
            <w:pPr>
              <w:tabs>
                <w:tab w:val="left" w:pos="2670"/>
              </w:tabs>
              <w:adjustRightInd w:val="0"/>
              <w:spacing w:line="360" w:lineRule="auto"/>
              <w:jc w:val="center"/>
              <w:rPr>
                <w:rFonts w:hint="eastAsia" w:ascii="宋体" w:hAnsi="宋体" w:eastAsia="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8" w:type="pct"/>
            <w:vMerge w:val="continue"/>
            <w:noWrap w:val="0"/>
            <w:vAlign w:val="center"/>
          </w:tcPr>
          <w:p>
            <w:pPr>
              <w:jc w:val="center"/>
              <w:rPr>
                <w:rFonts w:hint="eastAsia" w:ascii="宋体" w:hAnsi="宋体" w:eastAsia="宋体" w:cs="宋体"/>
                <w:color w:val="auto"/>
                <w:highlight w:val="none"/>
                <w:lang w:val="zh-CN"/>
              </w:rPr>
            </w:pPr>
          </w:p>
        </w:tc>
        <w:tc>
          <w:tcPr>
            <w:tcW w:w="2119" w:type="pct"/>
            <w:noWrap w:val="0"/>
            <w:vAlign w:val="center"/>
          </w:tcPr>
          <w:p>
            <w:pPr>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七天通知存款利率</w:t>
            </w:r>
          </w:p>
        </w:tc>
        <w:tc>
          <w:tcPr>
            <w:tcW w:w="1342" w:type="pct"/>
            <w:noWrap w:val="0"/>
            <w:vAlign w:val="center"/>
          </w:tcPr>
          <w:p>
            <w:pPr>
              <w:jc w:val="center"/>
              <w:rPr>
                <w:rFonts w:hint="eastAsia" w:ascii="宋体" w:hAnsi="宋体" w:eastAsia="宋体" w:cs="宋体"/>
                <w:bCs/>
                <w:color w:val="auto"/>
                <w:szCs w:val="21"/>
                <w:highlight w:val="none"/>
                <w:u w:val="singl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8" w:type="pct"/>
            <w:vMerge w:val="continue"/>
            <w:noWrap w:val="0"/>
            <w:vAlign w:val="center"/>
          </w:tcPr>
          <w:p>
            <w:pPr>
              <w:jc w:val="center"/>
              <w:rPr>
                <w:rFonts w:hint="eastAsia" w:ascii="宋体" w:hAnsi="宋体" w:eastAsia="宋体" w:cs="宋体"/>
                <w:color w:val="auto"/>
                <w:highlight w:val="none"/>
                <w:lang w:val="zh-CN"/>
              </w:rPr>
            </w:pPr>
          </w:p>
        </w:tc>
        <w:tc>
          <w:tcPr>
            <w:tcW w:w="2119" w:type="pc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定期存款利率(一年期及以内)</w:t>
            </w:r>
          </w:p>
        </w:tc>
        <w:tc>
          <w:tcPr>
            <w:tcW w:w="1342" w:type="pct"/>
            <w:noWrap w:val="0"/>
            <w:vAlign w:val="center"/>
          </w:tcPr>
          <w:p>
            <w:pPr>
              <w:jc w:val="center"/>
              <w:rPr>
                <w:rFonts w:hint="eastAsia" w:ascii="宋体" w:hAnsi="宋体" w:eastAsia="宋体" w:cs="宋体"/>
                <w:bCs/>
                <w:color w:val="auto"/>
                <w:szCs w:val="21"/>
                <w:highlight w:val="none"/>
                <w:u w:val="single"/>
                <w:lang w:val="zh-CN"/>
              </w:rPr>
            </w:pPr>
          </w:p>
        </w:tc>
      </w:tr>
    </w:tbl>
    <w:p>
      <w:pPr>
        <w:spacing w:line="360" w:lineRule="auto"/>
        <w:rPr>
          <w:rFonts w:hint="eastAsia" w:ascii="宋体" w:hAnsi="宋体" w:eastAsia="宋体" w:cs="宋体"/>
          <w:b/>
          <w:color w:val="auto"/>
          <w:szCs w:val="21"/>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法定代表人（或分行负责人或支行负责人）或授权委托人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30"/>
          <w:szCs w:val="30"/>
          <w:highlight w:val="none"/>
        </w:rPr>
        <w:t>3.</w:t>
      </w:r>
      <w:bookmarkStart w:id="74" w:name="_Hlk76995954"/>
      <w:r>
        <w:rPr>
          <w:rFonts w:hint="eastAsia" w:ascii="宋体" w:hAnsi="宋体" w:eastAsia="宋体" w:cs="宋体"/>
          <w:b/>
          <w:color w:val="auto"/>
          <w:sz w:val="30"/>
          <w:szCs w:val="30"/>
          <w:highlight w:val="none"/>
        </w:rPr>
        <w:t>法定代表人（或分行负责人或支行负责人）身份证明书</w:t>
      </w:r>
      <w:bookmarkEnd w:id="74"/>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的法定代表人（或分行负责人或支行负责人）。</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ind w:firstLine="2835" w:firstLineChars="1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投标人名称（公章）：</w:t>
      </w:r>
      <w:r>
        <w:rPr>
          <w:rFonts w:hint="eastAsia" w:ascii="宋体" w:hAnsi="宋体" w:eastAsia="宋体" w:cs="宋体"/>
          <w:color w:val="auto"/>
          <w:szCs w:val="21"/>
          <w:highlight w:val="none"/>
          <w:u w:val="single"/>
        </w:rPr>
        <w:t xml:space="preserve">                           </w:t>
      </w:r>
    </w:p>
    <w:p>
      <w:pPr>
        <w:spacing w:line="360" w:lineRule="auto"/>
        <w:ind w:firstLine="4200" w:firstLineChars="20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0"/>
          <w:szCs w:val="30"/>
          <w:highlight w:val="none"/>
        </w:rPr>
        <w:t>4.法定代表人（或分行负责人或支行负责人）授权委托书</w:t>
      </w:r>
    </w:p>
    <w:p>
      <w:pPr>
        <w:spacing w:line="360" w:lineRule="auto"/>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本授权书声明：我</w:t>
      </w:r>
      <w:r>
        <w:rPr>
          <w:rFonts w:hint="eastAsia" w:ascii="宋体" w:hAnsi="宋体" w:eastAsia="宋体" w:cs="宋体"/>
          <w:color w:val="auto"/>
          <w:szCs w:val="21"/>
          <w:highlight w:val="none"/>
          <w:u w:val="single"/>
        </w:rPr>
        <w:t>（姓名）</w:t>
      </w:r>
      <w:r>
        <w:rPr>
          <w:rFonts w:hint="eastAsia" w:ascii="宋体" w:hAnsi="宋体" w:eastAsia="宋体" w:cs="宋体"/>
          <w:color w:val="auto"/>
          <w:szCs w:val="21"/>
          <w:highlight w:val="none"/>
        </w:rPr>
        <w:t>系注册于</w:t>
      </w:r>
      <w:r>
        <w:rPr>
          <w:rFonts w:hint="eastAsia" w:ascii="宋体" w:hAnsi="宋体" w:eastAsia="宋体" w:cs="宋体"/>
          <w:color w:val="auto"/>
          <w:szCs w:val="21"/>
          <w:highlight w:val="none"/>
          <w:u w:val="single"/>
        </w:rPr>
        <w:t>（单位地址）</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（投标人名称）</w:t>
      </w:r>
      <w:r>
        <w:rPr>
          <w:rFonts w:hint="eastAsia" w:ascii="宋体" w:hAnsi="宋体" w:eastAsia="宋体" w:cs="宋体"/>
          <w:color w:val="auto"/>
          <w:szCs w:val="21"/>
          <w:highlight w:val="none"/>
        </w:rPr>
        <w:t>的法定代表人（或分行负责人或支行负责人），现授权委托</w:t>
      </w:r>
      <w:r>
        <w:rPr>
          <w:rFonts w:hint="eastAsia" w:ascii="宋体" w:hAnsi="宋体" w:eastAsia="宋体" w:cs="宋体"/>
          <w:color w:val="auto"/>
          <w:szCs w:val="21"/>
          <w:highlight w:val="none"/>
          <w:u w:val="single"/>
        </w:rPr>
        <w:t>（被授权人姓名、职务）</w:t>
      </w:r>
      <w:r>
        <w:rPr>
          <w:rFonts w:hint="eastAsia" w:ascii="宋体" w:hAnsi="宋体" w:eastAsia="宋体" w:cs="宋体"/>
          <w:color w:val="auto"/>
          <w:szCs w:val="21"/>
          <w:highlight w:val="none"/>
        </w:rPr>
        <w:t>为我行的合法代理人，以本行的名义参加</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的投标活动。代理人在参与投标过程中所签署的一切文件和处理与之有关的一切事务，我行均予以承认。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日签字生效。特此声明。</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投标人名称（公章）：</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法定代表人（或分行负责人或支行负责人）签字：</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授权委托人签字：</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ind w:left="1680" w:leftChars="800" w:firstLine="241" w:firstLineChars="100"/>
        <w:rPr>
          <w:rFonts w:hint="eastAsia" w:ascii="宋体" w:hAnsi="宋体" w:eastAsia="宋体" w:cs="宋体"/>
          <w:b/>
          <w:color w:val="auto"/>
          <w:sz w:val="24"/>
          <w:highlight w:val="none"/>
        </w:rPr>
      </w:pPr>
    </w:p>
    <w:p>
      <w:pPr>
        <w:spacing w:line="360" w:lineRule="auto"/>
        <w:ind w:left="1680" w:leftChars="800" w:firstLine="241" w:firstLineChars="100"/>
        <w:rPr>
          <w:rFonts w:hint="eastAsia" w:ascii="宋体" w:hAnsi="宋体" w:eastAsia="宋体" w:cs="宋体"/>
          <w:b/>
          <w:color w:val="auto"/>
          <w:sz w:val="24"/>
          <w:highlight w:val="none"/>
        </w:rPr>
      </w:pPr>
    </w:p>
    <w:p>
      <w:pPr>
        <w:spacing w:line="360" w:lineRule="auto"/>
        <w:ind w:left="1680" w:leftChars="800" w:firstLine="241" w:firstLineChars="100"/>
        <w:rPr>
          <w:rFonts w:hint="eastAsia" w:ascii="宋体" w:hAnsi="宋体" w:eastAsia="宋体" w:cs="宋体"/>
          <w:b/>
          <w:color w:val="auto"/>
          <w:sz w:val="24"/>
          <w:highlight w:val="none"/>
        </w:rPr>
      </w:pPr>
    </w:p>
    <w:p>
      <w:pPr>
        <w:spacing w:line="360" w:lineRule="auto"/>
        <w:ind w:left="1680" w:leftChars="800" w:firstLine="241" w:firstLineChars="100"/>
        <w:rPr>
          <w:rFonts w:hint="eastAsia" w:ascii="宋体" w:hAnsi="宋体" w:eastAsia="宋体" w:cs="宋体"/>
          <w:b/>
          <w:color w:val="auto"/>
          <w:sz w:val="24"/>
          <w:highlight w:val="none"/>
        </w:rPr>
      </w:pPr>
    </w:p>
    <w:p>
      <w:pPr>
        <w:spacing w:line="360" w:lineRule="auto"/>
        <w:ind w:left="1680" w:leftChars="800" w:firstLine="241" w:firstLineChars="100"/>
        <w:rPr>
          <w:rFonts w:hint="eastAsia" w:ascii="宋体" w:hAnsi="宋体" w:eastAsia="宋体" w:cs="宋体"/>
          <w:b/>
          <w:color w:val="auto"/>
          <w:sz w:val="24"/>
          <w:highlight w:val="none"/>
        </w:rPr>
      </w:pPr>
    </w:p>
    <w:p>
      <w:pPr>
        <w:spacing w:line="360" w:lineRule="auto"/>
        <w:ind w:left="1680" w:leftChars="800" w:firstLine="241" w:firstLineChars="100"/>
        <w:rPr>
          <w:rFonts w:hint="eastAsia" w:ascii="宋体" w:hAnsi="宋体" w:eastAsia="宋体" w:cs="宋体"/>
          <w:b/>
          <w:color w:val="auto"/>
          <w:sz w:val="24"/>
          <w:highlight w:val="none"/>
        </w:rPr>
      </w:pPr>
    </w:p>
    <w:p>
      <w:pPr>
        <w:spacing w:line="360" w:lineRule="auto"/>
        <w:ind w:left="1680" w:leftChars="800" w:firstLine="241" w:firstLineChars="100"/>
        <w:rPr>
          <w:rFonts w:hint="eastAsia" w:ascii="宋体" w:hAnsi="宋体" w:eastAsia="宋体" w:cs="宋体"/>
          <w:b/>
          <w:color w:val="auto"/>
          <w:sz w:val="24"/>
          <w:highlight w:val="none"/>
        </w:rPr>
      </w:pPr>
    </w:p>
    <w:p>
      <w:pPr>
        <w:spacing w:line="360" w:lineRule="auto"/>
        <w:ind w:left="1680" w:leftChars="800" w:firstLine="241" w:firstLineChars="100"/>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0"/>
          <w:szCs w:val="30"/>
          <w:highlight w:val="none"/>
        </w:rPr>
        <w:t>5.廉政承诺书</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致：</w:t>
      </w:r>
      <w:r>
        <w:rPr>
          <w:rFonts w:hint="eastAsia" w:ascii="宋体" w:hAnsi="宋体" w:eastAsia="宋体" w:cs="宋体"/>
          <w:bCs/>
          <w:color w:val="auto"/>
          <w:szCs w:val="21"/>
          <w:highlight w:val="none"/>
          <w:u w:val="single"/>
        </w:rPr>
        <w:t>招标单位</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关于防止领导干部在公款存放方面发生利益冲突和利益输送的办法》的通知（甬党办〔2017〕41号）、《宁波市财政局关于进一步加强财政部门和市级预算单位资金存放管理的通知》（甬财政发〔2018〕725号）相关规定，现就</w:t>
      </w:r>
      <w:r>
        <w:rPr>
          <w:rFonts w:hint="eastAsia" w:ascii="宋体" w:hAnsi="宋体" w:eastAsia="宋体" w:cs="宋体"/>
          <w:bCs/>
          <w:color w:val="auto"/>
          <w:szCs w:val="21"/>
          <w:highlight w:val="none"/>
          <w:u w:val="single"/>
        </w:rPr>
        <w:t>项目编号、项目名称</w:t>
      </w:r>
      <w:r>
        <w:rPr>
          <w:rFonts w:hint="eastAsia" w:ascii="宋体" w:hAnsi="宋体" w:eastAsia="宋体" w:cs="宋体"/>
          <w:bCs/>
          <w:color w:val="auto"/>
          <w:szCs w:val="21"/>
          <w:highlight w:val="none"/>
        </w:rPr>
        <w:t>作出如下承诺：</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1.不向贵单位负责公款存放管理的领导及相关人员进行利益输送；</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2.不将公款存放与贵单位负责公款存放管理的领导及相关人员在本行的配偶、子女及其配偶和其他直接利益相关人员的业绩、收入、晋升等利益挂钩；</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3.严格执行利益回避制度，贵单位负责公款竞争性存放相关人员的配偶、子女及其配偶和其他直接利益相关人员为本行工作人员的，不参与公款竞争性存放工作；</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4.不发生除上述行为之外的其他任何利益输送行为。</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未遵守以上承诺的，本行自愿接受财政部门通报和处理，承担相应的一切后果。</w:t>
      </w:r>
    </w:p>
    <w:p>
      <w:pPr>
        <w:spacing w:line="360" w:lineRule="auto"/>
        <w:ind w:firstLine="420" w:firstLineChars="200"/>
        <w:rPr>
          <w:rFonts w:hint="eastAsia" w:ascii="宋体" w:hAnsi="宋体" w:eastAsia="宋体" w:cs="宋体"/>
          <w:bCs/>
          <w:color w:val="auto"/>
          <w:szCs w:val="21"/>
          <w:highlight w:val="none"/>
        </w:rPr>
      </w:pP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法定代表人（或分行负责人或支行负责人）或授权委托人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年    月    日</w:t>
      </w: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0"/>
          <w:szCs w:val="30"/>
          <w:highlight w:val="none"/>
        </w:rPr>
        <w:t>6.</w:t>
      </w:r>
      <w:r>
        <w:rPr>
          <w:rFonts w:hint="eastAsia" w:ascii="宋体" w:hAnsi="宋体" w:eastAsia="宋体" w:cs="宋体"/>
          <w:b/>
          <w:color w:val="auto"/>
          <w:sz w:val="28"/>
          <w:szCs w:val="28"/>
          <w:highlight w:val="none"/>
        </w:rPr>
        <w:t>自评分表</w:t>
      </w:r>
    </w:p>
    <w:tbl>
      <w:tblPr>
        <w:tblStyle w:val="27"/>
        <w:tblW w:w="4997" w:type="pct"/>
        <w:tblInd w:w="0" w:type="dxa"/>
        <w:tblLayout w:type="autofit"/>
        <w:tblCellMar>
          <w:top w:w="0" w:type="dxa"/>
          <w:left w:w="108" w:type="dxa"/>
          <w:bottom w:w="0" w:type="dxa"/>
          <w:right w:w="108" w:type="dxa"/>
        </w:tblCellMar>
      </w:tblPr>
      <w:tblGrid>
        <w:gridCol w:w="936"/>
        <w:gridCol w:w="5576"/>
        <w:gridCol w:w="1723"/>
        <w:gridCol w:w="1721"/>
      </w:tblGrid>
      <w:tr>
        <w:tblPrEx>
          <w:tblCellMar>
            <w:top w:w="0" w:type="dxa"/>
            <w:left w:w="108" w:type="dxa"/>
            <w:bottom w:w="0" w:type="dxa"/>
            <w:right w:w="108" w:type="dxa"/>
          </w:tblCellMar>
        </w:tblPrEx>
        <w:trPr>
          <w:trHeight w:val="610" w:hRule="atLeast"/>
        </w:trPr>
        <w:tc>
          <w:tcPr>
            <w:tcW w:w="470"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799"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评审内容</w:t>
            </w:r>
          </w:p>
        </w:tc>
        <w:tc>
          <w:tcPr>
            <w:tcW w:w="865"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证明文件</w:t>
            </w:r>
          </w:p>
        </w:tc>
        <w:tc>
          <w:tcPr>
            <w:tcW w:w="864"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自评分</w:t>
            </w:r>
          </w:p>
        </w:tc>
      </w:tr>
      <w:tr>
        <w:tblPrEx>
          <w:tblCellMar>
            <w:top w:w="0" w:type="dxa"/>
            <w:left w:w="108" w:type="dxa"/>
            <w:bottom w:w="0" w:type="dxa"/>
            <w:right w:w="108" w:type="dxa"/>
          </w:tblCellMar>
        </w:tblPrEx>
        <w:trPr>
          <w:trHeight w:val="607" w:hRule="atLeast"/>
        </w:trPr>
        <w:tc>
          <w:tcPr>
            <w:tcW w:w="470" w:type="pct"/>
            <w:tcBorders>
              <w:top w:val="nil"/>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2799" w:type="pct"/>
            <w:tcBorders>
              <w:top w:val="nil"/>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865" w:type="pct"/>
            <w:tcBorders>
              <w:top w:val="nil"/>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864" w:type="pct"/>
            <w:tcBorders>
              <w:top w:val="nil"/>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27" w:hRule="atLeast"/>
        </w:trPr>
        <w:tc>
          <w:tcPr>
            <w:tcW w:w="470" w:type="pct"/>
            <w:tcBorders>
              <w:top w:val="nil"/>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2799" w:type="pct"/>
            <w:tcBorders>
              <w:top w:val="nil"/>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865" w:type="pct"/>
            <w:tcBorders>
              <w:top w:val="nil"/>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864" w:type="pct"/>
            <w:tcBorders>
              <w:top w:val="nil"/>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34" w:hRule="atLeast"/>
        </w:trPr>
        <w:tc>
          <w:tcPr>
            <w:tcW w:w="470" w:type="pct"/>
            <w:tcBorders>
              <w:top w:val="nil"/>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2799" w:type="pct"/>
            <w:tcBorders>
              <w:top w:val="nil"/>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865" w:type="pct"/>
            <w:tcBorders>
              <w:top w:val="nil"/>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864" w:type="pct"/>
            <w:tcBorders>
              <w:top w:val="nil"/>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45" w:hRule="atLeast"/>
        </w:trPr>
        <w:tc>
          <w:tcPr>
            <w:tcW w:w="470" w:type="pct"/>
            <w:tcBorders>
              <w:top w:val="nil"/>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2799" w:type="pct"/>
            <w:tcBorders>
              <w:top w:val="nil"/>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865" w:type="pct"/>
            <w:tcBorders>
              <w:top w:val="nil"/>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864" w:type="pct"/>
            <w:tcBorders>
              <w:top w:val="nil"/>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21" w:hRule="atLeast"/>
        </w:trPr>
        <w:tc>
          <w:tcPr>
            <w:tcW w:w="470"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2799"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865"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864"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29" w:hRule="atLeast"/>
        </w:trPr>
        <w:tc>
          <w:tcPr>
            <w:tcW w:w="470"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2799"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865"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864"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29" w:hRule="atLeast"/>
        </w:trPr>
        <w:tc>
          <w:tcPr>
            <w:tcW w:w="470"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2799"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865"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864"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29" w:hRule="atLeast"/>
        </w:trPr>
        <w:tc>
          <w:tcPr>
            <w:tcW w:w="470"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2799"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865"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864"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29" w:hRule="atLeast"/>
        </w:trPr>
        <w:tc>
          <w:tcPr>
            <w:tcW w:w="470"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2799"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865"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864"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29" w:hRule="atLeast"/>
        </w:trPr>
        <w:tc>
          <w:tcPr>
            <w:tcW w:w="470"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2799"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865"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864"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22" w:hRule="atLeast"/>
        </w:trPr>
        <w:tc>
          <w:tcPr>
            <w:tcW w:w="470"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2799"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865"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864"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775" w:hRule="atLeast"/>
        </w:trPr>
        <w:tc>
          <w:tcPr>
            <w:tcW w:w="470"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2799"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865"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864"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p>
        </w:tc>
      </w:tr>
    </w:tbl>
    <w:p>
      <w:pPr>
        <w:tabs>
          <w:tab w:val="left" w:pos="5940"/>
        </w:tabs>
        <w:spacing w:before="120" w:beforeLines="50"/>
        <w:rPr>
          <w:rFonts w:hint="eastAsia" w:ascii="宋体" w:hAnsi="宋体" w:eastAsia="宋体" w:cs="宋体"/>
          <w:b/>
          <w:color w:val="auto"/>
          <w:highlight w:val="none"/>
        </w:rPr>
      </w:pPr>
      <w:r>
        <w:rPr>
          <w:rFonts w:hint="eastAsia" w:ascii="宋体" w:hAnsi="宋体" w:eastAsia="宋体" w:cs="宋体"/>
          <w:b/>
          <w:color w:val="auto"/>
          <w:highlight w:val="none"/>
        </w:rPr>
        <w:t>根据评分标准逐条填写。</w:t>
      </w:r>
    </w:p>
    <w:p>
      <w:pPr>
        <w:tabs>
          <w:tab w:val="left" w:pos="5940"/>
        </w:tabs>
        <w:rPr>
          <w:rFonts w:hint="eastAsia" w:ascii="宋体" w:hAnsi="宋体" w:eastAsia="宋体" w:cs="宋体"/>
          <w:color w:val="auto"/>
          <w:highlight w:val="none"/>
        </w:rPr>
      </w:pPr>
    </w:p>
    <w:p>
      <w:pPr>
        <w:tabs>
          <w:tab w:val="left" w:pos="5940"/>
        </w:tabs>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法定代表人（或分行负责人或支行负责人）或授权委托人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年    月    日</w:t>
      </w: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7.服务承诺对照表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b/>
          <w:color w:val="auto"/>
          <w:szCs w:val="21"/>
          <w:highlight w:val="none"/>
        </w:rPr>
        <w:t xml:space="preserve">                                       </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4448"/>
        <w:gridCol w:w="2247"/>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jc w:val="center"/>
        </w:trPr>
        <w:tc>
          <w:tcPr>
            <w:tcW w:w="518" w:type="pct"/>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2233" w:type="pct"/>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招标文件要求</w:t>
            </w:r>
          </w:p>
        </w:tc>
        <w:tc>
          <w:tcPr>
            <w:tcW w:w="1128" w:type="pct"/>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是否响应</w:t>
            </w:r>
          </w:p>
        </w:tc>
        <w:tc>
          <w:tcPr>
            <w:tcW w:w="1120" w:type="pct"/>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518" w:type="pct"/>
            <w:noWrap w:val="0"/>
            <w:vAlign w:val="center"/>
          </w:tcPr>
          <w:p>
            <w:pPr>
              <w:jc w:val="center"/>
              <w:rPr>
                <w:rFonts w:hint="eastAsia" w:ascii="宋体" w:hAnsi="宋体" w:eastAsia="宋体" w:cs="宋体"/>
                <w:color w:val="auto"/>
                <w:kern w:val="0"/>
                <w:szCs w:val="21"/>
                <w:highlight w:val="none"/>
              </w:rPr>
            </w:pPr>
          </w:p>
        </w:tc>
        <w:tc>
          <w:tcPr>
            <w:tcW w:w="2233" w:type="pct"/>
            <w:noWrap w:val="0"/>
            <w:vAlign w:val="center"/>
          </w:tcPr>
          <w:p>
            <w:pPr>
              <w:rPr>
                <w:rFonts w:hint="eastAsia" w:ascii="宋体" w:hAnsi="宋体" w:eastAsia="宋体" w:cs="宋体"/>
                <w:color w:val="auto"/>
                <w:kern w:val="0"/>
                <w:szCs w:val="21"/>
                <w:highlight w:val="none"/>
              </w:rPr>
            </w:pPr>
          </w:p>
        </w:tc>
        <w:tc>
          <w:tcPr>
            <w:tcW w:w="1128" w:type="pct"/>
            <w:noWrap w:val="0"/>
            <w:vAlign w:val="center"/>
          </w:tcPr>
          <w:p>
            <w:pPr>
              <w:rPr>
                <w:rFonts w:hint="eastAsia" w:ascii="宋体" w:hAnsi="宋体" w:eastAsia="宋体" w:cs="宋体"/>
                <w:color w:val="auto"/>
                <w:szCs w:val="21"/>
                <w:highlight w:val="none"/>
              </w:rPr>
            </w:pPr>
          </w:p>
        </w:tc>
        <w:tc>
          <w:tcPr>
            <w:tcW w:w="1120" w:type="pct"/>
            <w:noWrap w:val="0"/>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518" w:type="pct"/>
            <w:noWrap w:val="0"/>
            <w:vAlign w:val="center"/>
          </w:tcPr>
          <w:p>
            <w:pPr>
              <w:jc w:val="center"/>
              <w:rPr>
                <w:rFonts w:hint="eastAsia" w:ascii="宋体" w:hAnsi="宋体" w:eastAsia="宋体" w:cs="宋体"/>
                <w:color w:val="auto"/>
                <w:kern w:val="0"/>
                <w:szCs w:val="21"/>
                <w:highlight w:val="none"/>
              </w:rPr>
            </w:pPr>
          </w:p>
        </w:tc>
        <w:tc>
          <w:tcPr>
            <w:tcW w:w="2233" w:type="pct"/>
            <w:noWrap w:val="0"/>
            <w:vAlign w:val="center"/>
          </w:tcPr>
          <w:p>
            <w:pPr>
              <w:rPr>
                <w:rFonts w:hint="eastAsia" w:ascii="宋体" w:hAnsi="宋体" w:eastAsia="宋体" w:cs="宋体"/>
                <w:color w:val="auto"/>
                <w:kern w:val="0"/>
                <w:szCs w:val="21"/>
                <w:highlight w:val="none"/>
              </w:rPr>
            </w:pPr>
          </w:p>
        </w:tc>
        <w:tc>
          <w:tcPr>
            <w:tcW w:w="1128" w:type="pct"/>
            <w:noWrap w:val="0"/>
            <w:vAlign w:val="center"/>
          </w:tcPr>
          <w:p>
            <w:pPr>
              <w:rPr>
                <w:rFonts w:hint="eastAsia" w:ascii="宋体" w:hAnsi="宋体" w:eastAsia="宋体" w:cs="宋体"/>
                <w:color w:val="auto"/>
                <w:szCs w:val="21"/>
                <w:highlight w:val="none"/>
              </w:rPr>
            </w:pPr>
          </w:p>
        </w:tc>
        <w:tc>
          <w:tcPr>
            <w:tcW w:w="1120" w:type="pct"/>
            <w:noWrap w:val="0"/>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518" w:type="pct"/>
            <w:noWrap w:val="0"/>
            <w:vAlign w:val="center"/>
          </w:tcPr>
          <w:p>
            <w:pPr>
              <w:jc w:val="center"/>
              <w:rPr>
                <w:rFonts w:hint="eastAsia" w:ascii="宋体" w:hAnsi="宋体" w:eastAsia="宋体" w:cs="宋体"/>
                <w:color w:val="auto"/>
                <w:kern w:val="0"/>
                <w:szCs w:val="21"/>
                <w:highlight w:val="none"/>
              </w:rPr>
            </w:pPr>
          </w:p>
        </w:tc>
        <w:tc>
          <w:tcPr>
            <w:tcW w:w="2233" w:type="pct"/>
            <w:noWrap w:val="0"/>
            <w:vAlign w:val="center"/>
          </w:tcPr>
          <w:p>
            <w:pPr>
              <w:rPr>
                <w:rFonts w:hint="eastAsia" w:ascii="宋体" w:hAnsi="宋体" w:eastAsia="宋体" w:cs="宋体"/>
                <w:color w:val="auto"/>
                <w:kern w:val="0"/>
                <w:szCs w:val="21"/>
                <w:highlight w:val="none"/>
              </w:rPr>
            </w:pPr>
          </w:p>
        </w:tc>
        <w:tc>
          <w:tcPr>
            <w:tcW w:w="1128" w:type="pct"/>
            <w:noWrap w:val="0"/>
            <w:vAlign w:val="center"/>
          </w:tcPr>
          <w:p>
            <w:pPr>
              <w:rPr>
                <w:rFonts w:hint="eastAsia" w:ascii="宋体" w:hAnsi="宋体" w:eastAsia="宋体" w:cs="宋体"/>
                <w:color w:val="auto"/>
                <w:szCs w:val="21"/>
                <w:highlight w:val="none"/>
              </w:rPr>
            </w:pPr>
          </w:p>
        </w:tc>
        <w:tc>
          <w:tcPr>
            <w:tcW w:w="1120" w:type="pct"/>
            <w:noWrap w:val="0"/>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518" w:type="pct"/>
            <w:noWrap w:val="0"/>
            <w:vAlign w:val="center"/>
          </w:tcPr>
          <w:p>
            <w:pPr>
              <w:jc w:val="center"/>
              <w:rPr>
                <w:rFonts w:hint="eastAsia" w:ascii="宋体" w:hAnsi="宋体" w:eastAsia="宋体" w:cs="宋体"/>
                <w:color w:val="auto"/>
                <w:kern w:val="0"/>
                <w:szCs w:val="21"/>
                <w:highlight w:val="none"/>
              </w:rPr>
            </w:pPr>
          </w:p>
        </w:tc>
        <w:tc>
          <w:tcPr>
            <w:tcW w:w="2233" w:type="pct"/>
            <w:noWrap w:val="0"/>
            <w:vAlign w:val="center"/>
          </w:tcPr>
          <w:p>
            <w:pPr>
              <w:rPr>
                <w:rFonts w:hint="eastAsia" w:ascii="宋体" w:hAnsi="宋体" w:eastAsia="宋体" w:cs="宋体"/>
                <w:color w:val="auto"/>
                <w:kern w:val="0"/>
                <w:szCs w:val="21"/>
                <w:highlight w:val="none"/>
              </w:rPr>
            </w:pPr>
          </w:p>
        </w:tc>
        <w:tc>
          <w:tcPr>
            <w:tcW w:w="1128" w:type="pct"/>
            <w:noWrap w:val="0"/>
            <w:vAlign w:val="center"/>
          </w:tcPr>
          <w:p>
            <w:pPr>
              <w:rPr>
                <w:rFonts w:hint="eastAsia" w:ascii="宋体" w:hAnsi="宋体" w:eastAsia="宋体" w:cs="宋体"/>
                <w:color w:val="auto"/>
                <w:szCs w:val="21"/>
                <w:highlight w:val="none"/>
              </w:rPr>
            </w:pPr>
          </w:p>
        </w:tc>
        <w:tc>
          <w:tcPr>
            <w:tcW w:w="1120" w:type="pct"/>
            <w:noWrap w:val="0"/>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518" w:type="pct"/>
            <w:noWrap w:val="0"/>
            <w:vAlign w:val="center"/>
          </w:tcPr>
          <w:p>
            <w:pPr>
              <w:jc w:val="center"/>
              <w:rPr>
                <w:rFonts w:hint="eastAsia" w:ascii="宋体" w:hAnsi="宋体" w:eastAsia="宋体" w:cs="宋体"/>
                <w:color w:val="auto"/>
                <w:kern w:val="0"/>
                <w:szCs w:val="21"/>
                <w:highlight w:val="none"/>
              </w:rPr>
            </w:pPr>
          </w:p>
        </w:tc>
        <w:tc>
          <w:tcPr>
            <w:tcW w:w="2233" w:type="pct"/>
            <w:noWrap w:val="0"/>
            <w:vAlign w:val="center"/>
          </w:tcPr>
          <w:p>
            <w:pPr>
              <w:rPr>
                <w:rFonts w:hint="eastAsia" w:ascii="宋体" w:hAnsi="宋体" w:eastAsia="宋体" w:cs="宋体"/>
                <w:color w:val="auto"/>
                <w:kern w:val="0"/>
                <w:szCs w:val="21"/>
                <w:highlight w:val="none"/>
              </w:rPr>
            </w:pPr>
          </w:p>
        </w:tc>
        <w:tc>
          <w:tcPr>
            <w:tcW w:w="1128" w:type="pct"/>
            <w:noWrap w:val="0"/>
            <w:vAlign w:val="center"/>
          </w:tcPr>
          <w:p>
            <w:pPr>
              <w:rPr>
                <w:rFonts w:hint="eastAsia" w:ascii="宋体" w:hAnsi="宋体" w:eastAsia="宋体" w:cs="宋体"/>
                <w:color w:val="auto"/>
                <w:szCs w:val="21"/>
                <w:highlight w:val="none"/>
              </w:rPr>
            </w:pPr>
          </w:p>
        </w:tc>
        <w:tc>
          <w:tcPr>
            <w:tcW w:w="1120" w:type="pct"/>
            <w:noWrap w:val="0"/>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518" w:type="pct"/>
            <w:noWrap w:val="0"/>
            <w:vAlign w:val="center"/>
          </w:tcPr>
          <w:p>
            <w:pPr>
              <w:jc w:val="center"/>
              <w:rPr>
                <w:rFonts w:hint="eastAsia" w:ascii="宋体" w:hAnsi="宋体" w:eastAsia="宋体" w:cs="宋体"/>
                <w:color w:val="auto"/>
                <w:kern w:val="0"/>
                <w:szCs w:val="21"/>
                <w:highlight w:val="none"/>
              </w:rPr>
            </w:pPr>
          </w:p>
        </w:tc>
        <w:tc>
          <w:tcPr>
            <w:tcW w:w="2233" w:type="pct"/>
            <w:noWrap w:val="0"/>
            <w:vAlign w:val="center"/>
          </w:tcPr>
          <w:p>
            <w:pPr>
              <w:rPr>
                <w:rFonts w:hint="eastAsia" w:ascii="宋体" w:hAnsi="宋体" w:eastAsia="宋体" w:cs="宋体"/>
                <w:color w:val="auto"/>
                <w:kern w:val="0"/>
                <w:szCs w:val="21"/>
                <w:highlight w:val="none"/>
              </w:rPr>
            </w:pPr>
          </w:p>
        </w:tc>
        <w:tc>
          <w:tcPr>
            <w:tcW w:w="1128" w:type="pct"/>
            <w:noWrap w:val="0"/>
            <w:vAlign w:val="center"/>
          </w:tcPr>
          <w:p>
            <w:pPr>
              <w:rPr>
                <w:rFonts w:hint="eastAsia" w:ascii="宋体" w:hAnsi="宋体" w:eastAsia="宋体" w:cs="宋体"/>
                <w:color w:val="auto"/>
                <w:szCs w:val="21"/>
                <w:highlight w:val="none"/>
              </w:rPr>
            </w:pPr>
          </w:p>
        </w:tc>
        <w:tc>
          <w:tcPr>
            <w:tcW w:w="1120" w:type="pct"/>
            <w:noWrap w:val="0"/>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518" w:type="pct"/>
            <w:noWrap w:val="0"/>
            <w:vAlign w:val="center"/>
          </w:tcPr>
          <w:p>
            <w:pPr>
              <w:jc w:val="center"/>
              <w:rPr>
                <w:rFonts w:hint="eastAsia" w:ascii="宋体" w:hAnsi="宋体" w:eastAsia="宋体" w:cs="宋体"/>
                <w:color w:val="auto"/>
                <w:kern w:val="0"/>
                <w:szCs w:val="21"/>
                <w:highlight w:val="none"/>
              </w:rPr>
            </w:pPr>
          </w:p>
        </w:tc>
        <w:tc>
          <w:tcPr>
            <w:tcW w:w="2233" w:type="pct"/>
            <w:noWrap w:val="0"/>
            <w:vAlign w:val="center"/>
          </w:tcPr>
          <w:p>
            <w:pPr>
              <w:rPr>
                <w:rFonts w:hint="eastAsia" w:ascii="宋体" w:hAnsi="宋体" w:eastAsia="宋体" w:cs="宋体"/>
                <w:color w:val="auto"/>
                <w:kern w:val="0"/>
                <w:szCs w:val="21"/>
                <w:highlight w:val="none"/>
              </w:rPr>
            </w:pPr>
          </w:p>
        </w:tc>
        <w:tc>
          <w:tcPr>
            <w:tcW w:w="1128" w:type="pct"/>
            <w:noWrap w:val="0"/>
            <w:vAlign w:val="center"/>
          </w:tcPr>
          <w:p>
            <w:pPr>
              <w:rPr>
                <w:rFonts w:hint="eastAsia" w:ascii="宋体" w:hAnsi="宋体" w:eastAsia="宋体" w:cs="宋体"/>
                <w:color w:val="auto"/>
                <w:szCs w:val="21"/>
                <w:highlight w:val="none"/>
              </w:rPr>
            </w:pPr>
          </w:p>
        </w:tc>
        <w:tc>
          <w:tcPr>
            <w:tcW w:w="1120" w:type="pct"/>
            <w:noWrap w:val="0"/>
            <w:vAlign w:val="center"/>
          </w:tcPr>
          <w:p>
            <w:pPr>
              <w:rPr>
                <w:rFonts w:hint="eastAsia" w:ascii="宋体" w:hAnsi="宋体" w:eastAsia="宋体" w:cs="宋体"/>
                <w:color w:val="auto"/>
                <w:szCs w:val="21"/>
                <w:highlight w:val="none"/>
              </w:rPr>
            </w:pPr>
          </w:p>
        </w:tc>
      </w:tr>
    </w:tbl>
    <w:p>
      <w:pPr>
        <w:spacing w:line="360" w:lineRule="auto"/>
        <w:rPr>
          <w:rFonts w:hint="eastAsia" w:ascii="宋体" w:hAnsi="宋体" w:eastAsia="宋体" w:cs="宋体"/>
          <w:b/>
          <w:color w:val="auto"/>
          <w:szCs w:val="21"/>
          <w:highlight w:val="none"/>
        </w:rPr>
      </w:pPr>
    </w:p>
    <w:p>
      <w:pPr>
        <w:pStyle w:val="35"/>
        <w:rPr>
          <w:rFonts w:hint="eastAsia" w:ascii="宋体" w:hAnsi="宋体" w:eastAsia="宋体" w:cs="宋体"/>
          <w:b/>
          <w:color w:val="auto"/>
          <w:szCs w:val="21"/>
          <w:highlight w:val="none"/>
        </w:rPr>
      </w:pPr>
    </w:p>
    <w:p>
      <w:pPr>
        <w:pStyle w:val="35"/>
        <w:rPr>
          <w:rFonts w:hint="eastAsia" w:ascii="宋体" w:hAnsi="宋体" w:eastAsia="宋体" w:cs="宋体"/>
          <w:b/>
          <w:color w:val="auto"/>
          <w:szCs w:val="21"/>
          <w:highlight w:val="none"/>
        </w:rPr>
      </w:pP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法定代表人（或分行负责人或支行负责人）或授权委托人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年    月    日</w:t>
      </w:r>
    </w:p>
    <w:p>
      <w:pPr>
        <w:snapToGrid w:val="0"/>
        <w:spacing w:line="460" w:lineRule="exact"/>
        <w:jc w:val="left"/>
        <w:rPr>
          <w:rFonts w:hint="eastAsia" w:ascii="宋体" w:hAnsi="宋体" w:eastAsia="宋体" w:cs="宋体"/>
          <w:color w:val="auto"/>
          <w:szCs w:val="21"/>
          <w:highlight w:val="none"/>
        </w:rPr>
      </w:pPr>
    </w:p>
    <w:p>
      <w:pPr>
        <w:snapToGrid w:val="0"/>
        <w:spacing w:line="460" w:lineRule="exact"/>
        <w:jc w:val="left"/>
        <w:rPr>
          <w:rFonts w:hint="eastAsia" w:ascii="宋体" w:hAnsi="宋体" w:eastAsia="宋体" w:cs="宋体"/>
          <w:color w:val="auto"/>
          <w:sz w:val="24"/>
          <w:highlight w:val="none"/>
        </w:rPr>
      </w:pPr>
    </w:p>
    <w:p>
      <w:pPr>
        <w:snapToGrid w:val="0"/>
        <w:spacing w:line="460" w:lineRule="exact"/>
        <w:jc w:val="left"/>
        <w:rPr>
          <w:rFonts w:hint="eastAsia" w:ascii="宋体" w:hAnsi="宋体" w:eastAsia="宋体" w:cs="宋体"/>
          <w:color w:val="auto"/>
          <w:sz w:val="24"/>
          <w:highlight w:val="none"/>
        </w:rPr>
      </w:pPr>
    </w:p>
    <w:p>
      <w:pPr>
        <w:snapToGrid w:val="0"/>
        <w:spacing w:line="460" w:lineRule="exact"/>
        <w:jc w:val="left"/>
        <w:rPr>
          <w:rFonts w:hint="eastAsia" w:ascii="宋体" w:hAnsi="宋体" w:eastAsia="宋体" w:cs="宋体"/>
          <w:color w:val="auto"/>
          <w:sz w:val="24"/>
          <w:highlight w:val="none"/>
        </w:rPr>
      </w:pPr>
    </w:p>
    <w:p>
      <w:pPr>
        <w:snapToGrid w:val="0"/>
        <w:spacing w:line="460" w:lineRule="exact"/>
        <w:jc w:val="left"/>
        <w:rPr>
          <w:rFonts w:hint="eastAsia" w:ascii="宋体" w:hAnsi="宋体" w:eastAsia="宋体" w:cs="宋体"/>
          <w:color w:val="auto"/>
          <w:sz w:val="24"/>
          <w:highlight w:val="none"/>
        </w:rPr>
      </w:pPr>
    </w:p>
    <w:p>
      <w:pPr>
        <w:snapToGrid w:val="0"/>
        <w:spacing w:line="460" w:lineRule="exact"/>
        <w:jc w:val="left"/>
        <w:rPr>
          <w:rFonts w:hint="eastAsia" w:ascii="宋体" w:hAnsi="宋体" w:eastAsia="宋体" w:cs="宋体"/>
          <w:color w:val="auto"/>
          <w:sz w:val="24"/>
          <w:highlight w:val="none"/>
        </w:rPr>
      </w:pPr>
    </w:p>
    <w:p>
      <w:pPr>
        <w:snapToGrid w:val="0"/>
        <w:spacing w:line="460" w:lineRule="exact"/>
        <w:jc w:val="left"/>
        <w:rPr>
          <w:rFonts w:hint="eastAsia" w:ascii="宋体" w:hAnsi="宋体" w:eastAsia="宋体" w:cs="宋体"/>
          <w:color w:val="auto"/>
          <w:sz w:val="24"/>
          <w:highlight w:val="none"/>
        </w:rPr>
      </w:pPr>
    </w:p>
    <w:p>
      <w:pPr>
        <w:snapToGrid w:val="0"/>
        <w:spacing w:line="460" w:lineRule="exact"/>
        <w:jc w:val="left"/>
        <w:rPr>
          <w:rFonts w:hint="eastAsia" w:ascii="宋体" w:hAnsi="宋体" w:eastAsia="宋体" w:cs="宋体"/>
          <w:color w:val="auto"/>
          <w:sz w:val="24"/>
          <w:highlight w:val="none"/>
        </w:rPr>
      </w:pPr>
    </w:p>
    <w:p>
      <w:pPr>
        <w:snapToGrid w:val="0"/>
        <w:spacing w:line="460" w:lineRule="exact"/>
        <w:jc w:val="left"/>
        <w:rPr>
          <w:rFonts w:hint="eastAsia" w:ascii="宋体" w:hAnsi="宋体" w:eastAsia="宋体" w:cs="宋体"/>
          <w:color w:val="auto"/>
          <w:sz w:val="24"/>
          <w:highlight w:val="none"/>
        </w:rPr>
        <w:sectPr>
          <w:footerReference r:id="rId4" w:type="default"/>
          <w:pgSz w:w="11906" w:h="16838"/>
          <w:pgMar w:top="1304" w:right="1080" w:bottom="1304" w:left="1080" w:header="851" w:footer="851" w:gutter="0"/>
          <w:pgNumType w:fmt="decimal" w:start="1"/>
          <w:cols w:space="720" w:num="1"/>
          <w:docGrid w:linePitch="312" w:charSpace="0"/>
        </w:sectPr>
      </w:pPr>
    </w:p>
    <w:p>
      <w:pPr>
        <w:pStyle w:val="56"/>
        <w:numPr>
          <w:ilvl w:val="0"/>
          <w:numId w:val="11"/>
        </w:numPr>
        <w:spacing w:line="360" w:lineRule="auto"/>
        <w:ind w:firstLine="0" w:firstLineChars="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项目负责人及服务小组人员情况表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pStyle w:val="56"/>
        <w:spacing w:line="360" w:lineRule="auto"/>
        <w:ind w:firstLine="0" w:firstLineChars="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9"/>
        <w:gridCol w:w="1860"/>
        <w:gridCol w:w="1860"/>
        <w:gridCol w:w="1860"/>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pct"/>
            <w:noWrap w:val="0"/>
            <w:vAlign w:val="center"/>
          </w:tcPr>
          <w:p>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姓名</w:t>
            </w:r>
          </w:p>
        </w:tc>
        <w:tc>
          <w:tcPr>
            <w:tcW w:w="1001" w:type="pct"/>
            <w:noWrap w:val="0"/>
            <w:vAlign w:val="center"/>
          </w:tcPr>
          <w:p>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职务</w:t>
            </w:r>
          </w:p>
        </w:tc>
        <w:tc>
          <w:tcPr>
            <w:tcW w:w="1001" w:type="pct"/>
            <w:noWrap w:val="0"/>
            <w:vAlign w:val="center"/>
          </w:tcPr>
          <w:p>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专业技术资格</w:t>
            </w:r>
          </w:p>
        </w:tc>
        <w:tc>
          <w:tcPr>
            <w:tcW w:w="1001" w:type="pct"/>
            <w:noWrap w:val="0"/>
            <w:vAlign w:val="center"/>
          </w:tcPr>
          <w:p>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证书编号</w:t>
            </w:r>
          </w:p>
        </w:tc>
        <w:tc>
          <w:tcPr>
            <w:tcW w:w="993" w:type="pct"/>
            <w:noWrap w:val="0"/>
            <w:vAlign w:val="center"/>
          </w:tcPr>
          <w:p>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参加本单位工作时间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993" w:type="pct"/>
            <w:noWrap w:val="0"/>
            <w:vAlign w:val="top"/>
          </w:tcPr>
          <w:p>
            <w:pPr>
              <w:snapToGrid w:val="0"/>
              <w:spacing w:line="460" w:lineRule="exact"/>
              <w:jc w:val="lef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993" w:type="pct"/>
            <w:noWrap w:val="0"/>
            <w:vAlign w:val="top"/>
          </w:tcPr>
          <w:p>
            <w:pPr>
              <w:snapToGrid w:val="0"/>
              <w:spacing w:line="460" w:lineRule="exact"/>
              <w:jc w:val="lef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993" w:type="pct"/>
            <w:noWrap w:val="0"/>
            <w:vAlign w:val="top"/>
          </w:tcPr>
          <w:p>
            <w:pPr>
              <w:snapToGrid w:val="0"/>
              <w:spacing w:line="460" w:lineRule="exact"/>
              <w:jc w:val="lef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993" w:type="pct"/>
            <w:noWrap w:val="0"/>
            <w:vAlign w:val="top"/>
          </w:tcPr>
          <w:p>
            <w:pPr>
              <w:snapToGrid w:val="0"/>
              <w:spacing w:line="460" w:lineRule="exact"/>
              <w:jc w:val="lef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993" w:type="pct"/>
            <w:noWrap w:val="0"/>
            <w:vAlign w:val="top"/>
          </w:tcPr>
          <w:p>
            <w:pPr>
              <w:snapToGrid w:val="0"/>
              <w:spacing w:line="460" w:lineRule="exact"/>
              <w:jc w:val="lef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993" w:type="pct"/>
            <w:noWrap w:val="0"/>
            <w:vAlign w:val="top"/>
          </w:tcPr>
          <w:p>
            <w:pPr>
              <w:snapToGrid w:val="0"/>
              <w:spacing w:line="460" w:lineRule="exact"/>
              <w:jc w:val="left"/>
              <w:rPr>
                <w:rFonts w:hint="eastAsia" w:ascii="宋体" w:hAnsi="宋体" w:eastAsia="宋体" w:cs="宋体"/>
                <w:b/>
                <w:color w:val="auto"/>
                <w:szCs w:val="21"/>
                <w:highlight w:val="none"/>
              </w:rPr>
            </w:pPr>
          </w:p>
        </w:tc>
      </w:tr>
    </w:tbl>
    <w:p>
      <w:pPr>
        <w:spacing w:before="120" w:beforeLines="50" w:line="360" w:lineRule="auto"/>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注：本表格如不适合投标单位的实际情况， 可根据本表格式自行划表填写。</w:t>
      </w:r>
    </w:p>
    <w:p>
      <w:pPr>
        <w:spacing w:line="360" w:lineRule="auto"/>
        <w:rPr>
          <w:rFonts w:hint="eastAsia" w:ascii="宋体" w:hAnsi="宋体" w:eastAsia="宋体" w:cs="宋体"/>
          <w:color w:val="auto"/>
          <w:szCs w:val="21"/>
          <w:highlight w:val="none"/>
        </w:rPr>
      </w:pPr>
    </w:p>
    <w:p>
      <w:pPr>
        <w:pStyle w:val="56"/>
        <w:rPr>
          <w:rFonts w:hint="eastAsia" w:ascii="宋体" w:hAnsi="宋体" w:eastAsia="宋体" w:cs="宋体"/>
          <w:color w:val="auto"/>
          <w:szCs w:val="21"/>
          <w:highlight w:val="none"/>
        </w:rPr>
      </w:pPr>
    </w:p>
    <w:p>
      <w:pPr>
        <w:pStyle w:val="56"/>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法定代表人（或分行负责人或支行负责人）或授权委托人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Cs w:val="21"/>
          <w:highlight w:val="none"/>
        </w:rPr>
        <w:t>日  期：    年    月    日</w:t>
      </w:r>
    </w:p>
    <w:p>
      <w:pPr>
        <w:snapToGrid w:val="0"/>
        <w:spacing w:line="360" w:lineRule="auto"/>
        <w:rPr>
          <w:rFonts w:hint="eastAsia" w:ascii="宋体" w:hAnsi="宋体" w:eastAsia="宋体" w:cs="宋体"/>
          <w:color w:val="auto"/>
          <w:szCs w:val="21"/>
          <w:highlight w:val="none"/>
        </w:rPr>
      </w:pPr>
    </w:p>
    <w:p>
      <w:pPr>
        <w:snapToGrid w:val="0"/>
        <w:spacing w:line="360" w:lineRule="auto"/>
        <w:ind w:firstLine="3402" w:firstLineChars="1620"/>
        <w:rPr>
          <w:rFonts w:hint="eastAsia" w:ascii="宋体" w:hAnsi="宋体" w:eastAsia="宋体" w:cs="宋体"/>
          <w:color w:val="auto"/>
          <w:szCs w:val="21"/>
          <w:highlight w:val="none"/>
        </w:rPr>
      </w:pPr>
    </w:p>
    <w:sectPr>
      <w:footerReference r:id="rId5" w:type="default"/>
      <w:pgSz w:w="11906" w:h="16838"/>
      <w:pgMar w:top="1361" w:right="1417" w:bottom="1361" w:left="1417" w:header="851"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insoku w:val="0"/>
      <w:overflowPunct w:val="0"/>
      <w:spacing w:line="14" w:lineRule="auto"/>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CF731"/>
    <w:multiLevelType w:val="singleLevel"/>
    <w:tmpl w:val="927CF731"/>
    <w:lvl w:ilvl="0" w:tentative="0">
      <w:start w:val="8"/>
      <w:numFmt w:val="chineseCounting"/>
      <w:suff w:val="nothing"/>
      <w:lvlText w:val="%1、"/>
      <w:lvlJc w:val="left"/>
      <w:rPr>
        <w:rFonts w:hint="eastAsia"/>
      </w:rPr>
    </w:lvl>
  </w:abstractNum>
  <w:abstractNum w:abstractNumId="1">
    <w:nsid w:val="A5E09AC5"/>
    <w:multiLevelType w:val="singleLevel"/>
    <w:tmpl w:val="A5E09AC5"/>
    <w:lvl w:ilvl="0" w:tentative="0">
      <w:start w:val="8"/>
      <w:numFmt w:val="decimal"/>
      <w:lvlText w:val="%1."/>
      <w:lvlJc w:val="left"/>
      <w:pPr>
        <w:tabs>
          <w:tab w:val="left" w:pos="312"/>
        </w:tabs>
      </w:pPr>
    </w:lvl>
  </w:abstractNum>
  <w:abstractNum w:abstractNumId="2">
    <w:nsid w:val="AE4AD5F2"/>
    <w:multiLevelType w:val="singleLevel"/>
    <w:tmpl w:val="AE4AD5F2"/>
    <w:lvl w:ilvl="0" w:tentative="0">
      <w:start w:val="2"/>
      <w:numFmt w:val="decimal"/>
      <w:suff w:val="space"/>
      <w:lvlText w:val="%1."/>
      <w:lvlJc w:val="left"/>
    </w:lvl>
  </w:abstractNum>
  <w:abstractNum w:abstractNumId="3">
    <w:nsid w:val="BDFA5204"/>
    <w:multiLevelType w:val="singleLevel"/>
    <w:tmpl w:val="BDFA5204"/>
    <w:lvl w:ilvl="0" w:tentative="0">
      <w:start w:val="1"/>
      <w:numFmt w:val="decimal"/>
      <w:suff w:val="nothing"/>
      <w:lvlText w:val="%1．"/>
      <w:lvlJc w:val="left"/>
      <w:pPr>
        <w:ind w:left="0" w:firstLine="400"/>
      </w:pPr>
      <w:rPr>
        <w:rFonts w:hint="default"/>
      </w:rPr>
    </w:lvl>
  </w:abstractNum>
  <w:abstractNum w:abstractNumId="4">
    <w:nsid w:val="00000004"/>
    <w:multiLevelType w:val="multilevel"/>
    <w:tmpl w:val="00000004"/>
    <w:lvl w:ilvl="0" w:tentative="0">
      <w:start w:val="1"/>
      <w:numFmt w:val="decimal"/>
      <w:lvlText w:val="%1、"/>
      <w:lvlJc w:val="left"/>
      <w:pPr>
        <w:tabs>
          <w:tab w:val="left" w:pos="360"/>
        </w:tabs>
        <w:ind w:left="360" w:hanging="360"/>
      </w:pPr>
      <w:rPr>
        <w:rFonts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5"/>
    <w:multiLevelType w:val="multilevel"/>
    <w:tmpl w:val="00000005"/>
    <w:lvl w:ilvl="0" w:tentative="0">
      <w:start w:val="1"/>
      <w:numFmt w:val="decimal"/>
      <w:pStyle w:val="7"/>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6">
    <w:nsid w:val="10F3307C"/>
    <w:multiLevelType w:val="singleLevel"/>
    <w:tmpl w:val="10F3307C"/>
    <w:lvl w:ilvl="0" w:tentative="0">
      <w:start w:val="1"/>
      <w:numFmt w:val="decimal"/>
      <w:suff w:val="nothing"/>
      <w:lvlText w:val="%1．"/>
      <w:lvlJc w:val="left"/>
      <w:pPr>
        <w:ind w:left="0" w:firstLine="400"/>
      </w:pPr>
      <w:rPr>
        <w:rFonts w:hint="default"/>
      </w:rPr>
    </w:lvl>
  </w:abstractNum>
  <w:abstractNum w:abstractNumId="7">
    <w:nsid w:val="21B4DBEF"/>
    <w:multiLevelType w:val="singleLevel"/>
    <w:tmpl w:val="21B4DBEF"/>
    <w:lvl w:ilvl="0" w:tentative="0">
      <w:start w:val="1"/>
      <w:numFmt w:val="decimal"/>
      <w:suff w:val="nothing"/>
      <w:lvlText w:val="%1．"/>
      <w:lvlJc w:val="left"/>
      <w:pPr>
        <w:ind w:left="0" w:firstLine="400"/>
      </w:pPr>
      <w:rPr>
        <w:rFonts w:hint="default"/>
      </w:rPr>
    </w:lvl>
  </w:abstractNum>
  <w:abstractNum w:abstractNumId="8">
    <w:nsid w:val="28AADDF7"/>
    <w:multiLevelType w:val="singleLevel"/>
    <w:tmpl w:val="28AADDF7"/>
    <w:lvl w:ilvl="0" w:tentative="0">
      <w:start w:val="1"/>
      <w:numFmt w:val="decimal"/>
      <w:suff w:val="nothing"/>
      <w:lvlText w:val="%1．"/>
      <w:lvlJc w:val="left"/>
      <w:pPr>
        <w:ind w:left="0" w:firstLine="400"/>
      </w:pPr>
      <w:rPr>
        <w:rFonts w:hint="default"/>
      </w:rPr>
    </w:lvl>
  </w:abstractNum>
  <w:abstractNum w:abstractNumId="9">
    <w:nsid w:val="51C1AD0E"/>
    <w:multiLevelType w:val="singleLevel"/>
    <w:tmpl w:val="51C1AD0E"/>
    <w:lvl w:ilvl="0" w:tentative="0">
      <w:start w:val="1"/>
      <w:numFmt w:val="decimal"/>
      <w:suff w:val="nothing"/>
      <w:lvlText w:val="%1．"/>
      <w:lvlJc w:val="left"/>
      <w:pPr>
        <w:ind w:left="0" w:firstLine="400"/>
      </w:pPr>
      <w:rPr>
        <w:rFonts w:hint="default"/>
      </w:rPr>
    </w:lvl>
  </w:abstractNum>
  <w:abstractNum w:abstractNumId="10">
    <w:nsid w:val="6A9DFC3C"/>
    <w:multiLevelType w:val="singleLevel"/>
    <w:tmpl w:val="6A9DFC3C"/>
    <w:lvl w:ilvl="0" w:tentative="0">
      <w:start w:val="1"/>
      <w:numFmt w:val="decimal"/>
      <w:suff w:val="nothing"/>
      <w:lvlText w:val="%1．"/>
      <w:lvlJc w:val="left"/>
      <w:pPr>
        <w:ind w:left="0" w:firstLine="400"/>
      </w:pPr>
      <w:rPr>
        <w:rFonts w:hint="default"/>
      </w:rPr>
    </w:lvl>
  </w:abstractNum>
  <w:num w:numId="1">
    <w:abstractNumId w:val="5"/>
  </w:num>
  <w:num w:numId="2">
    <w:abstractNumId w:val="7"/>
  </w:num>
  <w:num w:numId="3">
    <w:abstractNumId w:val="10"/>
  </w:num>
  <w:num w:numId="4">
    <w:abstractNumId w:val="9"/>
  </w:num>
  <w:num w:numId="5">
    <w:abstractNumId w:val="2"/>
  </w:num>
  <w:num w:numId="6">
    <w:abstractNumId w:val="3"/>
  </w:num>
  <w:num w:numId="7">
    <w:abstractNumId w:val="6"/>
  </w:num>
  <w:num w:numId="8">
    <w:abstractNumId w:val="8"/>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hZGI5YzNjYWVmMjQzY2JlNjAwMWQ0NzUzYTFiMzYifQ=="/>
  </w:docVars>
  <w:rsids>
    <w:rsidRoot w:val="0052745B"/>
    <w:rsid w:val="0000019C"/>
    <w:rsid w:val="00000271"/>
    <w:rsid w:val="00000765"/>
    <w:rsid w:val="000025D2"/>
    <w:rsid w:val="0000352C"/>
    <w:rsid w:val="0000428F"/>
    <w:rsid w:val="000044AC"/>
    <w:rsid w:val="0000470D"/>
    <w:rsid w:val="00004AC6"/>
    <w:rsid w:val="000050C8"/>
    <w:rsid w:val="00005943"/>
    <w:rsid w:val="00005D68"/>
    <w:rsid w:val="00006210"/>
    <w:rsid w:val="000068EC"/>
    <w:rsid w:val="00006A26"/>
    <w:rsid w:val="0000705E"/>
    <w:rsid w:val="00007563"/>
    <w:rsid w:val="000101DB"/>
    <w:rsid w:val="000106F9"/>
    <w:rsid w:val="000108A3"/>
    <w:rsid w:val="00010E44"/>
    <w:rsid w:val="00010F94"/>
    <w:rsid w:val="00011211"/>
    <w:rsid w:val="00011694"/>
    <w:rsid w:val="00011AF7"/>
    <w:rsid w:val="000126C5"/>
    <w:rsid w:val="00012BC8"/>
    <w:rsid w:val="00012D70"/>
    <w:rsid w:val="000135B9"/>
    <w:rsid w:val="0001378A"/>
    <w:rsid w:val="000138A2"/>
    <w:rsid w:val="00014072"/>
    <w:rsid w:val="00014A12"/>
    <w:rsid w:val="00014DD4"/>
    <w:rsid w:val="000159B5"/>
    <w:rsid w:val="00015DD6"/>
    <w:rsid w:val="00015EC3"/>
    <w:rsid w:val="00015FA8"/>
    <w:rsid w:val="00016B24"/>
    <w:rsid w:val="00017781"/>
    <w:rsid w:val="00017D68"/>
    <w:rsid w:val="00017E50"/>
    <w:rsid w:val="0002096F"/>
    <w:rsid w:val="00021044"/>
    <w:rsid w:val="00021AFB"/>
    <w:rsid w:val="00021BCB"/>
    <w:rsid w:val="000223E0"/>
    <w:rsid w:val="00022435"/>
    <w:rsid w:val="0002256B"/>
    <w:rsid w:val="00022A7B"/>
    <w:rsid w:val="00022DF6"/>
    <w:rsid w:val="0002364F"/>
    <w:rsid w:val="000237C6"/>
    <w:rsid w:val="00024336"/>
    <w:rsid w:val="000246AE"/>
    <w:rsid w:val="000248D0"/>
    <w:rsid w:val="00025019"/>
    <w:rsid w:val="0002560B"/>
    <w:rsid w:val="00026337"/>
    <w:rsid w:val="00027554"/>
    <w:rsid w:val="000278B2"/>
    <w:rsid w:val="0003000C"/>
    <w:rsid w:val="00030873"/>
    <w:rsid w:val="00030F89"/>
    <w:rsid w:val="00031410"/>
    <w:rsid w:val="000325FC"/>
    <w:rsid w:val="000327C8"/>
    <w:rsid w:val="00032B0D"/>
    <w:rsid w:val="000330FB"/>
    <w:rsid w:val="0003322C"/>
    <w:rsid w:val="00033A2D"/>
    <w:rsid w:val="00033EB7"/>
    <w:rsid w:val="00033F0B"/>
    <w:rsid w:val="00034E97"/>
    <w:rsid w:val="000350EE"/>
    <w:rsid w:val="00035F1A"/>
    <w:rsid w:val="000364AA"/>
    <w:rsid w:val="00036E05"/>
    <w:rsid w:val="00037A53"/>
    <w:rsid w:val="00037DDE"/>
    <w:rsid w:val="000409AD"/>
    <w:rsid w:val="00040C74"/>
    <w:rsid w:val="00041986"/>
    <w:rsid w:val="00041D21"/>
    <w:rsid w:val="0004287B"/>
    <w:rsid w:val="000429B4"/>
    <w:rsid w:val="00042DCA"/>
    <w:rsid w:val="00042ECB"/>
    <w:rsid w:val="000436D2"/>
    <w:rsid w:val="00043ADD"/>
    <w:rsid w:val="0004420B"/>
    <w:rsid w:val="000443D7"/>
    <w:rsid w:val="00044EEF"/>
    <w:rsid w:val="000451B3"/>
    <w:rsid w:val="0004590A"/>
    <w:rsid w:val="00045E14"/>
    <w:rsid w:val="00046014"/>
    <w:rsid w:val="00046744"/>
    <w:rsid w:val="00046D89"/>
    <w:rsid w:val="00046E55"/>
    <w:rsid w:val="00046EC7"/>
    <w:rsid w:val="000473C5"/>
    <w:rsid w:val="0004753B"/>
    <w:rsid w:val="00047773"/>
    <w:rsid w:val="00050915"/>
    <w:rsid w:val="00051300"/>
    <w:rsid w:val="000519AF"/>
    <w:rsid w:val="00052359"/>
    <w:rsid w:val="0005276C"/>
    <w:rsid w:val="00053096"/>
    <w:rsid w:val="000531BA"/>
    <w:rsid w:val="000533D2"/>
    <w:rsid w:val="00053934"/>
    <w:rsid w:val="00053A4E"/>
    <w:rsid w:val="00053AFD"/>
    <w:rsid w:val="00053C94"/>
    <w:rsid w:val="000542AB"/>
    <w:rsid w:val="00054422"/>
    <w:rsid w:val="00055C79"/>
    <w:rsid w:val="00055CB0"/>
    <w:rsid w:val="00056302"/>
    <w:rsid w:val="000566AE"/>
    <w:rsid w:val="00056726"/>
    <w:rsid w:val="00057AA7"/>
    <w:rsid w:val="000600EF"/>
    <w:rsid w:val="00060F55"/>
    <w:rsid w:val="0006192B"/>
    <w:rsid w:val="00061A0F"/>
    <w:rsid w:val="00061F25"/>
    <w:rsid w:val="00062714"/>
    <w:rsid w:val="0006282A"/>
    <w:rsid w:val="00064212"/>
    <w:rsid w:val="000649B5"/>
    <w:rsid w:val="00064C22"/>
    <w:rsid w:val="00064D25"/>
    <w:rsid w:val="0006545B"/>
    <w:rsid w:val="00065968"/>
    <w:rsid w:val="000661E9"/>
    <w:rsid w:val="00066526"/>
    <w:rsid w:val="000666B6"/>
    <w:rsid w:val="00066C9C"/>
    <w:rsid w:val="00067417"/>
    <w:rsid w:val="0006768A"/>
    <w:rsid w:val="000676C9"/>
    <w:rsid w:val="00067AA2"/>
    <w:rsid w:val="00070AA0"/>
    <w:rsid w:val="00072176"/>
    <w:rsid w:val="000727DE"/>
    <w:rsid w:val="0007284B"/>
    <w:rsid w:val="00072884"/>
    <w:rsid w:val="00072F7C"/>
    <w:rsid w:val="000730A6"/>
    <w:rsid w:val="000731D2"/>
    <w:rsid w:val="00073244"/>
    <w:rsid w:val="00075B1C"/>
    <w:rsid w:val="0007612F"/>
    <w:rsid w:val="00076D91"/>
    <w:rsid w:val="00076E50"/>
    <w:rsid w:val="000772BA"/>
    <w:rsid w:val="0007753B"/>
    <w:rsid w:val="000775BA"/>
    <w:rsid w:val="00077D7B"/>
    <w:rsid w:val="00077F2E"/>
    <w:rsid w:val="0008001A"/>
    <w:rsid w:val="00080A69"/>
    <w:rsid w:val="000823D5"/>
    <w:rsid w:val="000826A6"/>
    <w:rsid w:val="0008283A"/>
    <w:rsid w:val="00082B3B"/>
    <w:rsid w:val="0008322D"/>
    <w:rsid w:val="000835EA"/>
    <w:rsid w:val="00083963"/>
    <w:rsid w:val="00083C02"/>
    <w:rsid w:val="00083C43"/>
    <w:rsid w:val="00085591"/>
    <w:rsid w:val="00085851"/>
    <w:rsid w:val="00085CEE"/>
    <w:rsid w:val="00085DAE"/>
    <w:rsid w:val="00086271"/>
    <w:rsid w:val="000863BC"/>
    <w:rsid w:val="00086536"/>
    <w:rsid w:val="00086E21"/>
    <w:rsid w:val="00086F2D"/>
    <w:rsid w:val="000876AB"/>
    <w:rsid w:val="000876F6"/>
    <w:rsid w:val="000878C3"/>
    <w:rsid w:val="00087AF2"/>
    <w:rsid w:val="00087DFA"/>
    <w:rsid w:val="000905E4"/>
    <w:rsid w:val="00090A8C"/>
    <w:rsid w:val="00090E46"/>
    <w:rsid w:val="00091A29"/>
    <w:rsid w:val="00091EAF"/>
    <w:rsid w:val="00092F5D"/>
    <w:rsid w:val="000951A5"/>
    <w:rsid w:val="00095318"/>
    <w:rsid w:val="00095322"/>
    <w:rsid w:val="00095449"/>
    <w:rsid w:val="00095913"/>
    <w:rsid w:val="000962F8"/>
    <w:rsid w:val="00097107"/>
    <w:rsid w:val="00097196"/>
    <w:rsid w:val="000977EE"/>
    <w:rsid w:val="00097CB4"/>
    <w:rsid w:val="00097DBF"/>
    <w:rsid w:val="000A0699"/>
    <w:rsid w:val="000A15E0"/>
    <w:rsid w:val="000A19D7"/>
    <w:rsid w:val="000A32CB"/>
    <w:rsid w:val="000A3800"/>
    <w:rsid w:val="000A381E"/>
    <w:rsid w:val="000A38DD"/>
    <w:rsid w:val="000A3A17"/>
    <w:rsid w:val="000A41FC"/>
    <w:rsid w:val="000A43FA"/>
    <w:rsid w:val="000A466D"/>
    <w:rsid w:val="000A4B8F"/>
    <w:rsid w:val="000A50D4"/>
    <w:rsid w:val="000A528C"/>
    <w:rsid w:val="000A5DDC"/>
    <w:rsid w:val="000A5DE1"/>
    <w:rsid w:val="000A5F34"/>
    <w:rsid w:val="000A62A2"/>
    <w:rsid w:val="000A6632"/>
    <w:rsid w:val="000A6BE3"/>
    <w:rsid w:val="000A6D9D"/>
    <w:rsid w:val="000A793E"/>
    <w:rsid w:val="000B00F7"/>
    <w:rsid w:val="000B0414"/>
    <w:rsid w:val="000B07FE"/>
    <w:rsid w:val="000B096F"/>
    <w:rsid w:val="000B0CF6"/>
    <w:rsid w:val="000B10A0"/>
    <w:rsid w:val="000B149C"/>
    <w:rsid w:val="000B170B"/>
    <w:rsid w:val="000B1898"/>
    <w:rsid w:val="000B18C8"/>
    <w:rsid w:val="000B22FA"/>
    <w:rsid w:val="000B232A"/>
    <w:rsid w:val="000B23A5"/>
    <w:rsid w:val="000B240F"/>
    <w:rsid w:val="000B2A3F"/>
    <w:rsid w:val="000B2A4E"/>
    <w:rsid w:val="000B2BB9"/>
    <w:rsid w:val="000B310E"/>
    <w:rsid w:val="000B347C"/>
    <w:rsid w:val="000B41A5"/>
    <w:rsid w:val="000B41DB"/>
    <w:rsid w:val="000B429B"/>
    <w:rsid w:val="000B450C"/>
    <w:rsid w:val="000B4CCA"/>
    <w:rsid w:val="000B50BD"/>
    <w:rsid w:val="000B573C"/>
    <w:rsid w:val="000B6169"/>
    <w:rsid w:val="000B655B"/>
    <w:rsid w:val="000B6578"/>
    <w:rsid w:val="000B6B66"/>
    <w:rsid w:val="000B71C7"/>
    <w:rsid w:val="000B71CE"/>
    <w:rsid w:val="000B76E1"/>
    <w:rsid w:val="000C0149"/>
    <w:rsid w:val="000C0B4C"/>
    <w:rsid w:val="000C13C0"/>
    <w:rsid w:val="000C1868"/>
    <w:rsid w:val="000C188C"/>
    <w:rsid w:val="000C1BC3"/>
    <w:rsid w:val="000C1C41"/>
    <w:rsid w:val="000C1C67"/>
    <w:rsid w:val="000C202F"/>
    <w:rsid w:val="000C214C"/>
    <w:rsid w:val="000C48C5"/>
    <w:rsid w:val="000C4AE1"/>
    <w:rsid w:val="000C576B"/>
    <w:rsid w:val="000C5C3B"/>
    <w:rsid w:val="000C66B6"/>
    <w:rsid w:val="000C7068"/>
    <w:rsid w:val="000C71E0"/>
    <w:rsid w:val="000C79C4"/>
    <w:rsid w:val="000C7AE0"/>
    <w:rsid w:val="000C7E3B"/>
    <w:rsid w:val="000D0944"/>
    <w:rsid w:val="000D0990"/>
    <w:rsid w:val="000D0AB7"/>
    <w:rsid w:val="000D0E3E"/>
    <w:rsid w:val="000D0EFA"/>
    <w:rsid w:val="000D1531"/>
    <w:rsid w:val="000D1562"/>
    <w:rsid w:val="000D19C3"/>
    <w:rsid w:val="000D1B1F"/>
    <w:rsid w:val="000D1C5A"/>
    <w:rsid w:val="000D2816"/>
    <w:rsid w:val="000D2BBF"/>
    <w:rsid w:val="000D2D55"/>
    <w:rsid w:val="000D3518"/>
    <w:rsid w:val="000D3547"/>
    <w:rsid w:val="000D38F7"/>
    <w:rsid w:val="000D3D3D"/>
    <w:rsid w:val="000D3DBC"/>
    <w:rsid w:val="000D4BD5"/>
    <w:rsid w:val="000D50A6"/>
    <w:rsid w:val="000D529F"/>
    <w:rsid w:val="000D53C9"/>
    <w:rsid w:val="000D584F"/>
    <w:rsid w:val="000D5F81"/>
    <w:rsid w:val="000D626F"/>
    <w:rsid w:val="000D6542"/>
    <w:rsid w:val="000D674B"/>
    <w:rsid w:val="000D67FC"/>
    <w:rsid w:val="000D6A1B"/>
    <w:rsid w:val="000D76B9"/>
    <w:rsid w:val="000D7BBC"/>
    <w:rsid w:val="000D7D37"/>
    <w:rsid w:val="000E08E2"/>
    <w:rsid w:val="000E08ED"/>
    <w:rsid w:val="000E0982"/>
    <w:rsid w:val="000E0C10"/>
    <w:rsid w:val="000E0D2D"/>
    <w:rsid w:val="000E1243"/>
    <w:rsid w:val="000E1290"/>
    <w:rsid w:val="000E133C"/>
    <w:rsid w:val="000E21E6"/>
    <w:rsid w:val="000E313B"/>
    <w:rsid w:val="000E382F"/>
    <w:rsid w:val="000E3C48"/>
    <w:rsid w:val="000E3E5E"/>
    <w:rsid w:val="000E41CD"/>
    <w:rsid w:val="000E4227"/>
    <w:rsid w:val="000E451C"/>
    <w:rsid w:val="000E479B"/>
    <w:rsid w:val="000E4926"/>
    <w:rsid w:val="000E4DFF"/>
    <w:rsid w:val="000E50D7"/>
    <w:rsid w:val="000E50EE"/>
    <w:rsid w:val="000E586B"/>
    <w:rsid w:val="000E5CAB"/>
    <w:rsid w:val="000E63EF"/>
    <w:rsid w:val="000E6FFF"/>
    <w:rsid w:val="000E7190"/>
    <w:rsid w:val="000E7A5A"/>
    <w:rsid w:val="000E7E34"/>
    <w:rsid w:val="000E7FE1"/>
    <w:rsid w:val="000F0260"/>
    <w:rsid w:val="000F07D2"/>
    <w:rsid w:val="000F07F8"/>
    <w:rsid w:val="000F0958"/>
    <w:rsid w:val="000F0A62"/>
    <w:rsid w:val="000F1E5D"/>
    <w:rsid w:val="000F2FAA"/>
    <w:rsid w:val="000F324B"/>
    <w:rsid w:val="000F33B9"/>
    <w:rsid w:val="000F3E53"/>
    <w:rsid w:val="000F4409"/>
    <w:rsid w:val="000F46CE"/>
    <w:rsid w:val="000F4D4F"/>
    <w:rsid w:val="000F4E15"/>
    <w:rsid w:val="000F5001"/>
    <w:rsid w:val="000F5F93"/>
    <w:rsid w:val="000F601E"/>
    <w:rsid w:val="000F6139"/>
    <w:rsid w:val="000F6760"/>
    <w:rsid w:val="000F73E2"/>
    <w:rsid w:val="000F750F"/>
    <w:rsid w:val="000F7BE7"/>
    <w:rsid w:val="000F7C3E"/>
    <w:rsid w:val="000F7D67"/>
    <w:rsid w:val="000F7EEA"/>
    <w:rsid w:val="0010027A"/>
    <w:rsid w:val="00100474"/>
    <w:rsid w:val="0010094F"/>
    <w:rsid w:val="00100AB5"/>
    <w:rsid w:val="00100F1E"/>
    <w:rsid w:val="0010115F"/>
    <w:rsid w:val="001012E1"/>
    <w:rsid w:val="0010159D"/>
    <w:rsid w:val="0010180C"/>
    <w:rsid w:val="00101C22"/>
    <w:rsid w:val="00101CC3"/>
    <w:rsid w:val="00101CFD"/>
    <w:rsid w:val="00102529"/>
    <w:rsid w:val="00102EBE"/>
    <w:rsid w:val="00102F63"/>
    <w:rsid w:val="00103340"/>
    <w:rsid w:val="001057F7"/>
    <w:rsid w:val="00105D67"/>
    <w:rsid w:val="0010617E"/>
    <w:rsid w:val="00106718"/>
    <w:rsid w:val="00106992"/>
    <w:rsid w:val="00107913"/>
    <w:rsid w:val="00107BD7"/>
    <w:rsid w:val="00107C40"/>
    <w:rsid w:val="001108CF"/>
    <w:rsid w:val="00111691"/>
    <w:rsid w:val="001121D8"/>
    <w:rsid w:val="0011443A"/>
    <w:rsid w:val="00114EF9"/>
    <w:rsid w:val="00116172"/>
    <w:rsid w:val="0011680C"/>
    <w:rsid w:val="001170BF"/>
    <w:rsid w:val="0011751B"/>
    <w:rsid w:val="001175DE"/>
    <w:rsid w:val="00117BF2"/>
    <w:rsid w:val="00117CF7"/>
    <w:rsid w:val="00117E4E"/>
    <w:rsid w:val="0012009F"/>
    <w:rsid w:val="00120679"/>
    <w:rsid w:val="0012130F"/>
    <w:rsid w:val="00121AEC"/>
    <w:rsid w:val="0012292D"/>
    <w:rsid w:val="001229FD"/>
    <w:rsid w:val="0012301B"/>
    <w:rsid w:val="00123284"/>
    <w:rsid w:val="001240B1"/>
    <w:rsid w:val="0012436B"/>
    <w:rsid w:val="0012466B"/>
    <w:rsid w:val="0012481B"/>
    <w:rsid w:val="001248B4"/>
    <w:rsid w:val="00125233"/>
    <w:rsid w:val="00125BCD"/>
    <w:rsid w:val="00125D39"/>
    <w:rsid w:val="0012646B"/>
    <w:rsid w:val="00127289"/>
    <w:rsid w:val="001272D1"/>
    <w:rsid w:val="00127597"/>
    <w:rsid w:val="001277DF"/>
    <w:rsid w:val="00127AFC"/>
    <w:rsid w:val="00130138"/>
    <w:rsid w:val="0013068F"/>
    <w:rsid w:val="00130DF1"/>
    <w:rsid w:val="00131638"/>
    <w:rsid w:val="00131921"/>
    <w:rsid w:val="00131B5F"/>
    <w:rsid w:val="00131E80"/>
    <w:rsid w:val="00132017"/>
    <w:rsid w:val="00132510"/>
    <w:rsid w:val="001328E0"/>
    <w:rsid w:val="00132AC5"/>
    <w:rsid w:val="00132E76"/>
    <w:rsid w:val="001331FE"/>
    <w:rsid w:val="001342B5"/>
    <w:rsid w:val="00134335"/>
    <w:rsid w:val="0013463B"/>
    <w:rsid w:val="001354F2"/>
    <w:rsid w:val="001363EF"/>
    <w:rsid w:val="00136B3A"/>
    <w:rsid w:val="00136B71"/>
    <w:rsid w:val="00136F64"/>
    <w:rsid w:val="001407F6"/>
    <w:rsid w:val="0014091E"/>
    <w:rsid w:val="00140BC6"/>
    <w:rsid w:val="00141259"/>
    <w:rsid w:val="0014244D"/>
    <w:rsid w:val="001426AF"/>
    <w:rsid w:val="001426CF"/>
    <w:rsid w:val="001431F1"/>
    <w:rsid w:val="00144090"/>
    <w:rsid w:val="00144AA9"/>
    <w:rsid w:val="0014553B"/>
    <w:rsid w:val="0014556D"/>
    <w:rsid w:val="0014578B"/>
    <w:rsid w:val="00146579"/>
    <w:rsid w:val="00146B07"/>
    <w:rsid w:val="00147B60"/>
    <w:rsid w:val="00147E21"/>
    <w:rsid w:val="00150882"/>
    <w:rsid w:val="00150B01"/>
    <w:rsid w:val="00150E8A"/>
    <w:rsid w:val="0015160E"/>
    <w:rsid w:val="00151B7A"/>
    <w:rsid w:val="001520AE"/>
    <w:rsid w:val="00152D10"/>
    <w:rsid w:val="00152F9D"/>
    <w:rsid w:val="00153288"/>
    <w:rsid w:val="00154695"/>
    <w:rsid w:val="001549D7"/>
    <w:rsid w:val="00154AF1"/>
    <w:rsid w:val="00156079"/>
    <w:rsid w:val="00156441"/>
    <w:rsid w:val="0015693E"/>
    <w:rsid w:val="001572C1"/>
    <w:rsid w:val="0016041D"/>
    <w:rsid w:val="00160644"/>
    <w:rsid w:val="00160918"/>
    <w:rsid w:val="001611BC"/>
    <w:rsid w:val="0016120D"/>
    <w:rsid w:val="0016126E"/>
    <w:rsid w:val="00161589"/>
    <w:rsid w:val="00161841"/>
    <w:rsid w:val="0016202E"/>
    <w:rsid w:val="00162D50"/>
    <w:rsid w:val="001631C8"/>
    <w:rsid w:val="001637BC"/>
    <w:rsid w:val="00163B51"/>
    <w:rsid w:val="00163C0A"/>
    <w:rsid w:val="00163C6B"/>
    <w:rsid w:val="00163C9F"/>
    <w:rsid w:val="0016445B"/>
    <w:rsid w:val="001644C5"/>
    <w:rsid w:val="001656E5"/>
    <w:rsid w:val="001659F9"/>
    <w:rsid w:val="0016692B"/>
    <w:rsid w:val="00166985"/>
    <w:rsid w:val="00166B70"/>
    <w:rsid w:val="00166C62"/>
    <w:rsid w:val="00166CEC"/>
    <w:rsid w:val="00167620"/>
    <w:rsid w:val="0016763E"/>
    <w:rsid w:val="00167694"/>
    <w:rsid w:val="00167AB6"/>
    <w:rsid w:val="001701B0"/>
    <w:rsid w:val="001706A5"/>
    <w:rsid w:val="00170CE3"/>
    <w:rsid w:val="00170F41"/>
    <w:rsid w:val="0017109A"/>
    <w:rsid w:val="00171164"/>
    <w:rsid w:val="001711EB"/>
    <w:rsid w:val="00171223"/>
    <w:rsid w:val="0017124B"/>
    <w:rsid w:val="001715E0"/>
    <w:rsid w:val="00171675"/>
    <w:rsid w:val="00171E56"/>
    <w:rsid w:val="00171FE5"/>
    <w:rsid w:val="0017296D"/>
    <w:rsid w:val="0017307F"/>
    <w:rsid w:val="0017327C"/>
    <w:rsid w:val="001737B3"/>
    <w:rsid w:val="00173C43"/>
    <w:rsid w:val="00174146"/>
    <w:rsid w:val="001741A4"/>
    <w:rsid w:val="0017523A"/>
    <w:rsid w:val="0017550D"/>
    <w:rsid w:val="0017686C"/>
    <w:rsid w:val="00176961"/>
    <w:rsid w:val="00176A8E"/>
    <w:rsid w:val="00176AD7"/>
    <w:rsid w:val="00176ADD"/>
    <w:rsid w:val="00176B9F"/>
    <w:rsid w:val="00176E9E"/>
    <w:rsid w:val="00177033"/>
    <w:rsid w:val="00177360"/>
    <w:rsid w:val="001777FD"/>
    <w:rsid w:val="00177CDC"/>
    <w:rsid w:val="00180129"/>
    <w:rsid w:val="0018023D"/>
    <w:rsid w:val="0018056D"/>
    <w:rsid w:val="00180E3F"/>
    <w:rsid w:val="001810DE"/>
    <w:rsid w:val="001819BF"/>
    <w:rsid w:val="00182949"/>
    <w:rsid w:val="00182B13"/>
    <w:rsid w:val="00182B98"/>
    <w:rsid w:val="00182E52"/>
    <w:rsid w:val="001834A0"/>
    <w:rsid w:val="001838E3"/>
    <w:rsid w:val="00183A74"/>
    <w:rsid w:val="001846E4"/>
    <w:rsid w:val="00184D9D"/>
    <w:rsid w:val="00184E4E"/>
    <w:rsid w:val="001852DA"/>
    <w:rsid w:val="00185719"/>
    <w:rsid w:val="001858B5"/>
    <w:rsid w:val="00185CCD"/>
    <w:rsid w:val="0018642F"/>
    <w:rsid w:val="0018665B"/>
    <w:rsid w:val="0018769D"/>
    <w:rsid w:val="00187AC4"/>
    <w:rsid w:val="00187AEF"/>
    <w:rsid w:val="00187D13"/>
    <w:rsid w:val="001902C3"/>
    <w:rsid w:val="00191A47"/>
    <w:rsid w:val="0019247A"/>
    <w:rsid w:val="00192591"/>
    <w:rsid w:val="001929FB"/>
    <w:rsid w:val="00192E87"/>
    <w:rsid w:val="00193363"/>
    <w:rsid w:val="001934A1"/>
    <w:rsid w:val="001935EB"/>
    <w:rsid w:val="0019368F"/>
    <w:rsid w:val="001944A5"/>
    <w:rsid w:val="001947A6"/>
    <w:rsid w:val="00194F49"/>
    <w:rsid w:val="00195911"/>
    <w:rsid w:val="00196E81"/>
    <w:rsid w:val="001970F4"/>
    <w:rsid w:val="001971FD"/>
    <w:rsid w:val="001972B6"/>
    <w:rsid w:val="001976F6"/>
    <w:rsid w:val="001A05DD"/>
    <w:rsid w:val="001A0682"/>
    <w:rsid w:val="001A0CAF"/>
    <w:rsid w:val="001A1153"/>
    <w:rsid w:val="001A11A7"/>
    <w:rsid w:val="001A1467"/>
    <w:rsid w:val="001A18E2"/>
    <w:rsid w:val="001A18EF"/>
    <w:rsid w:val="001A20CB"/>
    <w:rsid w:val="001A23F1"/>
    <w:rsid w:val="001A27DC"/>
    <w:rsid w:val="001A284E"/>
    <w:rsid w:val="001A398A"/>
    <w:rsid w:val="001A406E"/>
    <w:rsid w:val="001A43F7"/>
    <w:rsid w:val="001A4F97"/>
    <w:rsid w:val="001A5148"/>
    <w:rsid w:val="001A551F"/>
    <w:rsid w:val="001A65D0"/>
    <w:rsid w:val="001A6969"/>
    <w:rsid w:val="001A74AC"/>
    <w:rsid w:val="001A756F"/>
    <w:rsid w:val="001A773E"/>
    <w:rsid w:val="001A7A26"/>
    <w:rsid w:val="001A7E79"/>
    <w:rsid w:val="001B0352"/>
    <w:rsid w:val="001B112A"/>
    <w:rsid w:val="001B133C"/>
    <w:rsid w:val="001B1AE9"/>
    <w:rsid w:val="001B2301"/>
    <w:rsid w:val="001B2846"/>
    <w:rsid w:val="001B2A27"/>
    <w:rsid w:val="001B2BFD"/>
    <w:rsid w:val="001B3453"/>
    <w:rsid w:val="001B3C32"/>
    <w:rsid w:val="001B488B"/>
    <w:rsid w:val="001B51FB"/>
    <w:rsid w:val="001B5B6C"/>
    <w:rsid w:val="001B5B72"/>
    <w:rsid w:val="001B6086"/>
    <w:rsid w:val="001B6251"/>
    <w:rsid w:val="001B70B4"/>
    <w:rsid w:val="001B7C18"/>
    <w:rsid w:val="001B7CB8"/>
    <w:rsid w:val="001C1565"/>
    <w:rsid w:val="001C16F4"/>
    <w:rsid w:val="001C1853"/>
    <w:rsid w:val="001C2184"/>
    <w:rsid w:val="001C22BD"/>
    <w:rsid w:val="001C2931"/>
    <w:rsid w:val="001C3500"/>
    <w:rsid w:val="001C363E"/>
    <w:rsid w:val="001C4C86"/>
    <w:rsid w:val="001C5005"/>
    <w:rsid w:val="001C5EB7"/>
    <w:rsid w:val="001C60A1"/>
    <w:rsid w:val="001C654F"/>
    <w:rsid w:val="001C6C0C"/>
    <w:rsid w:val="001C6E88"/>
    <w:rsid w:val="001C734A"/>
    <w:rsid w:val="001D054E"/>
    <w:rsid w:val="001D06A2"/>
    <w:rsid w:val="001D0CAA"/>
    <w:rsid w:val="001D1BDC"/>
    <w:rsid w:val="001D1CF5"/>
    <w:rsid w:val="001D20FD"/>
    <w:rsid w:val="001D22DB"/>
    <w:rsid w:val="001D282D"/>
    <w:rsid w:val="001D4B4C"/>
    <w:rsid w:val="001D5296"/>
    <w:rsid w:val="001D58CF"/>
    <w:rsid w:val="001D5A9A"/>
    <w:rsid w:val="001D658C"/>
    <w:rsid w:val="001D6717"/>
    <w:rsid w:val="001D6A3B"/>
    <w:rsid w:val="001D6BAF"/>
    <w:rsid w:val="001D70FD"/>
    <w:rsid w:val="001D7132"/>
    <w:rsid w:val="001D7522"/>
    <w:rsid w:val="001D78DA"/>
    <w:rsid w:val="001D7AAD"/>
    <w:rsid w:val="001E0E30"/>
    <w:rsid w:val="001E108E"/>
    <w:rsid w:val="001E11C0"/>
    <w:rsid w:val="001E1838"/>
    <w:rsid w:val="001E198E"/>
    <w:rsid w:val="001E1B5B"/>
    <w:rsid w:val="001E1FA0"/>
    <w:rsid w:val="001E29C2"/>
    <w:rsid w:val="001E2C67"/>
    <w:rsid w:val="001E2EFB"/>
    <w:rsid w:val="001E2F87"/>
    <w:rsid w:val="001E3147"/>
    <w:rsid w:val="001E314A"/>
    <w:rsid w:val="001E4028"/>
    <w:rsid w:val="001E5F2B"/>
    <w:rsid w:val="001E61DC"/>
    <w:rsid w:val="001E63B4"/>
    <w:rsid w:val="001E644F"/>
    <w:rsid w:val="001E6A0C"/>
    <w:rsid w:val="001E6C37"/>
    <w:rsid w:val="001E7422"/>
    <w:rsid w:val="001E7534"/>
    <w:rsid w:val="001E77DA"/>
    <w:rsid w:val="001E79DC"/>
    <w:rsid w:val="001E7EF8"/>
    <w:rsid w:val="001F01AA"/>
    <w:rsid w:val="001F01DC"/>
    <w:rsid w:val="001F03BA"/>
    <w:rsid w:val="001F04E6"/>
    <w:rsid w:val="001F0719"/>
    <w:rsid w:val="001F0BFA"/>
    <w:rsid w:val="001F0E5E"/>
    <w:rsid w:val="001F0E8D"/>
    <w:rsid w:val="001F0E96"/>
    <w:rsid w:val="001F0F1A"/>
    <w:rsid w:val="001F15C0"/>
    <w:rsid w:val="001F280D"/>
    <w:rsid w:val="001F2B07"/>
    <w:rsid w:val="001F2B45"/>
    <w:rsid w:val="001F34F7"/>
    <w:rsid w:val="001F3DE1"/>
    <w:rsid w:val="001F4157"/>
    <w:rsid w:val="001F42D6"/>
    <w:rsid w:val="001F4DD1"/>
    <w:rsid w:val="001F5337"/>
    <w:rsid w:val="001F555C"/>
    <w:rsid w:val="001F57DE"/>
    <w:rsid w:val="001F59C7"/>
    <w:rsid w:val="001F6461"/>
    <w:rsid w:val="001F75A2"/>
    <w:rsid w:val="001F76CC"/>
    <w:rsid w:val="001F787C"/>
    <w:rsid w:val="001F7F35"/>
    <w:rsid w:val="001F7FB4"/>
    <w:rsid w:val="00200611"/>
    <w:rsid w:val="002011CE"/>
    <w:rsid w:val="002015E6"/>
    <w:rsid w:val="00202800"/>
    <w:rsid w:val="00202F20"/>
    <w:rsid w:val="0020313A"/>
    <w:rsid w:val="002035B0"/>
    <w:rsid w:val="00203664"/>
    <w:rsid w:val="002041EC"/>
    <w:rsid w:val="002050CE"/>
    <w:rsid w:val="00205D96"/>
    <w:rsid w:val="00206B63"/>
    <w:rsid w:val="00206B9B"/>
    <w:rsid w:val="002077A8"/>
    <w:rsid w:val="0020797F"/>
    <w:rsid w:val="00207B6B"/>
    <w:rsid w:val="0021041A"/>
    <w:rsid w:val="0021047B"/>
    <w:rsid w:val="00210EB0"/>
    <w:rsid w:val="00211651"/>
    <w:rsid w:val="00211669"/>
    <w:rsid w:val="002117FA"/>
    <w:rsid w:val="0021213B"/>
    <w:rsid w:val="002127FD"/>
    <w:rsid w:val="0021375D"/>
    <w:rsid w:val="0021397A"/>
    <w:rsid w:val="00213CDD"/>
    <w:rsid w:val="00214039"/>
    <w:rsid w:val="0021435F"/>
    <w:rsid w:val="00214C21"/>
    <w:rsid w:val="00214F21"/>
    <w:rsid w:val="00215114"/>
    <w:rsid w:val="002159DA"/>
    <w:rsid w:val="002160E4"/>
    <w:rsid w:val="002167AA"/>
    <w:rsid w:val="00216898"/>
    <w:rsid w:val="00216B6F"/>
    <w:rsid w:val="00217410"/>
    <w:rsid w:val="00220387"/>
    <w:rsid w:val="0022042A"/>
    <w:rsid w:val="00220AD8"/>
    <w:rsid w:val="00220DA5"/>
    <w:rsid w:val="002217DF"/>
    <w:rsid w:val="002218B0"/>
    <w:rsid w:val="00221BDC"/>
    <w:rsid w:val="00221ED3"/>
    <w:rsid w:val="002223A5"/>
    <w:rsid w:val="0022266D"/>
    <w:rsid w:val="0022328C"/>
    <w:rsid w:val="002234A6"/>
    <w:rsid w:val="002237E1"/>
    <w:rsid w:val="00224069"/>
    <w:rsid w:val="0022445C"/>
    <w:rsid w:val="00225404"/>
    <w:rsid w:val="0022577F"/>
    <w:rsid w:val="002257EA"/>
    <w:rsid w:val="002258EA"/>
    <w:rsid w:val="00225FD2"/>
    <w:rsid w:val="00226063"/>
    <w:rsid w:val="00226AD9"/>
    <w:rsid w:val="00226C17"/>
    <w:rsid w:val="00226CEB"/>
    <w:rsid w:val="00227E58"/>
    <w:rsid w:val="00227F45"/>
    <w:rsid w:val="002301F8"/>
    <w:rsid w:val="0023049E"/>
    <w:rsid w:val="00230673"/>
    <w:rsid w:val="00230A08"/>
    <w:rsid w:val="00230BDB"/>
    <w:rsid w:val="002312F6"/>
    <w:rsid w:val="00231419"/>
    <w:rsid w:val="00231C16"/>
    <w:rsid w:val="00232157"/>
    <w:rsid w:val="00232A13"/>
    <w:rsid w:val="00232CA2"/>
    <w:rsid w:val="00232FE3"/>
    <w:rsid w:val="0023306E"/>
    <w:rsid w:val="0023342B"/>
    <w:rsid w:val="00233435"/>
    <w:rsid w:val="00233E18"/>
    <w:rsid w:val="00233ED3"/>
    <w:rsid w:val="0023470E"/>
    <w:rsid w:val="00234FD5"/>
    <w:rsid w:val="00235882"/>
    <w:rsid w:val="00235E39"/>
    <w:rsid w:val="002363EC"/>
    <w:rsid w:val="00236CCD"/>
    <w:rsid w:val="00236DF4"/>
    <w:rsid w:val="002373DE"/>
    <w:rsid w:val="00237414"/>
    <w:rsid w:val="002374F4"/>
    <w:rsid w:val="00237649"/>
    <w:rsid w:val="0023787D"/>
    <w:rsid w:val="0024012D"/>
    <w:rsid w:val="00240422"/>
    <w:rsid w:val="002404C3"/>
    <w:rsid w:val="0024113D"/>
    <w:rsid w:val="0024113F"/>
    <w:rsid w:val="0024170B"/>
    <w:rsid w:val="00242598"/>
    <w:rsid w:val="00242AA5"/>
    <w:rsid w:val="00243361"/>
    <w:rsid w:val="002435E4"/>
    <w:rsid w:val="00243FBD"/>
    <w:rsid w:val="00244835"/>
    <w:rsid w:val="002449C5"/>
    <w:rsid w:val="00244D90"/>
    <w:rsid w:val="00244E99"/>
    <w:rsid w:val="002466B8"/>
    <w:rsid w:val="0024680E"/>
    <w:rsid w:val="00246FBA"/>
    <w:rsid w:val="0024717F"/>
    <w:rsid w:val="00247560"/>
    <w:rsid w:val="00247823"/>
    <w:rsid w:val="00247C97"/>
    <w:rsid w:val="0025059A"/>
    <w:rsid w:val="0025063E"/>
    <w:rsid w:val="002513AE"/>
    <w:rsid w:val="00251ED1"/>
    <w:rsid w:val="00252340"/>
    <w:rsid w:val="002527C5"/>
    <w:rsid w:val="00252D8D"/>
    <w:rsid w:val="002534DD"/>
    <w:rsid w:val="0025370F"/>
    <w:rsid w:val="00253A64"/>
    <w:rsid w:val="00253AB5"/>
    <w:rsid w:val="00253F8E"/>
    <w:rsid w:val="0025402E"/>
    <w:rsid w:val="002541F1"/>
    <w:rsid w:val="002541F6"/>
    <w:rsid w:val="00254B43"/>
    <w:rsid w:val="00254C6F"/>
    <w:rsid w:val="0025512D"/>
    <w:rsid w:val="00255290"/>
    <w:rsid w:val="00255E8D"/>
    <w:rsid w:val="0025605A"/>
    <w:rsid w:val="0025622F"/>
    <w:rsid w:val="002570C5"/>
    <w:rsid w:val="0025737E"/>
    <w:rsid w:val="00257F50"/>
    <w:rsid w:val="00260116"/>
    <w:rsid w:val="002605F6"/>
    <w:rsid w:val="00260CD4"/>
    <w:rsid w:val="00260E3B"/>
    <w:rsid w:val="002612C9"/>
    <w:rsid w:val="0026159F"/>
    <w:rsid w:val="00261E0E"/>
    <w:rsid w:val="00261FBE"/>
    <w:rsid w:val="002629C3"/>
    <w:rsid w:val="00262AC7"/>
    <w:rsid w:val="00262B5E"/>
    <w:rsid w:val="002631E2"/>
    <w:rsid w:val="002631F9"/>
    <w:rsid w:val="00263700"/>
    <w:rsid w:val="00263743"/>
    <w:rsid w:val="00263976"/>
    <w:rsid w:val="00264357"/>
    <w:rsid w:val="00264554"/>
    <w:rsid w:val="00265010"/>
    <w:rsid w:val="00265290"/>
    <w:rsid w:val="0026541F"/>
    <w:rsid w:val="0026561E"/>
    <w:rsid w:val="0026697F"/>
    <w:rsid w:val="00267D15"/>
    <w:rsid w:val="002705A2"/>
    <w:rsid w:val="002708DE"/>
    <w:rsid w:val="00271658"/>
    <w:rsid w:val="0027222D"/>
    <w:rsid w:val="002724DF"/>
    <w:rsid w:val="00272586"/>
    <w:rsid w:val="002729CE"/>
    <w:rsid w:val="00272C05"/>
    <w:rsid w:val="00272F5C"/>
    <w:rsid w:val="00273D44"/>
    <w:rsid w:val="002744A7"/>
    <w:rsid w:val="002749D0"/>
    <w:rsid w:val="00274EFA"/>
    <w:rsid w:val="0027514A"/>
    <w:rsid w:val="002753F5"/>
    <w:rsid w:val="00275406"/>
    <w:rsid w:val="0027570D"/>
    <w:rsid w:val="00275A5F"/>
    <w:rsid w:val="00275F2A"/>
    <w:rsid w:val="002763F1"/>
    <w:rsid w:val="002766EA"/>
    <w:rsid w:val="00277433"/>
    <w:rsid w:val="0027786C"/>
    <w:rsid w:val="002779B6"/>
    <w:rsid w:val="00280A63"/>
    <w:rsid w:val="00280BE2"/>
    <w:rsid w:val="00280DE3"/>
    <w:rsid w:val="00280E89"/>
    <w:rsid w:val="00281362"/>
    <w:rsid w:val="0028148E"/>
    <w:rsid w:val="002814C4"/>
    <w:rsid w:val="00281537"/>
    <w:rsid w:val="00281720"/>
    <w:rsid w:val="00282AD2"/>
    <w:rsid w:val="00283640"/>
    <w:rsid w:val="00283CC0"/>
    <w:rsid w:val="002841A3"/>
    <w:rsid w:val="00284EB9"/>
    <w:rsid w:val="002857C2"/>
    <w:rsid w:val="00285BC0"/>
    <w:rsid w:val="00285EEB"/>
    <w:rsid w:val="00286195"/>
    <w:rsid w:val="00286F0D"/>
    <w:rsid w:val="002874B4"/>
    <w:rsid w:val="002878F9"/>
    <w:rsid w:val="00287D72"/>
    <w:rsid w:val="0029033D"/>
    <w:rsid w:val="0029069C"/>
    <w:rsid w:val="0029110D"/>
    <w:rsid w:val="00291309"/>
    <w:rsid w:val="00291F84"/>
    <w:rsid w:val="002927B7"/>
    <w:rsid w:val="00292D74"/>
    <w:rsid w:val="0029310A"/>
    <w:rsid w:val="0029350D"/>
    <w:rsid w:val="00293A95"/>
    <w:rsid w:val="00294304"/>
    <w:rsid w:val="00294593"/>
    <w:rsid w:val="0029551E"/>
    <w:rsid w:val="0029552C"/>
    <w:rsid w:val="00296411"/>
    <w:rsid w:val="00297485"/>
    <w:rsid w:val="0029748E"/>
    <w:rsid w:val="00297725"/>
    <w:rsid w:val="0029772E"/>
    <w:rsid w:val="002A056F"/>
    <w:rsid w:val="002A075A"/>
    <w:rsid w:val="002A0A25"/>
    <w:rsid w:val="002A1777"/>
    <w:rsid w:val="002A18B5"/>
    <w:rsid w:val="002A1C24"/>
    <w:rsid w:val="002A1F92"/>
    <w:rsid w:val="002A2625"/>
    <w:rsid w:val="002A30F7"/>
    <w:rsid w:val="002A317A"/>
    <w:rsid w:val="002A4B25"/>
    <w:rsid w:val="002A4B88"/>
    <w:rsid w:val="002A5218"/>
    <w:rsid w:val="002A5F26"/>
    <w:rsid w:val="002A6ABC"/>
    <w:rsid w:val="002A6DE8"/>
    <w:rsid w:val="002A70D4"/>
    <w:rsid w:val="002A7501"/>
    <w:rsid w:val="002A7796"/>
    <w:rsid w:val="002B1056"/>
    <w:rsid w:val="002B1473"/>
    <w:rsid w:val="002B1D6B"/>
    <w:rsid w:val="002B1F30"/>
    <w:rsid w:val="002B2AE4"/>
    <w:rsid w:val="002B2B88"/>
    <w:rsid w:val="002B2E78"/>
    <w:rsid w:val="002B3CD9"/>
    <w:rsid w:val="002B3E6E"/>
    <w:rsid w:val="002B4480"/>
    <w:rsid w:val="002B4702"/>
    <w:rsid w:val="002B5387"/>
    <w:rsid w:val="002B58B9"/>
    <w:rsid w:val="002B6060"/>
    <w:rsid w:val="002B6558"/>
    <w:rsid w:val="002B65D1"/>
    <w:rsid w:val="002B78C0"/>
    <w:rsid w:val="002C060D"/>
    <w:rsid w:val="002C12EF"/>
    <w:rsid w:val="002C14FD"/>
    <w:rsid w:val="002C17CE"/>
    <w:rsid w:val="002C1C9F"/>
    <w:rsid w:val="002C1ED5"/>
    <w:rsid w:val="002C2356"/>
    <w:rsid w:val="002C247E"/>
    <w:rsid w:val="002C2A55"/>
    <w:rsid w:val="002C37AE"/>
    <w:rsid w:val="002C3F52"/>
    <w:rsid w:val="002C3FB4"/>
    <w:rsid w:val="002C4498"/>
    <w:rsid w:val="002C4800"/>
    <w:rsid w:val="002C4B0E"/>
    <w:rsid w:val="002C507B"/>
    <w:rsid w:val="002C54AE"/>
    <w:rsid w:val="002C5B23"/>
    <w:rsid w:val="002C6D27"/>
    <w:rsid w:val="002C70E0"/>
    <w:rsid w:val="002C7B49"/>
    <w:rsid w:val="002C7D5C"/>
    <w:rsid w:val="002D0340"/>
    <w:rsid w:val="002D0470"/>
    <w:rsid w:val="002D1376"/>
    <w:rsid w:val="002D1674"/>
    <w:rsid w:val="002D18B2"/>
    <w:rsid w:val="002D1B1B"/>
    <w:rsid w:val="002D25F8"/>
    <w:rsid w:val="002D2AD8"/>
    <w:rsid w:val="002D45AC"/>
    <w:rsid w:val="002D4B0C"/>
    <w:rsid w:val="002D5594"/>
    <w:rsid w:val="002D5AA9"/>
    <w:rsid w:val="002D5CCD"/>
    <w:rsid w:val="002D6239"/>
    <w:rsid w:val="002D6519"/>
    <w:rsid w:val="002D67CA"/>
    <w:rsid w:val="002D6C6A"/>
    <w:rsid w:val="002D7DAA"/>
    <w:rsid w:val="002E0449"/>
    <w:rsid w:val="002E04BE"/>
    <w:rsid w:val="002E0C20"/>
    <w:rsid w:val="002E0D0C"/>
    <w:rsid w:val="002E117D"/>
    <w:rsid w:val="002E118B"/>
    <w:rsid w:val="002E11E6"/>
    <w:rsid w:val="002E1EA0"/>
    <w:rsid w:val="002E28E9"/>
    <w:rsid w:val="002E296A"/>
    <w:rsid w:val="002E2D32"/>
    <w:rsid w:val="002E30EB"/>
    <w:rsid w:val="002E390D"/>
    <w:rsid w:val="002E3934"/>
    <w:rsid w:val="002E3BF1"/>
    <w:rsid w:val="002E43D0"/>
    <w:rsid w:val="002E4D81"/>
    <w:rsid w:val="002E4E9A"/>
    <w:rsid w:val="002E5DB7"/>
    <w:rsid w:val="002E5F52"/>
    <w:rsid w:val="002E62C5"/>
    <w:rsid w:val="002E65F4"/>
    <w:rsid w:val="002E700A"/>
    <w:rsid w:val="002E70A8"/>
    <w:rsid w:val="002E73EB"/>
    <w:rsid w:val="002E773B"/>
    <w:rsid w:val="002E7F9F"/>
    <w:rsid w:val="002E7FD5"/>
    <w:rsid w:val="002F0D3F"/>
    <w:rsid w:val="002F0D71"/>
    <w:rsid w:val="002F24AD"/>
    <w:rsid w:val="002F27CE"/>
    <w:rsid w:val="002F3BEB"/>
    <w:rsid w:val="002F5175"/>
    <w:rsid w:val="002F5762"/>
    <w:rsid w:val="002F6A07"/>
    <w:rsid w:val="002F6B16"/>
    <w:rsid w:val="002F7856"/>
    <w:rsid w:val="002F7DE5"/>
    <w:rsid w:val="002F7FCA"/>
    <w:rsid w:val="00300825"/>
    <w:rsid w:val="00301011"/>
    <w:rsid w:val="003011D4"/>
    <w:rsid w:val="0030159C"/>
    <w:rsid w:val="00301A07"/>
    <w:rsid w:val="00301D88"/>
    <w:rsid w:val="0030225D"/>
    <w:rsid w:val="00302356"/>
    <w:rsid w:val="00302695"/>
    <w:rsid w:val="003027FD"/>
    <w:rsid w:val="00303402"/>
    <w:rsid w:val="00303FDD"/>
    <w:rsid w:val="00304542"/>
    <w:rsid w:val="003047FD"/>
    <w:rsid w:val="00304C2D"/>
    <w:rsid w:val="00305A82"/>
    <w:rsid w:val="00305DAA"/>
    <w:rsid w:val="00307C27"/>
    <w:rsid w:val="003103AF"/>
    <w:rsid w:val="003105C4"/>
    <w:rsid w:val="0031061F"/>
    <w:rsid w:val="003109B5"/>
    <w:rsid w:val="00310D8A"/>
    <w:rsid w:val="003114F9"/>
    <w:rsid w:val="0031165F"/>
    <w:rsid w:val="003119B0"/>
    <w:rsid w:val="00311F87"/>
    <w:rsid w:val="0031204D"/>
    <w:rsid w:val="00312131"/>
    <w:rsid w:val="00312F40"/>
    <w:rsid w:val="00313075"/>
    <w:rsid w:val="00313798"/>
    <w:rsid w:val="0031380D"/>
    <w:rsid w:val="00313A72"/>
    <w:rsid w:val="00314242"/>
    <w:rsid w:val="00314373"/>
    <w:rsid w:val="00314EDB"/>
    <w:rsid w:val="00315143"/>
    <w:rsid w:val="00315841"/>
    <w:rsid w:val="00315B62"/>
    <w:rsid w:val="0031613E"/>
    <w:rsid w:val="00316744"/>
    <w:rsid w:val="00316909"/>
    <w:rsid w:val="00316C07"/>
    <w:rsid w:val="00316F37"/>
    <w:rsid w:val="0031759E"/>
    <w:rsid w:val="00317D52"/>
    <w:rsid w:val="0032039A"/>
    <w:rsid w:val="003203CF"/>
    <w:rsid w:val="00320511"/>
    <w:rsid w:val="003206D1"/>
    <w:rsid w:val="003210E1"/>
    <w:rsid w:val="00321D3A"/>
    <w:rsid w:val="00321D4B"/>
    <w:rsid w:val="00321D4F"/>
    <w:rsid w:val="00321E9F"/>
    <w:rsid w:val="003220A8"/>
    <w:rsid w:val="00322A45"/>
    <w:rsid w:val="00322D3F"/>
    <w:rsid w:val="003235ED"/>
    <w:rsid w:val="00324672"/>
    <w:rsid w:val="00324BB6"/>
    <w:rsid w:val="00325595"/>
    <w:rsid w:val="00325C22"/>
    <w:rsid w:val="0032679C"/>
    <w:rsid w:val="003274A9"/>
    <w:rsid w:val="003278C3"/>
    <w:rsid w:val="00327A63"/>
    <w:rsid w:val="00327A70"/>
    <w:rsid w:val="00327C4A"/>
    <w:rsid w:val="0033023F"/>
    <w:rsid w:val="00330249"/>
    <w:rsid w:val="0033059A"/>
    <w:rsid w:val="00330C65"/>
    <w:rsid w:val="003311CB"/>
    <w:rsid w:val="003319B4"/>
    <w:rsid w:val="003319E6"/>
    <w:rsid w:val="00331A7B"/>
    <w:rsid w:val="00332491"/>
    <w:rsid w:val="00332E73"/>
    <w:rsid w:val="00333368"/>
    <w:rsid w:val="003339CD"/>
    <w:rsid w:val="003345E5"/>
    <w:rsid w:val="00334A1C"/>
    <w:rsid w:val="00334B2A"/>
    <w:rsid w:val="00334CF1"/>
    <w:rsid w:val="00335260"/>
    <w:rsid w:val="0033597C"/>
    <w:rsid w:val="0033599C"/>
    <w:rsid w:val="00335E5D"/>
    <w:rsid w:val="003375B7"/>
    <w:rsid w:val="00337C4E"/>
    <w:rsid w:val="003403E7"/>
    <w:rsid w:val="00340676"/>
    <w:rsid w:val="00340E9B"/>
    <w:rsid w:val="00342205"/>
    <w:rsid w:val="00342ABD"/>
    <w:rsid w:val="00343653"/>
    <w:rsid w:val="0034366B"/>
    <w:rsid w:val="00343935"/>
    <w:rsid w:val="00343E0D"/>
    <w:rsid w:val="003442F7"/>
    <w:rsid w:val="00344C15"/>
    <w:rsid w:val="00344F42"/>
    <w:rsid w:val="0034556F"/>
    <w:rsid w:val="0034647E"/>
    <w:rsid w:val="00346A5C"/>
    <w:rsid w:val="003502A4"/>
    <w:rsid w:val="003516EF"/>
    <w:rsid w:val="00351E73"/>
    <w:rsid w:val="003527F3"/>
    <w:rsid w:val="00352EB1"/>
    <w:rsid w:val="00352FD5"/>
    <w:rsid w:val="003532AB"/>
    <w:rsid w:val="0035342F"/>
    <w:rsid w:val="00353590"/>
    <w:rsid w:val="00354327"/>
    <w:rsid w:val="00354417"/>
    <w:rsid w:val="0035474E"/>
    <w:rsid w:val="0035475A"/>
    <w:rsid w:val="00355918"/>
    <w:rsid w:val="00355BF2"/>
    <w:rsid w:val="0035699B"/>
    <w:rsid w:val="003569D9"/>
    <w:rsid w:val="00356EEB"/>
    <w:rsid w:val="003606A3"/>
    <w:rsid w:val="003607C9"/>
    <w:rsid w:val="0036148A"/>
    <w:rsid w:val="00361A02"/>
    <w:rsid w:val="00361D35"/>
    <w:rsid w:val="00361DCF"/>
    <w:rsid w:val="00361F08"/>
    <w:rsid w:val="003622BA"/>
    <w:rsid w:val="0036258F"/>
    <w:rsid w:val="0036288B"/>
    <w:rsid w:val="00362C28"/>
    <w:rsid w:val="00363213"/>
    <w:rsid w:val="00363B29"/>
    <w:rsid w:val="0036410C"/>
    <w:rsid w:val="003652C3"/>
    <w:rsid w:val="00365491"/>
    <w:rsid w:val="003657DA"/>
    <w:rsid w:val="00366112"/>
    <w:rsid w:val="003663DC"/>
    <w:rsid w:val="00366B12"/>
    <w:rsid w:val="00370F74"/>
    <w:rsid w:val="00371182"/>
    <w:rsid w:val="003724D0"/>
    <w:rsid w:val="00372956"/>
    <w:rsid w:val="003736AE"/>
    <w:rsid w:val="003738EC"/>
    <w:rsid w:val="00373B4C"/>
    <w:rsid w:val="00373DE1"/>
    <w:rsid w:val="00373E95"/>
    <w:rsid w:val="003752A5"/>
    <w:rsid w:val="0037532A"/>
    <w:rsid w:val="0037633F"/>
    <w:rsid w:val="00376C46"/>
    <w:rsid w:val="003776C4"/>
    <w:rsid w:val="00377D1B"/>
    <w:rsid w:val="00377E62"/>
    <w:rsid w:val="00380928"/>
    <w:rsid w:val="00380E11"/>
    <w:rsid w:val="00380E35"/>
    <w:rsid w:val="00380EFD"/>
    <w:rsid w:val="00381095"/>
    <w:rsid w:val="003810E3"/>
    <w:rsid w:val="00381143"/>
    <w:rsid w:val="003814CB"/>
    <w:rsid w:val="003817CB"/>
    <w:rsid w:val="0038186A"/>
    <w:rsid w:val="003824F5"/>
    <w:rsid w:val="0038281C"/>
    <w:rsid w:val="00382A9C"/>
    <w:rsid w:val="00383277"/>
    <w:rsid w:val="00383B57"/>
    <w:rsid w:val="00383D32"/>
    <w:rsid w:val="00384091"/>
    <w:rsid w:val="003844F3"/>
    <w:rsid w:val="003845FC"/>
    <w:rsid w:val="00384626"/>
    <w:rsid w:val="003846D9"/>
    <w:rsid w:val="00384988"/>
    <w:rsid w:val="003849EE"/>
    <w:rsid w:val="003851E3"/>
    <w:rsid w:val="00385946"/>
    <w:rsid w:val="003861DC"/>
    <w:rsid w:val="00386DA1"/>
    <w:rsid w:val="0038702E"/>
    <w:rsid w:val="00387227"/>
    <w:rsid w:val="0038751D"/>
    <w:rsid w:val="00390310"/>
    <w:rsid w:val="003904CB"/>
    <w:rsid w:val="00391356"/>
    <w:rsid w:val="003916CE"/>
    <w:rsid w:val="00391C81"/>
    <w:rsid w:val="003926F5"/>
    <w:rsid w:val="003929D0"/>
    <w:rsid w:val="00392B0B"/>
    <w:rsid w:val="003938C9"/>
    <w:rsid w:val="00393A0C"/>
    <w:rsid w:val="00393C32"/>
    <w:rsid w:val="00393EAF"/>
    <w:rsid w:val="00394674"/>
    <w:rsid w:val="00394F2F"/>
    <w:rsid w:val="0039525A"/>
    <w:rsid w:val="00395C28"/>
    <w:rsid w:val="003973D0"/>
    <w:rsid w:val="00397F0A"/>
    <w:rsid w:val="003A05F2"/>
    <w:rsid w:val="003A0A99"/>
    <w:rsid w:val="003A0B7D"/>
    <w:rsid w:val="003A1253"/>
    <w:rsid w:val="003A1DEF"/>
    <w:rsid w:val="003A2979"/>
    <w:rsid w:val="003A2F89"/>
    <w:rsid w:val="003A3957"/>
    <w:rsid w:val="003A4359"/>
    <w:rsid w:val="003A488B"/>
    <w:rsid w:val="003A5694"/>
    <w:rsid w:val="003A60BB"/>
    <w:rsid w:val="003A63CC"/>
    <w:rsid w:val="003A63FB"/>
    <w:rsid w:val="003A6573"/>
    <w:rsid w:val="003A679C"/>
    <w:rsid w:val="003A6826"/>
    <w:rsid w:val="003A6906"/>
    <w:rsid w:val="003A69BE"/>
    <w:rsid w:val="003A6C45"/>
    <w:rsid w:val="003A6C5C"/>
    <w:rsid w:val="003A6FD9"/>
    <w:rsid w:val="003A74CB"/>
    <w:rsid w:val="003A786E"/>
    <w:rsid w:val="003A7E78"/>
    <w:rsid w:val="003B09C7"/>
    <w:rsid w:val="003B0DAC"/>
    <w:rsid w:val="003B1310"/>
    <w:rsid w:val="003B1DC4"/>
    <w:rsid w:val="003B2544"/>
    <w:rsid w:val="003B2C29"/>
    <w:rsid w:val="003B303A"/>
    <w:rsid w:val="003B3063"/>
    <w:rsid w:val="003B34A9"/>
    <w:rsid w:val="003B3605"/>
    <w:rsid w:val="003B3AF0"/>
    <w:rsid w:val="003B3CBD"/>
    <w:rsid w:val="003B3F35"/>
    <w:rsid w:val="003B4682"/>
    <w:rsid w:val="003B4D76"/>
    <w:rsid w:val="003B562E"/>
    <w:rsid w:val="003B5C09"/>
    <w:rsid w:val="003B616D"/>
    <w:rsid w:val="003B6D84"/>
    <w:rsid w:val="003B775E"/>
    <w:rsid w:val="003B7856"/>
    <w:rsid w:val="003B7AC6"/>
    <w:rsid w:val="003B7E90"/>
    <w:rsid w:val="003C00BD"/>
    <w:rsid w:val="003C22B1"/>
    <w:rsid w:val="003C22D9"/>
    <w:rsid w:val="003C247F"/>
    <w:rsid w:val="003C283C"/>
    <w:rsid w:val="003C300C"/>
    <w:rsid w:val="003C3233"/>
    <w:rsid w:val="003C4B04"/>
    <w:rsid w:val="003C5B3D"/>
    <w:rsid w:val="003C5EE1"/>
    <w:rsid w:val="003C6737"/>
    <w:rsid w:val="003C746D"/>
    <w:rsid w:val="003C7B18"/>
    <w:rsid w:val="003D14FA"/>
    <w:rsid w:val="003D1708"/>
    <w:rsid w:val="003D1D64"/>
    <w:rsid w:val="003D222D"/>
    <w:rsid w:val="003D36B3"/>
    <w:rsid w:val="003D38A2"/>
    <w:rsid w:val="003D3BA0"/>
    <w:rsid w:val="003D41D5"/>
    <w:rsid w:val="003D438D"/>
    <w:rsid w:val="003D4749"/>
    <w:rsid w:val="003D4770"/>
    <w:rsid w:val="003D4E47"/>
    <w:rsid w:val="003D500E"/>
    <w:rsid w:val="003D502F"/>
    <w:rsid w:val="003D5139"/>
    <w:rsid w:val="003D5147"/>
    <w:rsid w:val="003D5EFB"/>
    <w:rsid w:val="003D62BB"/>
    <w:rsid w:val="003D693B"/>
    <w:rsid w:val="003D76E8"/>
    <w:rsid w:val="003D7710"/>
    <w:rsid w:val="003E0099"/>
    <w:rsid w:val="003E0399"/>
    <w:rsid w:val="003E0864"/>
    <w:rsid w:val="003E08F0"/>
    <w:rsid w:val="003E0C19"/>
    <w:rsid w:val="003E0F06"/>
    <w:rsid w:val="003E1A84"/>
    <w:rsid w:val="003E2031"/>
    <w:rsid w:val="003E235E"/>
    <w:rsid w:val="003E2478"/>
    <w:rsid w:val="003E29A6"/>
    <w:rsid w:val="003E2E5B"/>
    <w:rsid w:val="003E2E6D"/>
    <w:rsid w:val="003E2F93"/>
    <w:rsid w:val="003E3065"/>
    <w:rsid w:val="003E3854"/>
    <w:rsid w:val="003E3BAF"/>
    <w:rsid w:val="003E3E79"/>
    <w:rsid w:val="003E41D5"/>
    <w:rsid w:val="003E4ADD"/>
    <w:rsid w:val="003E4E14"/>
    <w:rsid w:val="003E548E"/>
    <w:rsid w:val="003E568F"/>
    <w:rsid w:val="003E5882"/>
    <w:rsid w:val="003E6009"/>
    <w:rsid w:val="003E7E4C"/>
    <w:rsid w:val="003E7EBA"/>
    <w:rsid w:val="003F0221"/>
    <w:rsid w:val="003F0510"/>
    <w:rsid w:val="003F066E"/>
    <w:rsid w:val="003F0A0E"/>
    <w:rsid w:val="003F151B"/>
    <w:rsid w:val="003F1620"/>
    <w:rsid w:val="003F1983"/>
    <w:rsid w:val="003F2126"/>
    <w:rsid w:val="003F2169"/>
    <w:rsid w:val="003F28EB"/>
    <w:rsid w:val="003F2956"/>
    <w:rsid w:val="003F343E"/>
    <w:rsid w:val="003F3B7B"/>
    <w:rsid w:val="003F3D60"/>
    <w:rsid w:val="003F3E21"/>
    <w:rsid w:val="003F40DD"/>
    <w:rsid w:val="003F4A39"/>
    <w:rsid w:val="003F4CF1"/>
    <w:rsid w:val="003F4EBD"/>
    <w:rsid w:val="003F59E8"/>
    <w:rsid w:val="003F5DC5"/>
    <w:rsid w:val="003F62D9"/>
    <w:rsid w:val="003F672B"/>
    <w:rsid w:val="003F6E97"/>
    <w:rsid w:val="003F7BA9"/>
    <w:rsid w:val="003F7BD2"/>
    <w:rsid w:val="003F7C68"/>
    <w:rsid w:val="003F7FB6"/>
    <w:rsid w:val="00400519"/>
    <w:rsid w:val="00400D6E"/>
    <w:rsid w:val="00400FAC"/>
    <w:rsid w:val="004022C7"/>
    <w:rsid w:val="00402393"/>
    <w:rsid w:val="00403363"/>
    <w:rsid w:val="0040380D"/>
    <w:rsid w:val="004039EF"/>
    <w:rsid w:val="00403B31"/>
    <w:rsid w:val="00403D7D"/>
    <w:rsid w:val="00403FF6"/>
    <w:rsid w:val="004043A6"/>
    <w:rsid w:val="00404463"/>
    <w:rsid w:val="00404B90"/>
    <w:rsid w:val="00404C9D"/>
    <w:rsid w:val="00405365"/>
    <w:rsid w:val="0040563C"/>
    <w:rsid w:val="004058FB"/>
    <w:rsid w:val="00406575"/>
    <w:rsid w:val="00406F49"/>
    <w:rsid w:val="00407C0B"/>
    <w:rsid w:val="00407DAE"/>
    <w:rsid w:val="00410250"/>
    <w:rsid w:val="004110ED"/>
    <w:rsid w:val="0041165B"/>
    <w:rsid w:val="004117FD"/>
    <w:rsid w:val="00411B24"/>
    <w:rsid w:val="004123ED"/>
    <w:rsid w:val="00412516"/>
    <w:rsid w:val="00412A3B"/>
    <w:rsid w:val="00412FAE"/>
    <w:rsid w:val="0041304B"/>
    <w:rsid w:val="00413083"/>
    <w:rsid w:val="00413A2C"/>
    <w:rsid w:val="00413E2D"/>
    <w:rsid w:val="00414495"/>
    <w:rsid w:val="00414506"/>
    <w:rsid w:val="004147E7"/>
    <w:rsid w:val="00414BD9"/>
    <w:rsid w:val="004154B7"/>
    <w:rsid w:val="00415BEC"/>
    <w:rsid w:val="00415D86"/>
    <w:rsid w:val="00416146"/>
    <w:rsid w:val="00417E1D"/>
    <w:rsid w:val="00417EB9"/>
    <w:rsid w:val="004212F4"/>
    <w:rsid w:val="00423333"/>
    <w:rsid w:val="00424492"/>
    <w:rsid w:val="00424646"/>
    <w:rsid w:val="00425D54"/>
    <w:rsid w:val="0042666C"/>
    <w:rsid w:val="0042684E"/>
    <w:rsid w:val="004272EF"/>
    <w:rsid w:val="004308A4"/>
    <w:rsid w:val="00430CC8"/>
    <w:rsid w:val="004323AD"/>
    <w:rsid w:val="004323C7"/>
    <w:rsid w:val="00432F34"/>
    <w:rsid w:val="00433CCE"/>
    <w:rsid w:val="00433EF6"/>
    <w:rsid w:val="0043487E"/>
    <w:rsid w:val="00434D92"/>
    <w:rsid w:val="00435630"/>
    <w:rsid w:val="00435F3A"/>
    <w:rsid w:val="004361D8"/>
    <w:rsid w:val="00436590"/>
    <w:rsid w:val="0043686B"/>
    <w:rsid w:val="00436F72"/>
    <w:rsid w:val="004373C8"/>
    <w:rsid w:val="00437676"/>
    <w:rsid w:val="00437DEE"/>
    <w:rsid w:val="00437F01"/>
    <w:rsid w:val="00440BF4"/>
    <w:rsid w:val="00440DB6"/>
    <w:rsid w:val="00440E53"/>
    <w:rsid w:val="00441BFE"/>
    <w:rsid w:val="00441C4F"/>
    <w:rsid w:val="00441FCA"/>
    <w:rsid w:val="00442281"/>
    <w:rsid w:val="00442410"/>
    <w:rsid w:val="00443568"/>
    <w:rsid w:val="004435C5"/>
    <w:rsid w:val="00443C1A"/>
    <w:rsid w:val="00443EE1"/>
    <w:rsid w:val="004450E8"/>
    <w:rsid w:val="0044552A"/>
    <w:rsid w:val="00445604"/>
    <w:rsid w:val="00445945"/>
    <w:rsid w:val="0044706E"/>
    <w:rsid w:val="00447924"/>
    <w:rsid w:val="004479F4"/>
    <w:rsid w:val="004504A3"/>
    <w:rsid w:val="0045099A"/>
    <w:rsid w:val="00450C49"/>
    <w:rsid w:val="004516DA"/>
    <w:rsid w:val="004518C6"/>
    <w:rsid w:val="004527F6"/>
    <w:rsid w:val="00452C1E"/>
    <w:rsid w:val="00452C61"/>
    <w:rsid w:val="00452FAE"/>
    <w:rsid w:val="004538E1"/>
    <w:rsid w:val="00453C05"/>
    <w:rsid w:val="004543F4"/>
    <w:rsid w:val="00454BB3"/>
    <w:rsid w:val="004550EC"/>
    <w:rsid w:val="0045535F"/>
    <w:rsid w:val="00455432"/>
    <w:rsid w:val="004557E0"/>
    <w:rsid w:val="00455E03"/>
    <w:rsid w:val="0045633B"/>
    <w:rsid w:val="004569CA"/>
    <w:rsid w:val="00456A97"/>
    <w:rsid w:val="004574EA"/>
    <w:rsid w:val="00457AB3"/>
    <w:rsid w:val="00460197"/>
    <w:rsid w:val="004602FF"/>
    <w:rsid w:val="00460605"/>
    <w:rsid w:val="00460DE9"/>
    <w:rsid w:val="00461479"/>
    <w:rsid w:val="00461B63"/>
    <w:rsid w:val="004623A6"/>
    <w:rsid w:val="004623D9"/>
    <w:rsid w:val="00462B08"/>
    <w:rsid w:val="00462B95"/>
    <w:rsid w:val="00462EED"/>
    <w:rsid w:val="004631EA"/>
    <w:rsid w:val="00463494"/>
    <w:rsid w:val="00463BE7"/>
    <w:rsid w:val="00464554"/>
    <w:rsid w:val="00465BC1"/>
    <w:rsid w:val="00465BE5"/>
    <w:rsid w:val="004660B7"/>
    <w:rsid w:val="0046641B"/>
    <w:rsid w:val="00466AA7"/>
    <w:rsid w:val="00466F8D"/>
    <w:rsid w:val="0046777D"/>
    <w:rsid w:val="004677B1"/>
    <w:rsid w:val="00467E11"/>
    <w:rsid w:val="00467E1D"/>
    <w:rsid w:val="0047035F"/>
    <w:rsid w:val="00470EA4"/>
    <w:rsid w:val="00471490"/>
    <w:rsid w:val="00471648"/>
    <w:rsid w:val="00471C82"/>
    <w:rsid w:val="00472721"/>
    <w:rsid w:val="00472A77"/>
    <w:rsid w:val="00472ECD"/>
    <w:rsid w:val="00472F80"/>
    <w:rsid w:val="00473072"/>
    <w:rsid w:val="0047362C"/>
    <w:rsid w:val="004737A3"/>
    <w:rsid w:val="004738EA"/>
    <w:rsid w:val="00473A38"/>
    <w:rsid w:val="00473A94"/>
    <w:rsid w:val="004744DA"/>
    <w:rsid w:val="004747B9"/>
    <w:rsid w:val="00474D11"/>
    <w:rsid w:val="00475A9D"/>
    <w:rsid w:val="00476327"/>
    <w:rsid w:val="00476DDF"/>
    <w:rsid w:val="004772A2"/>
    <w:rsid w:val="00477FC5"/>
    <w:rsid w:val="00480830"/>
    <w:rsid w:val="0048099C"/>
    <w:rsid w:val="00480A26"/>
    <w:rsid w:val="00480B18"/>
    <w:rsid w:val="00481EE1"/>
    <w:rsid w:val="00481F2D"/>
    <w:rsid w:val="004826D7"/>
    <w:rsid w:val="00482C9F"/>
    <w:rsid w:val="00482D23"/>
    <w:rsid w:val="00483B82"/>
    <w:rsid w:val="00483BF5"/>
    <w:rsid w:val="00484162"/>
    <w:rsid w:val="004843EF"/>
    <w:rsid w:val="00485532"/>
    <w:rsid w:val="00485F04"/>
    <w:rsid w:val="0048631F"/>
    <w:rsid w:val="004865E5"/>
    <w:rsid w:val="0048698F"/>
    <w:rsid w:val="00486ECE"/>
    <w:rsid w:val="00487983"/>
    <w:rsid w:val="00487A64"/>
    <w:rsid w:val="0049009F"/>
    <w:rsid w:val="004907CE"/>
    <w:rsid w:val="00491519"/>
    <w:rsid w:val="004915DD"/>
    <w:rsid w:val="004917A3"/>
    <w:rsid w:val="00491B09"/>
    <w:rsid w:val="00492D28"/>
    <w:rsid w:val="00494A9A"/>
    <w:rsid w:val="00494F47"/>
    <w:rsid w:val="004955B5"/>
    <w:rsid w:val="00495EC7"/>
    <w:rsid w:val="00495F06"/>
    <w:rsid w:val="0049604E"/>
    <w:rsid w:val="004966C3"/>
    <w:rsid w:val="0049682D"/>
    <w:rsid w:val="00496D92"/>
    <w:rsid w:val="00496FDB"/>
    <w:rsid w:val="00497941"/>
    <w:rsid w:val="00497B63"/>
    <w:rsid w:val="00497DAA"/>
    <w:rsid w:val="004A00D2"/>
    <w:rsid w:val="004A096B"/>
    <w:rsid w:val="004A0A69"/>
    <w:rsid w:val="004A1409"/>
    <w:rsid w:val="004A16D5"/>
    <w:rsid w:val="004A18E2"/>
    <w:rsid w:val="004A1D6B"/>
    <w:rsid w:val="004A1EFD"/>
    <w:rsid w:val="004A26AA"/>
    <w:rsid w:val="004A27C4"/>
    <w:rsid w:val="004A288C"/>
    <w:rsid w:val="004A2FFD"/>
    <w:rsid w:val="004A3209"/>
    <w:rsid w:val="004A3BCD"/>
    <w:rsid w:val="004A4117"/>
    <w:rsid w:val="004A4738"/>
    <w:rsid w:val="004A478B"/>
    <w:rsid w:val="004A48A0"/>
    <w:rsid w:val="004A4F14"/>
    <w:rsid w:val="004A565A"/>
    <w:rsid w:val="004A5BDD"/>
    <w:rsid w:val="004A5CA7"/>
    <w:rsid w:val="004A694E"/>
    <w:rsid w:val="004A796F"/>
    <w:rsid w:val="004B0B51"/>
    <w:rsid w:val="004B1C5D"/>
    <w:rsid w:val="004B21B0"/>
    <w:rsid w:val="004B2600"/>
    <w:rsid w:val="004B2734"/>
    <w:rsid w:val="004B2A6A"/>
    <w:rsid w:val="004B2B21"/>
    <w:rsid w:val="004B2DF3"/>
    <w:rsid w:val="004B2EF5"/>
    <w:rsid w:val="004B33C9"/>
    <w:rsid w:val="004B48E9"/>
    <w:rsid w:val="004B4FEE"/>
    <w:rsid w:val="004B52DA"/>
    <w:rsid w:val="004B55C5"/>
    <w:rsid w:val="004B55E3"/>
    <w:rsid w:val="004B5A77"/>
    <w:rsid w:val="004B676F"/>
    <w:rsid w:val="004B6B1B"/>
    <w:rsid w:val="004B7565"/>
    <w:rsid w:val="004B7641"/>
    <w:rsid w:val="004B7678"/>
    <w:rsid w:val="004B7B88"/>
    <w:rsid w:val="004B7E97"/>
    <w:rsid w:val="004B7F29"/>
    <w:rsid w:val="004B7F8C"/>
    <w:rsid w:val="004C02C8"/>
    <w:rsid w:val="004C0F48"/>
    <w:rsid w:val="004C1454"/>
    <w:rsid w:val="004C22B8"/>
    <w:rsid w:val="004C232D"/>
    <w:rsid w:val="004C2EDB"/>
    <w:rsid w:val="004C2FDC"/>
    <w:rsid w:val="004C2FE8"/>
    <w:rsid w:val="004C3153"/>
    <w:rsid w:val="004C480A"/>
    <w:rsid w:val="004C4BD7"/>
    <w:rsid w:val="004C4D40"/>
    <w:rsid w:val="004C4D9F"/>
    <w:rsid w:val="004C4E63"/>
    <w:rsid w:val="004C5782"/>
    <w:rsid w:val="004C618A"/>
    <w:rsid w:val="004C665B"/>
    <w:rsid w:val="004C6832"/>
    <w:rsid w:val="004C7109"/>
    <w:rsid w:val="004C71BA"/>
    <w:rsid w:val="004C7325"/>
    <w:rsid w:val="004C7545"/>
    <w:rsid w:val="004C79AD"/>
    <w:rsid w:val="004C7B74"/>
    <w:rsid w:val="004C7E96"/>
    <w:rsid w:val="004C7F97"/>
    <w:rsid w:val="004D008D"/>
    <w:rsid w:val="004D07E7"/>
    <w:rsid w:val="004D0BBA"/>
    <w:rsid w:val="004D14EE"/>
    <w:rsid w:val="004D18F8"/>
    <w:rsid w:val="004D1A92"/>
    <w:rsid w:val="004D1D9C"/>
    <w:rsid w:val="004D1DD2"/>
    <w:rsid w:val="004D2C4C"/>
    <w:rsid w:val="004D2C8A"/>
    <w:rsid w:val="004D2D44"/>
    <w:rsid w:val="004D3011"/>
    <w:rsid w:val="004D345D"/>
    <w:rsid w:val="004D35A7"/>
    <w:rsid w:val="004D3A18"/>
    <w:rsid w:val="004D3C75"/>
    <w:rsid w:val="004D430C"/>
    <w:rsid w:val="004D4E76"/>
    <w:rsid w:val="004D501B"/>
    <w:rsid w:val="004D5770"/>
    <w:rsid w:val="004D5CD9"/>
    <w:rsid w:val="004D5F21"/>
    <w:rsid w:val="004D6356"/>
    <w:rsid w:val="004D6BCF"/>
    <w:rsid w:val="004D6C2F"/>
    <w:rsid w:val="004D71E9"/>
    <w:rsid w:val="004D7356"/>
    <w:rsid w:val="004D7601"/>
    <w:rsid w:val="004D79C0"/>
    <w:rsid w:val="004D7EDE"/>
    <w:rsid w:val="004E09DC"/>
    <w:rsid w:val="004E0F48"/>
    <w:rsid w:val="004E0FC4"/>
    <w:rsid w:val="004E1583"/>
    <w:rsid w:val="004E1639"/>
    <w:rsid w:val="004E1D25"/>
    <w:rsid w:val="004E1F84"/>
    <w:rsid w:val="004E206D"/>
    <w:rsid w:val="004E2A1D"/>
    <w:rsid w:val="004E3517"/>
    <w:rsid w:val="004E42B5"/>
    <w:rsid w:val="004E4382"/>
    <w:rsid w:val="004E45EF"/>
    <w:rsid w:val="004E4E3F"/>
    <w:rsid w:val="004E5DDD"/>
    <w:rsid w:val="004E5FD3"/>
    <w:rsid w:val="004E618D"/>
    <w:rsid w:val="004E629C"/>
    <w:rsid w:val="004E6E45"/>
    <w:rsid w:val="004E7992"/>
    <w:rsid w:val="004F0201"/>
    <w:rsid w:val="004F0286"/>
    <w:rsid w:val="004F0D2D"/>
    <w:rsid w:val="004F130F"/>
    <w:rsid w:val="004F1A21"/>
    <w:rsid w:val="004F2540"/>
    <w:rsid w:val="004F2FB6"/>
    <w:rsid w:val="004F3189"/>
    <w:rsid w:val="004F3211"/>
    <w:rsid w:val="004F3A7B"/>
    <w:rsid w:val="004F3D2D"/>
    <w:rsid w:val="004F3DCC"/>
    <w:rsid w:val="004F3E4F"/>
    <w:rsid w:val="004F41BF"/>
    <w:rsid w:val="004F444B"/>
    <w:rsid w:val="004F4864"/>
    <w:rsid w:val="004F4DD2"/>
    <w:rsid w:val="004F50D2"/>
    <w:rsid w:val="004F55F7"/>
    <w:rsid w:val="004F5A57"/>
    <w:rsid w:val="004F5DF2"/>
    <w:rsid w:val="004F68A8"/>
    <w:rsid w:val="004F7384"/>
    <w:rsid w:val="0050076D"/>
    <w:rsid w:val="0050089E"/>
    <w:rsid w:val="00500F28"/>
    <w:rsid w:val="00501DB2"/>
    <w:rsid w:val="00501E81"/>
    <w:rsid w:val="00501ECF"/>
    <w:rsid w:val="005024ED"/>
    <w:rsid w:val="00502A1A"/>
    <w:rsid w:val="00503B05"/>
    <w:rsid w:val="0050510D"/>
    <w:rsid w:val="00506022"/>
    <w:rsid w:val="00506937"/>
    <w:rsid w:val="00507A3A"/>
    <w:rsid w:val="00507D32"/>
    <w:rsid w:val="00510252"/>
    <w:rsid w:val="00510653"/>
    <w:rsid w:val="005111B7"/>
    <w:rsid w:val="005115B2"/>
    <w:rsid w:val="005118C6"/>
    <w:rsid w:val="00511CF3"/>
    <w:rsid w:val="005120FE"/>
    <w:rsid w:val="00512135"/>
    <w:rsid w:val="0051222C"/>
    <w:rsid w:val="0051246A"/>
    <w:rsid w:val="00512696"/>
    <w:rsid w:val="005137DD"/>
    <w:rsid w:val="00513CFC"/>
    <w:rsid w:val="00513DC4"/>
    <w:rsid w:val="005149CD"/>
    <w:rsid w:val="00514AC4"/>
    <w:rsid w:val="00515032"/>
    <w:rsid w:val="0051575E"/>
    <w:rsid w:val="0051589E"/>
    <w:rsid w:val="005159B9"/>
    <w:rsid w:val="00515A89"/>
    <w:rsid w:val="00515EBB"/>
    <w:rsid w:val="005161AC"/>
    <w:rsid w:val="00516C10"/>
    <w:rsid w:val="00516C7B"/>
    <w:rsid w:val="00516E94"/>
    <w:rsid w:val="00517526"/>
    <w:rsid w:val="005201B1"/>
    <w:rsid w:val="005203C8"/>
    <w:rsid w:val="00520862"/>
    <w:rsid w:val="00520D5A"/>
    <w:rsid w:val="00520FF5"/>
    <w:rsid w:val="00521219"/>
    <w:rsid w:val="00521785"/>
    <w:rsid w:val="00521B97"/>
    <w:rsid w:val="00522D7C"/>
    <w:rsid w:val="00523257"/>
    <w:rsid w:val="00523A1D"/>
    <w:rsid w:val="005243D9"/>
    <w:rsid w:val="00524554"/>
    <w:rsid w:val="0052588C"/>
    <w:rsid w:val="00525D4F"/>
    <w:rsid w:val="0052623C"/>
    <w:rsid w:val="0052659A"/>
    <w:rsid w:val="00526BED"/>
    <w:rsid w:val="00526E7E"/>
    <w:rsid w:val="00526F44"/>
    <w:rsid w:val="005272CD"/>
    <w:rsid w:val="0052745B"/>
    <w:rsid w:val="005275E1"/>
    <w:rsid w:val="00527799"/>
    <w:rsid w:val="0053030D"/>
    <w:rsid w:val="00530341"/>
    <w:rsid w:val="0053059D"/>
    <w:rsid w:val="00530956"/>
    <w:rsid w:val="00530EAE"/>
    <w:rsid w:val="00530F9F"/>
    <w:rsid w:val="005318D5"/>
    <w:rsid w:val="005322E4"/>
    <w:rsid w:val="005331CD"/>
    <w:rsid w:val="005331E8"/>
    <w:rsid w:val="00533748"/>
    <w:rsid w:val="005349B3"/>
    <w:rsid w:val="00535022"/>
    <w:rsid w:val="005358B0"/>
    <w:rsid w:val="00535A6A"/>
    <w:rsid w:val="005366B3"/>
    <w:rsid w:val="00536973"/>
    <w:rsid w:val="00536DB8"/>
    <w:rsid w:val="00537139"/>
    <w:rsid w:val="005372FE"/>
    <w:rsid w:val="00537D0C"/>
    <w:rsid w:val="00540512"/>
    <w:rsid w:val="00541054"/>
    <w:rsid w:val="00541DEE"/>
    <w:rsid w:val="00541E2A"/>
    <w:rsid w:val="00542003"/>
    <w:rsid w:val="00542335"/>
    <w:rsid w:val="005426CB"/>
    <w:rsid w:val="00542E1F"/>
    <w:rsid w:val="00543570"/>
    <w:rsid w:val="005435CA"/>
    <w:rsid w:val="00543887"/>
    <w:rsid w:val="00543C10"/>
    <w:rsid w:val="0054444F"/>
    <w:rsid w:val="00545DD9"/>
    <w:rsid w:val="00545EEA"/>
    <w:rsid w:val="00546182"/>
    <w:rsid w:val="005462B7"/>
    <w:rsid w:val="00546357"/>
    <w:rsid w:val="005463E2"/>
    <w:rsid w:val="0054661D"/>
    <w:rsid w:val="00547CF4"/>
    <w:rsid w:val="00547F57"/>
    <w:rsid w:val="00550227"/>
    <w:rsid w:val="00550EAA"/>
    <w:rsid w:val="00550FB7"/>
    <w:rsid w:val="00551387"/>
    <w:rsid w:val="00551877"/>
    <w:rsid w:val="00551B3D"/>
    <w:rsid w:val="00551E40"/>
    <w:rsid w:val="0055263F"/>
    <w:rsid w:val="00552DD2"/>
    <w:rsid w:val="00553D9A"/>
    <w:rsid w:val="00554578"/>
    <w:rsid w:val="0055520C"/>
    <w:rsid w:val="0055576F"/>
    <w:rsid w:val="00555CB7"/>
    <w:rsid w:val="0055617D"/>
    <w:rsid w:val="00556F85"/>
    <w:rsid w:val="00557100"/>
    <w:rsid w:val="00560562"/>
    <w:rsid w:val="0056058A"/>
    <w:rsid w:val="005609F8"/>
    <w:rsid w:val="00560C9D"/>
    <w:rsid w:val="005612A2"/>
    <w:rsid w:val="005615F6"/>
    <w:rsid w:val="00561663"/>
    <w:rsid w:val="0056166C"/>
    <w:rsid w:val="00561C43"/>
    <w:rsid w:val="00562493"/>
    <w:rsid w:val="005628B6"/>
    <w:rsid w:val="00562CDC"/>
    <w:rsid w:val="00563361"/>
    <w:rsid w:val="0056381A"/>
    <w:rsid w:val="00563A16"/>
    <w:rsid w:val="00563BA8"/>
    <w:rsid w:val="00563CE6"/>
    <w:rsid w:val="005640C6"/>
    <w:rsid w:val="00564318"/>
    <w:rsid w:val="00564348"/>
    <w:rsid w:val="0056459D"/>
    <w:rsid w:val="005646FE"/>
    <w:rsid w:val="00564C86"/>
    <w:rsid w:val="00564F6A"/>
    <w:rsid w:val="005650DF"/>
    <w:rsid w:val="00566D6C"/>
    <w:rsid w:val="00567844"/>
    <w:rsid w:val="00567FF6"/>
    <w:rsid w:val="005702F6"/>
    <w:rsid w:val="00570414"/>
    <w:rsid w:val="00570A08"/>
    <w:rsid w:val="00570F36"/>
    <w:rsid w:val="00571306"/>
    <w:rsid w:val="0057201D"/>
    <w:rsid w:val="005728A3"/>
    <w:rsid w:val="00572E7D"/>
    <w:rsid w:val="00572FA2"/>
    <w:rsid w:val="00573CB4"/>
    <w:rsid w:val="00574D99"/>
    <w:rsid w:val="00575169"/>
    <w:rsid w:val="00575359"/>
    <w:rsid w:val="0057579D"/>
    <w:rsid w:val="00577613"/>
    <w:rsid w:val="00577AE5"/>
    <w:rsid w:val="0058020B"/>
    <w:rsid w:val="005806EB"/>
    <w:rsid w:val="0058148A"/>
    <w:rsid w:val="00581A9E"/>
    <w:rsid w:val="00581E8C"/>
    <w:rsid w:val="00583E32"/>
    <w:rsid w:val="00583FF6"/>
    <w:rsid w:val="00584494"/>
    <w:rsid w:val="005847E1"/>
    <w:rsid w:val="005849A2"/>
    <w:rsid w:val="00584DE3"/>
    <w:rsid w:val="00584DE4"/>
    <w:rsid w:val="00585096"/>
    <w:rsid w:val="005851BF"/>
    <w:rsid w:val="005855FF"/>
    <w:rsid w:val="0058571C"/>
    <w:rsid w:val="00585EC5"/>
    <w:rsid w:val="0058643A"/>
    <w:rsid w:val="00590D84"/>
    <w:rsid w:val="00591093"/>
    <w:rsid w:val="005910D5"/>
    <w:rsid w:val="005918F9"/>
    <w:rsid w:val="00592AAA"/>
    <w:rsid w:val="00592D9E"/>
    <w:rsid w:val="00592DBF"/>
    <w:rsid w:val="005932DD"/>
    <w:rsid w:val="005938D4"/>
    <w:rsid w:val="00594270"/>
    <w:rsid w:val="005944C2"/>
    <w:rsid w:val="005944F8"/>
    <w:rsid w:val="00594605"/>
    <w:rsid w:val="00594F4A"/>
    <w:rsid w:val="0059579D"/>
    <w:rsid w:val="00596A54"/>
    <w:rsid w:val="00596FCB"/>
    <w:rsid w:val="005971F1"/>
    <w:rsid w:val="00597A17"/>
    <w:rsid w:val="00597B43"/>
    <w:rsid w:val="005A0704"/>
    <w:rsid w:val="005A10C1"/>
    <w:rsid w:val="005A12FE"/>
    <w:rsid w:val="005A1437"/>
    <w:rsid w:val="005A19AB"/>
    <w:rsid w:val="005A1B7E"/>
    <w:rsid w:val="005A1F6A"/>
    <w:rsid w:val="005A2048"/>
    <w:rsid w:val="005A23B2"/>
    <w:rsid w:val="005A35E0"/>
    <w:rsid w:val="005A3B1F"/>
    <w:rsid w:val="005A3CB1"/>
    <w:rsid w:val="005A3FCF"/>
    <w:rsid w:val="005A45EA"/>
    <w:rsid w:val="005A476C"/>
    <w:rsid w:val="005A6845"/>
    <w:rsid w:val="005A7321"/>
    <w:rsid w:val="005A7793"/>
    <w:rsid w:val="005A7B53"/>
    <w:rsid w:val="005A7E5E"/>
    <w:rsid w:val="005B04AD"/>
    <w:rsid w:val="005B06F0"/>
    <w:rsid w:val="005B07C0"/>
    <w:rsid w:val="005B0FB5"/>
    <w:rsid w:val="005B1E9D"/>
    <w:rsid w:val="005B2650"/>
    <w:rsid w:val="005B2F11"/>
    <w:rsid w:val="005B31A8"/>
    <w:rsid w:val="005B3694"/>
    <w:rsid w:val="005B4FA4"/>
    <w:rsid w:val="005B514A"/>
    <w:rsid w:val="005B5715"/>
    <w:rsid w:val="005B59DC"/>
    <w:rsid w:val="005B5B5D"/>
    <w:rsid w:val="005B5EE2"/>
    <w:rsid w:val="005B62AE"/>
    <w:rsid w:val="005B64D7"/>
    <w:rsid w:val="005B67B6"/>
    <w:rsid w:val="005B6B22"/>
    <w:rsid w:val="005C0443"/>
    <w:rsid w:val="005C055C"/>
    <w:rsid w:val="005C061C"/>
    <w:rsid w:val="005C08AD"/>
    <w:rsid w:val="005C0C32"/>
    <w:rsid w:val="005C0DFB"/>
    <w:rsid w:val="005C10E4"/>
    <w:rsid w:val="005C1B5E"/>
    <w:rsid w:val="005C2838"/>
    <w:rsid w:val="005C2A63"/>
    <w:rsid w:val="005C2FCB"/>
    <w:rsid w:val="005C36F5"/>
    <w:rsid w:val="005C3BAE"/>
    <w:rsid w:val="005C3DB0"/>
    <w:rsid w:val="005C4697"/>
    <w:rsid w:val="005C48B4"/>
    <w:rsid w:val="005C4BEC"/>
    <w:rsid w:val="005C4C35"/>
    <w:rsid w:val="005C53C7"/>
    <w:rsid w:val="005C59FA"/>
    <w:rsid w:val="005C5A41"/>
    <w:rsid w:val="005C5BC3"/>
    <w:rsid w:val="005C5E28"/>
    <w:rsid w:val="005C5EF3"/>
    <w:rsid w:val="005C66F1"/>
    <w:rsid w:val="005C6709"/>
    <w:rsid w:val="005C785D"/>
    <w:rsid w:val="005C78C1"/>
    <w:rsid w:val="005C7AE9"/>
    <w:rsid w:val="005D0299"/>
    <w:rsid w:val="005D0900"/>
    <w:rsid w:val="005D12C1"/>
    <w:rsid w:val="005D1375"/>
    <w:rsid w:val="005D18DF"/>
    <w:rsid w:val="005D27FA"/>
    <w:rsid w:val="005D3639"/>
    <w:rsid w:val="005D3653"/>
    <w:rsid w:val="005D40BC"/>
    <w:rsid w:val="005D420E"/>
    <w:rsid w:val="005D5A77"/>
    <w:rsid w:val="005D5E28"/>
    <w:rsid w:val="005D5E64"/>
    <w:rsid w:val="005D5EDD"/>
    <w:rsid w:val="005D63C2"/>
    <w:rsid w:val="005D6591"/>
    <w:rsid w:val="005D69B3"/>
    <w:rsid w:val="005D6E94"/>
    <w:rsid w:val="005D6F54"/>
    <w:rsid w:val="005D730E"/>
    <w:rsid w:val="005E0C4B"/>
    <w:rsid w:val="005E1625"/>
    <w:rsid w:val="005E1CB4"/>
    <w:rsid w:val="005E24A0"/>
    <w:rsid w:val="005E24B4"/>
    <w:rsid w:val="005E28AA"/>
    <w:rsid w:val="005E2CF2"/>
    <w:rsid w:val="005E3CD2"/>
    <w:rsid w:val="005E401A"/>
    <w:rsid w:val="005E4168"/>
    <w:rsid w:val="005E4394"/>
    <w:rsid w:val="005E46BD"/>
    <w:rsid w:val="005E56AB"/>
    <w:rsid w:val="005E5745"/>
    <w:rsid w:val="005E5783"/>
    <w:rsid w:val="005E5C07"/>
    <w:rsid w:val="005E62AE"/>
    <w:rsid w:val="005E6445"/>
    <w:rsid w:val="005E6D31"/>
    <w:rsid w:val="005E6E8D"/>
    <w:rsid w:val="005E6EFB"/>
    <w:rsid w:val="005E72C8"/>
    <w:rsid w:val="005E7A7A"/>
    <w:rsid w:val="005E7E1C"/>
    <w:rsid w:val="005F00AC"/>
    <w:rsid w:val="005F020D"/>
    <w:rsid w:val="005F051D"/>
    <w:rsid w:val="005F0A90"/>
    <w:rsid w:val="005F0EEF"/>
    <w:rsid w:val="005F1011"/>
    <w:rsid w:val="005F1602"/>
    <w:rsid w:val="005F2825"/>
    <w:rsid w:val="005F2836"/>
    <w:rsid w:val="005F389E"/>
    <w:rsid w:val="005F3D04"/>
    <w:rsid w:val="005F46FA"/>
    <w:rsid w:val="005F4BF7"/>
    <w:rsid w:val="005F5A8F"/>
    <w:rsid w:val="005F5E46"/>
    <w:rsid w:val="005F7585"/>
    <w:rsid w:val="005F7F30"/>
    <w:rsid w:val="00600A7E"/>
    <w:rsid w:val="006018FC"/>
    <w:rsid w:val="00601981"/>
    <w:rsid w:val="00601ACD"/>
    <w:rsid w:val="0060259F"/>
    <w:rsid w:val="0060287C"/>
    <w:rsid w:val="00602BF6"/>
    <w:rsid w:val="006045A0"/>
    <w:rsid w:val="00604896"/>
    <w:rsid w:val="00605186"/>
    <w:rsid w:val="006062D5"/>
    <w:rsid w:val="00607092"/>
    <w:rsid w:val="006079EE"/>
    <w:rsid w:val="00607B1A"/>
    <w:rsid w:val="00607DA3"/>
    <w:rsid w:val="006100C1"/>
    <w:rsid w:val="00610198"/>
    <w:rsid w:val="006104BC"/>
    <w:rsid w:val="00610BD0"/>
    <w:rsid w:val="00610C35"/>
    <w:rsid w:val="0061110A"/>
    <w:rsid w:val="006117F4"/>
    <w:rsid w:val="0061193F"/>
    <w:rsid w:val="00611966"/>
    <w:rsid w:val="00611BE2"/>
    <w:rsid w:val="00612941"/>
    <w:rsid w:val="00613285"/>
    <w:rsid w:val="0061349D"/>
    <w:rsid w:val="00613739"/>
    <w:rsid w:val="00613920"/>
    <w:rsid w:val="00613DCE"/>
    <w:rsid w:val="00614678"/>
    <w:rsid w:val="00614E72"/>
    <w:rsid w:val="006153F8"/>
    <w:rsid w:val="00615CA5"/>
    <w:rsid w:val="00616BC9"/>
    <w:rsid w:val="00617FEC"/>
    <w:rsid w:val="006204E1"/>
    <w:rsid w:val="00620902"/>
    <w:rsid w:val="006209AA"/>
    <w:rsid w:val="00620C1B"/>
    <w:rsid w:val="00621210"/>
    <w:rsid w:val="00621234"/>
    <w:rsid w:val="00621CF4"/>
    <w:rsid w:val="00622258"/>
    <w:rsid w:val="006226CD"/>
    <w:rsid w:val="00622BCF"/>
    <w:rsid w:val="006231F5"/>
    <w:rsid w:val="0062326E"/>
    <w:rsid w:val="00623650"/>
    <w:rsid w:val="00623872"/>
    <w:rsid w:val="00623E85"/>
    <w:rsid w:val="006247AB"/>
    <w:rsid w:val="00624B67"/>
    <w:rsid w:val="00624FA6"/>
    <w:rsid w:val="00625BD0"/>
    <w:rsid w:val="00625E47"/>
    <w:rsid w:val="00625FD5"/>
    <w:rsid w:val="00626308"/>
    <w:rsid w:val="00626591"/>
    <w:rsid w:val="006271C7"/>
    <w:rsid w:val="00627B4C"/>
    <w:rsid w:val="00630057"/>
    <w:rsid w:val="006300A0"/>
    <w:rsid w:val="00630C82"/>
    <w:rsid w:val="00630CEC"/>
    <w:rsid w:val="00631214"/>
    <w:rsid w:val="00631942"/>
    <w:rsid w:val="00632200"/>
    <w:rsid w:val="00632442"/>
    <w:rsid w:val="006328BB"/>
    <w:rsid w:val="00632ED3"/>
    <w:rsid w:val="00633613"/>
    <w:rsid w:val="00633933"/>
    <w:rsid w:val="00634EDF"/>
    <w:rsid w:val="006355F9"/>
    <w:rsid w:val="0063694B"/>
    <w:rsid w:val="00636CBB"/>
    <w:rsid w:val="00636CE2"/>
    <w:rsid w:val="00637319"/>
    <w:rsid w:val="006374DE"/>
    <w:rsid w:val="0064017C"/>
    <w:rsid w:val="00640CBA"/>
    <w:rsid w:val="00640CF0"/>
    <w:rsid w:val="00641891"/>
    <w:rsid w:val="0064194C"/>
    <w:rsid w:val="00641C45"/>
    <w:rsid w:val="0064203F"/>
    <w:rsid w:val="00642AD5"/>
    <w:rsid w:val="00642E57"/>
    <w:rsid w:val="006434B0"/>
    <w:rsid w:val="006437B6"/>
    <w:rsid w:val="0064392C"/>
    <w:rsid w:val="00644436"/>
    <w:rsid w:val="00644519"/>
    <w:rsid w:val="00644700"/>
    <w:rsid w:val="00644772"/>
    <w:rsid w:val="00644A4F"/>
    <w:rsid w:val="006454FA"/>
    <w:rsid w:val="00645642"/>
    <w:rsid w:val="006460C3"/>
    <w:rsid w:val="006460F3"/>
    <w:rsid w:val="00646AF0"/>
    <w:rsid w:val="00647A18"/>
    <w:rsid w:val="00647BB6"/>
    <w:rsid w:val="006502E1"/>
    <w:rsid w:val="00650397"/>
    <w:rsid w:val="006508A3"/>
    <w:rsid w:val="00650DB5"/>
    <w:rsid w:val="00651A62"/>
    <w:rsid w:val="00651D55"/>
    <w:rsid w:val="006521C0"/>
    <w:rsid w:val="00652642"/>
    <w:rsid w:val="0065291F"/>
    <w:rsid w:val="006536DC"/>
    <w:rsid w:val="0065371C"/>
    <w:rsid w:val="00653F6E"/>
    <w:rsid w:val="00654A8C"/>
    <w:rsid w:val="00654B29"/>
    <w:rsid w:val="00654C8C"/>
    <w:rsid w:val="00654CBE"/>
    <w:rsid w:val="00654E35"/>
    <w:rsid w:val="00654E8B"/>
    <w:rsid w:val="0065527A"/>
    <w:rsid w:val="00655376"/>
    <w:rsid w:val="006559F9"/>
    <w:rsid w:val="00655BA6"/>
    <w:rsid w:val="00655C4B"/>
    <w:rsid w:val="00657166"/>
    <w:rsid w:val="0065738A"/>
    <w:rsid w:val="00657B7D"/>
    <w:rsid w:val="006600BB"/>
    <w:rsid w:val="0066028F"/>
    <w:rsid w:val="00660698"/>
    <w:rsid w:val="006623BA"/>
    <w:rsid w:val="00662FCE"/>
    <w:rsid w:val="006637FC"/>
    <w:rsid w:val="006639DE"/>
    <w:rsid w:val="00663D55"/>
    <w:rsid w:val="00664386"/>
    <w:rsid w:val="00664402"/>
    <w:rsid w:val="00664901"/>
    <w:rsid w:val="00664D5C"/>
    <w:rsid w:val="00664DE3"/>
    <w:rsid w:val="00665235"/>
    <w:rsid w:val="006654FF"/>
    <w:rsid w:val="0066589C"/>
    <w:rsid w:val="00666145"/>
    <w:rsid w:val="006663A9"/>
    <w:rsid w:val="006665ED"/>
    <w:rsid w:val="006673DB"/>
    <w:rsid w:val="006674AB"/>
    <w:rsid w:val="00667759"/>
    <w:rsid w:val="00667964"/>
    <w:rsid w:val="00670072"/>
    <w:rsid w:val="0067015A"/>
    <w:rsid w:val="006703FC"/>
    <w:rsid w:val="0067067E"/>
    <w:rsid w:val="006706C4"/>
    <w:rsid w:val="00670714"/>
    <w:rsid w:val="00670A20"/>
    <w:rsid w:val="00671B64"/>
    <w:rsid w:val="00672053"/>
    <w:rsid w:val="00672605"/>
    <w:rsid w:val="00672AF6"/>
    <w:rsid w:val="006735DF"/>
    <w:rsid w:val="00673985"/>
    <w:rsid w:val="00673BCA"/>
    <w:rsid w:val="006747FF"/>
    <w:rsid w:val="00674B8E"/>
    <w:rsid w:val="00675610"/>
    <w:rsid w:val="00676004"/>
    <w:rsid w:val="00676BAB"/>
    <w:rsid w:val="00676D39"/>
    <w:rsid w:val="00676DAC"/>
    <w:rsid w:val="00677F9F"/>
    <w:rsid w:val="006800B6"/>
    <w:rsid w:val="0068077B"/>
    <w:rsid w:val="0068097F"/>
    <w:rsid w:val="00680CCC"/>
    <w:rsid w:val="0068167D"/>
    <w:rsid w:val="00681AD9"/>
    <w:rsid w:val="00681CAB"/>
    <w:rsid w:val="006824FC"/>
    <w:rsid w:val="006828BF"/>
    <w:rsid w:val="00682927"/>
    <w:rsid w:val="00682E3F"/>
    <w:rsid w:val="00683493"/>
    <w:rsid w:val="006837AB"/>
    <w:rsid w:val="006845F0"/>
    <w:rsid w:val="00684836"/>
    <w:rsid w:val="006856FB"/>
    <w:rsid w:val="00685FB7"/>
    <w:rsid w:val="006869EE"/>
    <w:rsid w:val="00686A6F"/>
    <w:rsid w:val="00686A88"/>
    <w:rsid w:val="00687A55"/>
    <w:rsid w:val="00687CBA"/>
    <w:rsid w:val="00690160"/>
    <w:rsid w:val="00690B95"/>
    <w:rsid w:val="00690EDB"/>
    <w:rsid w:val="00691C63"/>
    <w:rsid w:val="0069282E"/>
    <w:rsid w:val="00692FA3"/>
    <w:rsid w:val="006938B2"/>
    <w:rsid w:val="00693A2A"/>
    <w:rsid w:val="00693FCB"/>
    <w:rsid w:val="00694052"/>
    <w:rsid w:val="00694DDB"/>
    <w:rsid w:val="00694E93"/>
    <w:rsid w:val="006953EE"/>
    <w:rsid w:val="00695425"/>
    <w:rsid w:val="0069575D"/>
    <w:rsid w:val="00696008"/>
    <w:rsid w:val="0069686E"/>
    <w:rsid w:val="00697411"/>
    <w:rsid w:val="0069742E"/>
    <w:rsid w:val="0069756F"/>
    <w:rsid w:val="00697781"/>
    <w:rsid w:val="00697C51"/>
    <w:rsid w:val="006A05B6"/>
    <w:rsid w:val="006A0719"/>
    <w:rsid w:val="006A1088"/>
    <w:rsid w:val="006A1215"/>
    <w:rsid w:val="006A1B58"/>
    <w:rsid w:val="006A1DBC"/>
    <w:rsid w:val="006A2200"/>
    <w:rsid w:val="006A2497"/>
    <w:rsid w:val="006A2710"/>
    <w:rsid w:val="006A3861"/>
    <w:rsid w:val="006A3930"/>
    <w:rsid w:val="006A3B08"/>
    <w:rsid w:val="006A42D9"/>
    <w:rsid w:val="006A4AF0"/>
    <w:rsid w:val="006A52E4"/>
    <w:rsid w:val="006A53C8"/>
    <w:rsid w:val="006A5505"/>
    <w:rsid w:val="006A58F6"/>
    <w:rsid w:val="006A5ADC"/>
    <w:rsid w:val="006A5AF2"/>
    <w:rsid w:val="006A66B3"/>
    <w:rsid w:val="006A6A67"/>
    <w:rsid w:val="006B09DF"/>
    <w:rsid w:val="006B0A9A"/>
    <w:rsid w:val="006B10E4"/>
    <w:rsid w:val="006B1296"/>
    <w:rsid w:val="006B1317"/>
    <w:rsid w:val="006B15E5"/>
    <w:rsid w:val="006B174A"/>
    <w:rsid w:val="006B47D6"/>
    <w:rsid w:val="006B49AC"/>
    <w:rsid w:val="006B4ACC"/>
    <w:rsid w:val="006B4E4A"/>
    <w:rsid w:val="006B5643"/>
    <w:rsid w:val="006B57EB"/>
    <w:rsid w:val="006B5D2F"/>
    <w:rsid w:val="006B611E"/>
    <w:rsid w:val="006B649A"/>
    <w:rsid w:val="006B679B"/>
    <w:rsid w:val="006B7547"/>
    <w:rsid w:val="006B7562"/>
    <w:rsid w:val="006B7C10"/>
    <w:rsid w:val="006C1300"/>
    <w:rsid w:val="006C13FF"/>
    <w:rsid w:val="006C16A5"/>
    <w:rsid w:val="006C1860"/>
    <w:rsid w:val="006C197B"/>
    <w:rsid w:val="006C1C23"/>
    <w:rsid w:val="006C2404"/>
    <w:rsid w:val="006C2D48"/>
    <w:rsid w:val="006C341A"/>
    <w:rsid w:val="006C37A0"/>
    <w:rsid w:val="006C3EA1"/>
    <w:rsid w:val="006C4829"/>
    <w:rsid w:val="006C4B2E"/>
    <w:rsid w:val="006C4ED1"/>
    <w:rsid w:val="006C5921"/>
    <w:rsid w:val="006C5B2F"/>
    <w:rsid w:val="006C60D8"/>
    <w:rsid w:val="006C6237"/>
    <w:rsid w:val="006C6B34"/>
    <w:rsid w:val="006C6CE5"/>
    <w:rsid w:val="006C6FDF"/>
    <w:rsid w:val="006C70FD"/>
    <w:rsid w:val="006C75F5"/>
    <w:rsid w:val="006C7A1C"/>
    <w:rsid w:val="006C7C02"/>
    <w:rsid w:val="006D01E5"/>
    <w:rsid w:val="006D0B33"/>
    <w:rsid w:val="006D0C84"/>
    <w:rsid w:val="006D127B"/>
    <w:rsid w:val="006D1E6E"/>
    <w:rsid w:val="006D229B"/>
    <w:rsid w:val="006D22A7"/>
    <w:rsid w:val="006D25DA"/>
    <w:rsid w:val="006D2602"/>
    <w:rsid w:val="006D38A3"/>
    <w:rsid w:val="006D3B32"/>
    <w:rsid w:val="006D43CC"/>
    <w:rsid w:val="006D5370"/>
    <w:rsid w:val="006D56FF"/>
    <w:rsid w:val="006D5E31"/>
    <w:rsid w:val="006D618F"/>
    <w:rsid w:val="006D65FE"/>
    <w:rsid w:val="006D6A96"/>
    <w:rsid w:val="006D6B32"/>
    <w:rsid w:val="006D6C8F"/>
    <w:rsid w:val="006D6E37"/>
    <w:rsid w:val="006D792F"/>
    <w:rsid w:val="006E077F"/>
    <w:rsid w:val="006E1517"/>
    <w:rsid w:val="006E20E9"/>
    <w:rsid w:val="006E20F8"/>
    <w:rsid w:val="006E24ED"/>
    <w:rsid w:val="006E2800"/>
    <w:rsid w:val="006E290C"/>
    <w:rsid w:val="006E2E6A"/>
    <w:rsid w:val="006E2F92"/>
    <w:rsid w:val="006E3CC8"/>
    <w:rsid w:val="006E4771"/>
    <w:rsid w:val="006E4D1B"/>
    <w:rsid w:val="006E5744"/>
    <w:rsid w:val="006E588F"/>
    <w:rsid w:val="006E6028"/>
    <w:rsid w:val="006E606E"/>
    <w:rsid w:val="006E639E"/>
    <w:rsid w:val="006E6415"/>
    <w:rsid w:val="006E6B82"/>
    <w:rsid w:val="006E6CC4"/>
    <w:rsid w:val="006E7004"/>
    <w:rsid w:val="006E7541"/>
    <w:rsid w:val="006E7713"/>
    <w:rsid w:val="006E78AF"/>
    <w:rsid w:val="006E7BED"/>
    <w:rsid w:val="006E7CEE"/>
    <w:rsid w:val="006E7D82"/>
    <w:rsid w:val="006F0CAC"/>
    <w:rsid w:val="006F0DF4"/>
    <w:rsid w:val="006F15C4"/>
    <w:rsid w:val="006F2D37"/>
    <w:rsid w:val="006F2E99"/>
    <w:rsid w:val="006F314A"/>
    <w:rsid w:val="006F3439"/>
    <w:rsid w:val="006F412A"/>
    <w:rsid w:val="006F489D"/>
    <w:rsid w:val="006F5276"/>
    <w:rsid w:val="006F5BE3"/>
    <w:rsid w:val="006F6061"/>
    <w:rsid w:val="006F6306"/>
    <w:rsid w:val="006F71A2"/>
    <w:rsid w:val="006F74EC"/>
    <w:rsid w:val="006F782A"/>
    <w:rsid w:val="00700149"/>
    <w:rsid w:val="0070033C"/>
    <w:rsid w:val="00700A90"/>
    <w:rsid w:val="00700B61"/>
    <w:rsid w:val="00702362"/>
    <w:rsid w:val="007023B1"/>
    <w:rsid w:val="007026A2"/>
    <w:rsid w:val="007026A3"/>
    <w:rsid w:val="0070279B"/>
    <w:rsid w:val="00702EF2"/>
    <w:rsid w:val="00703815"/>
    <w:rsid w:val="00704336"/>
    <w:rsid w:val="0070508E"/>
    <w:rsid w:val="007056E5"/>
    <w:rsid w:val="007057DA"/>
    <w:rsid w:val="00705A9E"/>
    <w:rsid w:val="00706FC4"/>
    <w:rsid w:val="007071B0"/>
    <w:rsid w:val="00707867"/>
    <w:rsid w:val="007105CB"/>
    <w:rsid w:val="00710AD1"/>
    <w:rsid w:val="00710C4F"/>
    <w:rsid w:val="007114A1"/>
    <w:rsid w:val="00711BC6"/>
    <w:rsid w:val="00711BF7"/>
    <w:rsid w:val="00711C6C"/>
    <w:rsid w:val="007128F4"/>
    <w:rsid w:val="00712C72"/>
    <w:rsid w:val="00712D1D"/>
    <w:rsid w:val="00713680"/>
    <w:rsid w:val="00714607"/>
    <w:rsid w:val="00714A5A"/>
    <w:rsid w:val="00714B67"/>
    <w:rsid w:val="0071531A"/>
    <w:rsid w:val="00715FEC"/>
    <w:rsid w:val="00716B57"/>
    <w:rsid w:val="007172BB"/>
    <w:rsid w:val="007173F4"/>
    <w:rsid w:val="00717641"/>
    <w:rsid w:val="00717A82"/>
    <w:rsid w:val="00717AC7"/>
    <w:rsid w:val="00717E62"/>
    <w:rsid w:val="0072080B"/>
    <w:rsid w:val="007213F4"/>
    <w:rsid w:val="0072159D"/>
    <w:rsid w:val="007218D6"/>
    <w:rsid w:val="00721B42"/>
    <w:rsid w:val="007220F0"/>
    <w:rsid w:val="0072242A"/>
    <w:rsid w:val="007229A9"/>
    <w:rsid w:val="00722BFD"/>
    <w:rsid w:val="00722D5A"/>
    <w:rsid w:val="00723E52"/>
    <w:rsid w:val="007240FC"/>
    <w:rsid w:val="007241A9"/>
    <w:rsid w:val="0072438A"/>
    <w:rsid w:val="007245DC"/>
    <w:rsid w:val="007250CE"/>
    <w:rsid w:val="0072573D"/>
    <w:rsid w:val="007259BD"/>
    <w:rsid w:val="00725FCF"/>
    <w:rsid w:val="0072624E"/>
    <w:rsid w:val="007263E9"/>
    <w:rsid w:val="00726451"/>
    <w:rsid w:val="0072741B"/>
    <w:rsid w:val="007277C3"/>
    <w:rsid w:val="00727FEC"/>
    <w:rsid w:val="00730C38"/>
    <w:rsid w:val="00731065"/>
    <w:rsid w:val="0073147B"/>
    <w:rsid w:val="007316A0"/>
    <w:rsid w:val="007320AA"/>
    <w:rsid w:val="00732EB6"/>
    <w:rsid w:val="00733DEB"/>
    <w:rsid w:val="00734693"/>
    <w:rsid w:val="007349CD"/>
    <w:rsid w:val="00734FC3"/>
    <w:rsid w:val="00735251"/>
    <w:rsid w:val="00735D25"/>
    <w:rsid w:val="00736DD7"/>
    <w:rsid w:val="00737075"/>
    <w:rsid w:val="007373C5"/>
    <w:rsid w:val="00737475"/>
    <w:rsid w:val="0073787B"/>
    <w:rsid w:val="00737C8D"/>
    <w:rsid w:val="0074017D"/>
    <w:rsid w:val="0074063B"/>
    <w:rsid w:val="00740836"/>
    <w:rsid w:val="00741AAE"/>
    <w:rsid w:val="00741D72"/>
    <w:rsid w:val="007427C6"/>
    <w:rsid w:val="00742DA6"/>
    <w:rsid w:val="00742F5D"/>
    <w:rsid w:val="0074308B"/>
    <w:rsid w:val="00743484"/>
    <w:rsid w:val="007438FD"/>
    <w:rsid w:val="00743E32"/>
    <w:rsid w:val="007443E0"/>
    <w:rsid w:val="00744AA1"/>
    <w:rsid w:val="00744EF9"/>
    <w:rsid w:val="00744FA2"/>
    <w:rsid w:val="007450A7"/>
    <w:rsid w:val="007450D7"/>
    <w:rsid w:val="0074539C"/>
    <w:rsid w:val="00745DF2"/>
    <w:rsid w:val="00746255"/>
    <w:rsid w:val="00746624"/>
    <w:rsid w:val="007466A4"/>
    <w:rsid w:val="00746974"/>
    <w:rsid w:val="00746B00"/>
    <w:rsid w:val="00746D18"/>
    <w:rsid w:val="007472EF"/>
    <w:rsid w:val="007473AC"/>
    <w:rsid w:val="00750B79"/>
    <w:rsid w:val="00750CCA"/>
    <w:rsid w:val="007513C5"/>
    <w:rsid w:val="007513CE"/>
    <w:rsid w:val="00751449"/>
    <w:rsid w:val="007518D4"/>
    <w:rsid w:val="00751CB7"/>
    <w:rsid w:val="0075277A"/>
    <w:rsid w:val="0075298C"/>
    <w:rsid w:val="007533C0"/>
    <w:rsid w:val="00754985"/>
    <w:rsid w:val="00754D2A"/>
    <w:rsid w:val="00755142"/>
    <w:rsid w:val="00755344"/>
    <w:rsid w:val="007558F4"/>
    <w:rsid w:val="00755DDC"/>
    <w:rsid w:val="007560EB"/>
    <w:rsid w:val="00756118"/>
    <w:rsid w:val="007561D0"/>
    <w:rsid w:val="007563EF"/>
    <w:rsid w:val="0075642C"/>
    <w:rsid w:val="007564F3"/>
    <w:rsid w:val="00756575"/>
    <w:rsid w:val="0075668E"/>
    <w:rsid w:val="0075680B"/>
    <w:rsid w:val="00757A0F"/>
    <w:rsid w:val="00757BA5"/>
    <w:rsid w:val="00757C78"/>
    <w:rsid w:val="007608B1"/>
    <w:rsid w:val="00760F8A"/>
    <w:rsid w:val="00761526"/>
    <w:rsid w:val="0076168C"/>
    <w:rsid w:val="00761B09"/>
    <w:rsid w:val="00761B1A"/>
    <w:rsid w:val="00761C03"/>
    <w:rsid w:val="00762259"/>
    <w:rsid w:val="00762C64"/>
    <w:rsid w:val="00762E40"/>
    <w:rsid w:val="00763FE1"/>
    <w:rsid w:val="00764198"/>
    <w:rsid w:val="00764E30"/>
    <w:rsid w:val="00764E85"/>
    <w:rsid w:val="00765CE0"/>
    <w:rsid w:val="00766B5C"/>
    <w:rsid w:val="00766B87"/>
    <w:rsid w:val="0076710B"/>
    <w:rsid w:val="00767A81"/>
    <w:rsid w:val="00767C68"/>
    <w:rsid w:val="00770109"/>
    <w:rsid w:val="00770164"/>
    <w:rsid w:val="007706E6"/>
    <w:rsid w:val="00770BA6"/>
    <w:rsid w:val="00771500"/>
    <w:rsid w:val="0077198D"/>
    <w:rsid w:val="00771FF6"/>
    <w:rsid w:val="007721EE"/>
    <w:rsid w:val="007730F1"/>
    <w:rsid w:val="00773425"/>
    <w:rsid w:val="00773586"/>
    <w:rsid w:val="007745D0"/>
    <w:rsid w:val="007751DA"/>
    <w:rsid w:val="007751EE"/>
    <w:rsid w:val="007766AC"/>
    <w:rsid w:val="00776751"/>
    <w:rsid w:val="00776F69"/>
    <w:rsid w:val="007774BD"/>
    <w:rsid w:val="007802D9"/>
    <w:rsid w:val="00780482"/>
    <w:rsid w:val="007804F1"/>
    <w:rsid w:val="00780945"/>
    <w:rsid w:val="00780966"/>
    <w:rsid w:val="00780FE2"/>
    <w:rsid w:val="007818D6"/>
    <w:rsid w:val="00781CDC"/>
    <w:rsid w:val="00781EE1"/>
    <w:rsid w:val="007826FB"/>
    <w:rsid w:val="007828CE"/>
    <w:rsid w:val="00782DB7"/>
    <w:rsid w:val="00783F98"/>
    <w:rsid w:val="007844C1"/>
    <w:rsid w:val="0078494C"/>
    <w:rsid w:val="00784DC1"/>
    <w:rsid w:val="00784E55"/>
    <w:rsid w:val="0078537D"/>
    <w:rsid w:val="0078562B"/>
    <w:rsid w:val="0078590B"/>
    <w:rsid w:val="00786212"/>
    <w:rsid w:val="00786D6A"/>
    <w:rsid w:val="0078794B"/>
    <w:rsid w:val="00787BB5"/>
    <w:rsid w:val="007901BD"/>
    <w:rsid w:val="00791C40"/>
    <w:rsid w:val="007926EC"/>
    <w:rsid w:val="007927A9"/>
    <w:rsid w:val="0079280F"/>
    <w:rsid w:val="0079322D"/>
    <w:rsid w:val="007934DE"/>
    <w:rsid w:val="007938EA"/>
    <w:rsid w:val="0079549A"/>
    <w:rsid w:val="007959D5"/>
    <w:rsid w:val="00796F68"/>
    <w:rsid w:val="007970D4"/>
    <w:rsid w:val="00797E07"/>
    <w:rsid w:val="007A0525"/>
    <w:rsid w:val="007A063F"/>
    <w:rsid w:val="007A0BF2"/>
    <w:rsid w:val="007A0DD5"/>
    <w:rsid w:val="007A0F0A"/>
    <w:rsid w:val="007A13CD"/>
    <w:rsid w:val="007A1D10"/>
    <w:rsid w:val="007A26C6"/>
    <w:rsid w:val="007A2AF7"/>
    <w:rsid w:val="007A3D5C"/>
    <w:rsid w:val="007A41BA"/>
    <w:rsid w:val="007A4433"/>
    <w:rsid w:val="007A462C"/>
    <w:rsid w:val="007A4946"/>
    <w:rsid w:val="007A5115"/>
    <w:rsid w:val="007A5493"/>
    <w:rsid w:val="007A5539"/>
    <w:rsid w:val="007A573C"/>
    <w:rsid w:val="007A6DCE"/>
    <w:rsid w:val="007A772B"/>
    <w:rsid w:val="007A7DB5"/>
    <w:rsid w:val="007B011F"/>
    <w:rsid w:val="007B06F8"/>
    <w:rsid w:val="007B0CFC"/>
    <w:rsid w:val="007B30AF"/>
    <w:rsid w:val="007B3C85"/>
    <w:rsid w:val="007B464C"/>
    <w:rsid w:val="007B4811"/>
    <w:rsid w:val="007B4A0A"/>
    <w:rsid w:val="007B5251"/>
    <w:rsid w:val="007B63F5"/>
    <w:rsid w:val="007B7070"/>
    <w:rsid w:val="007B774A"/>
    <w:rsid w:val="007B7842"/>
    <w:rsid w:val="007C08F8"/>
    <w:rsid w:val="007C2DFB"/>
    <w:rsid w:val="007C31C8"/>
    <w:rsid w:val="007C3C2D"/>
    <w:rsid w:val="007C3C6B"/>
    <w:rsid w:val="007C3E57"/>
    <w:rsid w:val="007C4780"/>
    <w:rsid w:val="007C508A"/>
    <w:rsid w:val="007C5692"/>
    <w:rsid w:val="007C5CA0"/>
    <w:rsid w:val="007C62FE"/>
    <w:rsid w:val="007C6320"/>
    <w:rsid w:val="007C6AAA"/>
    <w:rsid w:val="007C6AB3"/>
    <w:rsid w:val="007C6E0E"/>
    <w:rsid w:val="007C729D"/>
    <w:rsid w:val="007C770F"/>
    <w:rsid w:val="007C7810"/>
    <w:rsid w:val="007D00EC"/>
    <w:rsid w:val="007D0715"/>
    <w:rsid w:val="007D0B29"/>
    <w:rsid w:val="007D14C6"/>
    <w:rsid w:val="007D1D75"/>
    <w:rsid w:val="007D2B29"/>
    <w:rsid w:val="007D2C2D"/>
    <w:rsid w:val="007D2C6E"/>
    <w:rsid w:val="007D3182"/>
    <w:rsid w:val="007D3BB5"/>
    <w:rsid w:val="007D3CA1"/>
    <w:rsid w:val="007D3E34"/>
    <w:rsid w:val="007D4FD1"/>
    <w:rsid w:val="007D59FB"/>
    <w:rsid w:val="007D5D2F"/>
    <w:rsid w:val="007D60A9"/>
    <w:rsid w:val="007D686B"/>
    <w:rsid w:val="007D6C5A"/>
    <w:rsid w:val="007D72D3"/>
    <w:rsid w:val="007D759C"/>
    <w:rsid w:val="007D78FA"/>
    <w:rsid w:val="007E06DC"/>
    <w:rsid w:val="007E0BA8"/>
    <w:rsid w:val="007E0C17"/>
    <w:rsid w:val="007E15C4"/>
    <w:rsid w:val="007E1687"/>
    <w:rsid w:val="007E20F7"/>
    <w:rsid w:val="007E2A17"/>
    <w:rsid w:val="007E3973"/>
    <w:rsid w:val="007E3A08"/>
    <w:rsid w:val="007E4A83"/>
    <w:rsid w:val="007E5133"/>
    <w:rsid w:val="007E54AE"/>
    <w:rsid w:val="007E56CF"/>
    <w:rsid w:val="007E59B6"/>
    <w:rsid w:val="007E6255"/>
    <w:rsid w:val="007E65C8"/>
    <w:rsid w:val="007E6E1D"/>
    <w:rsid w:val="007E712D"/>
    <w:rsid w:val="007E7854"/>
    <w:rsid w:val="007E7F45"/>
    <w:rsid w:val="007F0519"/>
    <w:rsid w:val="007F0660"/>
    <w:rsid w:val="007F08DD"/>
    <w:rsid w:val="007F13BC"/>
    <w:rsid w:val="007F1BBB"/>
    <w:rsid w:val="007F2523"/>
    <w:rsid w:val="007F2692"/>
    <w:rsid w:val="007F294D"/>
    <w:rsid w:val="007F2E86"/>
    <w:rsid w:val="007F355E"/>
    <w:rsid w:val="007F3574"/>
    <w:rsid w:val="007F3B76"/>
    <w:rsid w:val="007F4271"/>
    <w:rsid w:val="007F4A8D"/>
    <w:rsid w:val="007F4C44"/>
    <w:rsid w:val="007F5120"/>
    <w:rsid w:val="007F5258"/>
    <w:rsid w:val="007F52FE"/>
    <w:rsid w:val="007F5355"/>
    <w:rsid w:val="007F5423"/>
    <w:rsid w:val="007F5806"/>
    <w:rsid w:val="007F5ACB"/>
    <w:rsid w:val="007F6742"/>
    <w:rsid w:val="007F6B9E"/>
    <w:rsid w:val="007F7063"/>
    <w:rsid w:val="007F7437"/>
    <w:rsid w:val="007F76A7"/>
    <w:rsid w:val="008009DA"/>
    <w:rsid w:val="00800C0F"/>
    <w:rsid w:val="008010C1"/>
    <w:rsid w:val="00801115"/>
    <w:rsid w:val="0080132E"/>
    <w:rsid w:val="00801376"/>
    <w:rsid w:val="00801CD2"/>
    <w:rsid w:val="00802558"/>
    <w:rsid w:val="0080294D"/>
    <w:rsid w:val="00802ADF"/>
    <w:rsid w:val="0080376A"/>
    <w:rsid w:val="00803BE2"/>
    <w:rsid w:val="00803D58"/>
    <w:rsid w:val="00803E7B"/>
    <w:rsid w:val="00804898"/>
    <w:rsid w:val="00805211"/>
    <w:rsid w:val="00806407"/>
    <w:rsid w:val="00807288"/>
    <w:rsid w:val="008072C7"/>
    <w:rsid w:val="00807439"/>
    <w:rsid w:val="008076F1"/>
    <w:rsid w:val="00807A98"/>
    <w:rsid w:val="00807DA6"/>
    <w:rsid w:val="00807E64"/>
    <w:rsid w:val="0081045A"/>
    <w:rsid w:val="00810FE0"/>
    <w:rsid w:val="008112C7"/>
    <w:rsid w:val="008113B0"/>
    <w:rsid w:val="00811892"/>
    <w:rsid w:val="008119C6"/>
    <w:rsid w:val="00811DBC"/>
    <w:rsid w:val="0081204C"/>
    <w:rsid w:val="0081211E"/>
    <w:rsid w:val="008122BD"/>
    <w:rsid w:val="0081258E"/>
    <w:rsid w:val="008128BF"/>
    <w:rsid w:val="00812B1B"/>
    <w:rsid w:val="00813172"/>
    <w:rsid w:val="0081360B"/>
    <w:rsid w:val="008138BD"/>
    <w:rsid w:val="008140D8"/>
    <w:rsid w:val="00814100"/>
    <w:rsid w:val="008144B0"/>
    <w:rsid w:val="0081535E"/>
    <w:rsid w:val="008159B4"/>
    <w:rsid w:val="00815D05"/>
    <w:rsid w:val="008164C7"/>
    <w:rsid w:val="008165A6"/>
    <w:rsid w:val="00816BDB"/>
    <w:rsid w:val="008171B9"/>
    <w:rsid w:val="00817860"/>
    <w:rsid w:val="0081795D"/>
    <w:rsid w:val="00817C25"/>
    <w:rsid w:val="00817F3D"/>
    <w:rsid w:val="00817F80"/>
    <w:rsid w:val="00817FD2"/>
    <w:rsid w:val="0082079B"/>
    <w:rsid w:val="00820DC0"/>
    <w:rsid w:val="00820E16"/>
    <w:rsid w:val="008217F3"/>
    <w:rsid w:val="00821843"/>
    <w:rsid w:val="0082201E"/>
    <w:rsid w:val="0082214B"/>
    <w:rsid w:val="008223EE"/>
    <w:rsid w:val="008227A6"/>
    <w:rsid w:val="00822AB5"/>
    <w:rsid w:val="0082300E"/>
    <w:rsid w:val="00823D5E"/>
    <w:rsid w:val="00823E1D"/>
    <w:rsid w:val="00824383"/>
    <w:rsid w:val="008249FA"/>
    <w:rsid w:val="00824CFB"/>
    <w:rsid w:val="00825044"/>
    <w:rsid w:val="0082555D"/>
    <w:rsid w:val="00826B08"/>
    <w:rsid w:val="00826C2A"/>
    <w:rsid w:val="00827009"/>
    <w:rsid w:val="0082731E"/>
    <w:rsid w:val="008300A0"/>
    <w:rsid w:val="0083060F"/>
    <w:rsid w:val="00830770"/>
    <w:rsid w:val="00830EE4"/>
    <w:rsid w:val="00830F28"/>
    <w:rsid w:val="008312F4"/>
    <w:rsid w:val="00831D2F"/>
    <w:rsid w:val="00832EDD"/>
    <w:rsid w:val="00832FCE"/>
    <w:rsid w:val="00833AB8"/>
    <w:rsid w:val="00833C8B"/>
    <w:rsid w:val="00833E60"/>
    <w:rsid w:val="00834129"/>
    <w:rsid w:val="00834A56"/>
    <w:rsid w:val="00835748"/>
    <w:rsid w:val="00835F87"/>
    <w:rsid w:val="00836471"/>
    <w:rsid w:val="008365A7"/>
    <w:rsid w:val="00836660"/>
    <w:rsid w:val="00836F3E"/>
    <w:rsid w:val="0083708A"/>
    <w:rsid w:val="00837139"/>
    <w:rsid w:val="00837275"/>
    <w:rsid w:val="008377A4"/>
    <w:rsid w:val="008407C9"/>
    <w:rsid w:val="00840A41"/>
    <w:rsid w:val="00840C40"/>
    <w:rsid w:val="00840FB4"/>
    <w:rsid w:val="008415B0"/>
    <w:rsid w:val="008416A6"/>
    <w:rsid w:val="0084170F"/>
    <w:rsid w:val="008424C7"/>
    <w:rsid w:val="0084256C"/>
    <w:rsid w:val="008426B2"/>
    <w:rsid w:val="008431F4"/>
    <w:rsid w:val="00843232"/>
    <w:rsid w:val="00843B13"/>
    <w:rsid w:val="0084424A"/>
    <w:rsid w:val="0084437E"/>
    <w:rsid w:val="0084477D"/>
    <w:rsid w:val="00844B33"/>
    <w:rsid w:val="00844C2B"/>
    <w:rsid w:val="00844EF2"/>
    <w:rsid w:val="008456B2"/>
    <w:rsid w:val="008458D2"/>
    <w:rsid w:val="00845CCE"/>
    <w:rsid w:val="00845E13"/>
    <w:rsid w:val="00845FBA"/>
    <w:rsid w:val="00846455"/>
    <w:rsid w:val="008464F1"/>
    <w:rsid w:val="0084668B"/>
    <w:rsid w:val="0084697A"/>
    <w:rsid w:val="00846F88"/>
    <w:rsid w:val="008478B2"/>
    <w:rsid w:val="00850536"/>
    <w:rsid w:val="00850555"/>
    <w:rsid w:val="008507C6"/>
    <w:rsid w:val="00850B7F"/>
    <w:rsid w:val="0085132C"/>
    <w:rsid w:val="00851741"/>
    <w:rsid w:val="00851DE2"/>
    <w:rsid w:val="00852000"/>
    <w:rsid w:val="00852AFE"/>
    <w:rsid w:val="00852F38"/>
    <w:rsid w:val="00853307"/>
    <w:rsid w:val="00853E77"/>
    <w:rsid w:val="008540E9"/>
    <w:rsid w:val="008547A4"/>
    <w:rsid w:val="00855160"/>
    <w:rsid w:val="0085525F"/>
    <w:rsid w:val="008552ED"/>
    <w:rsid w:val="00855905"/>
    <w:rsid w:val="00855966"/>
    <w:rsid w:val="008559EA"/>
    <w:rsid w:val="00855A08"/>
    <w:rsid w:val="00855BCB"/>
    <w:rsid w:val="00856096"/>
    <w:rsid w:val="00856D76"/>
    <w:rsid w:val="00856DFE"/>
    <w:rsid w:val="0085737F"/>
    <w:rsid w:val="00857C8F"/>
    <w:rsid w:val="00857CF7"/>
    <w:rsid w:val="00860880"/>
    <w:rsid w:val="00860892"/>
    <w:rsid w:val="008610C4"/>
    <w:rsid w:val="00861C0F"/>
    <w:rsid w:val="008620FA"/>
    <w:rsid w:val="008623F1"/>
    <w:rsid w:val="008630A5"/>
    <w:rsid w:val="00863E48"/>
    <w:rsid w:val="00863E5B"/>
    <w:rsid w:val="00864217"/>
    <w:rsid w:val="00865588"/>
    <w:rsid w:val="008655ED"/>
    <w:rsid w:val="00865653"/>
    <w:rsid w:val="00865979"/>
    <w:rsid w:val="00865CCF"/>
    <w:rsid w:val="00865EDF"/>
    <w:rsid w:val="00866099"/>
    <w:rsid w:val="00866292"/>
    <w:rsid w:val="0086683D"/>
    <w:rsid w:val="00866E63"/>
    <w:rsid w:val="0087032F"/>
    <w:rsid w:val="008703DA"/>
    <w:rsid w:val="00870457"/>
    <w:rsid w:val="0087083F"/>
    <w:rsid w:val="0087196A"/>
    <w:rsid w:val="00872456"/>
    <w:rsid w:val="00873026"/>
    <w:rsid w:val="00873810"/>
    <w:rsid w:val="0087397F"/>
    <w:rsid w:val="00873B55"/>
    <w:rsid w:val="00873BB4"/>
    <w:rsid w:val="00873DEE"/>
    <w:rsid w:val="0087422A"/>
    <w:rsid w:val="00874BDD"/>
    <w:rsid w:val="00874E07"/>
    <w:rsid w:val="00875483"/>
    <w:rsid w:val="00876332"/>
    <w:rsid w:val="00877047"/>
    <w:rsid w:val="0087718F"/>
    <w:rsid w:val="008772DE"/>
    <w:rsid w:val="00877B2F"/>
    <w:rsid w:val="00877FAC"/>
    <w:rsid w:val="00880431"/>
    <w:rsid w:val="008805FB"/>
    <w:rsid w:val="008809FC"/>
    <w:rsid w:val="0088100A"/>
    <w:rsid w:val="00881400"/>
    <w:rsid w:val="00881AC6"/>
    <w:rsid w:val="00882212"/>
    <w:rsid w:val="0088225E"/>
    <w:rsid w:val="00882AD5"/>
    <w:rsid w:val="00883068"/>
    <w:rsid w:val="00883086"/>
    <w:rsid w:val="008835E3"/>
    <w:rsid w:val="008836E5"/>
    <w:rsid w:val="00883E7F"/>
    <w:rsid w:val="00884621"/>
    <w:rsid w:val="00884761"/>
    <w:rsid w:val="008848B2"/>
    <w:rsid w:val="00884915"/>
    <w:rsid w:val="008850B5"/>
    <w:rsid w:val="008858B9"/>
    <w:rsid w:val="0088597A"/>
    <w:rsid w:val="00886A34"/>
    <w:rsid w:val="00886C74"/>
    <w:rsid w:val="00887916"/>
    <w:rsid w:val="00890014"/>
    <w:rsid w:val="0089044B"/>
    <w:rsid w:val="0089051C"/>
    <w:rsid w:val="008911E9"/>
    <w:rsid w:val="0089129D"/>
    <w:rsid w:val="00891BE5"/>
    <w:rsid w:val="00891E21"/>
    <w:rsid w:val="00891F65"/>
    <w:rsid w:val="00891FCF"/>
    <w:rsid w:val="0089209B"/>
    <w:rsid w:val="00892860"/>
    <w:rsid w:val="00892D15"/>
    <w:rsid w:val="008931B7"/>
    <w:rsid w:val="00893428"/>
    <w:rsid w:val="008934F4"/>
    <w:rsid w:val="008936BF"/>
    <w:rsid w:val="00893BA7"/>
    <w:rsid w:val="00893E17"/>
    <w:rsid w:val="00893F72"/>
    <w:rsid w:val="008941A0"/>
    <w:rsid w:val="0089445A"/>
    <w:rsid w:val="008959B3"/>
    <w:rsid w:val="00895E37"/>
    <w:rsid w:val="0089607D"/>
    <w:rsid w:val="00896272"/>
    <w:rsid w:val="00896BB1"/>
    <w:rsid w:val="00896E66"/>
    <w:rsid w:val="00896FC2"/>
    <w:rsid w:val="008A015D"/>
    <w:rsid w:val="008A1065"/>
    <w:rsid w:val="008A177A"/>
    <w:rsid w:val="008A22FF"/>
    <w:rsid w:val="008A2671"/>
    <w:rsid w:val="008A29D3"/>
    <w:rsid w:val="008A2D25"/>
    <w:rsid w:val="008A3679"/>
    <w:rsid w:val="008A3F71"/>
    <w:rsid w:val="008A3FBA"/>
    <w:rsid w:val="008A46BA"/>
    <w:rsid w:val="008A6ECA"/>
    <w:rsid w:val="008A7E76"/>
    <w:rsid w:val="008B0059"/>
    <w:rsid w:val="008B027A"/>
    <w:rsid w:val="008B061F"/>
    <w:rsid w:val="008B12AB"/>
    <w:rsid w:val="008B177D"/>
    <w:rsid w:val="008B1C03"/>
    <w:rsid w:val="008B2325"/>
    <w:rsid w:val="008B2992"/>
    <w:rsid w:val="008B2B3D"/>
    <w:rsid w:val="008B3004"/>
    <w:rsid w:val="008B38C9"/>
    <w:rsid w:val="008B3AF5"/>
    <w:rsid w:val="008B4082"/>
    <w:rsid w:val="008B4984"/>
    <w:rsid w:val="008B4BFC"/>
    <w:rsid w:val="008B541B"/>
    <w:rsid w:val="008B65A2"/>
    <w:rsid w:val="008B6684"/>
    <w:rsid w:val="008B678F"/>
    <w:rsid w:val="008B6B2A"/>
    <w:rsid w:val="008B7015"/>
    <w:rsid w:val="008B75F1"/>
    <w:rsid w:val="008B7ADD"/>
    <w:rsid w:val="008C05E9"/>
    <w:rsid w:val="008C0BC5"/>
    <w:rsid w:val="008C0C32"/>
    <w:rsid w:val="008C0DE0"/>
    <w:rsid w:val="008C132F"/>
    <w:rsid w:val="008C1BCB"/>
    <w:rsid w:val="008C2151"/>
    <w:rsid w:val="008C217F"/>
    <w:rsid w:val="008C2675"/>
    <w:rsid w:val="008C299D"/>
    <w:rsid w:val="008C2D6A"/>
    <w:rsid w:val="008C2E44"/>
    <w:rsid w:val="008C3013"/>
    <w:rsid w:val="008C34AD"/>
    <w:rsid w:val="008C34F5"/>
    <w:rsid w:val="008C35C0"/>
    <w:rsid w:val="008C3E2C"/>
    <w:rsid w:val="008C4199"/>
    <w:rsid w:val="008C4945"/>
    <w:rsid w:val="008C4BFF"/>
    <w:rsid w:val="008C4D3F"/>
    <w:rsid w:val="008C5808"/>
    <w:rsid w:val="008C646F"/>
    <w:rsid w:val="008C67E3"/>
    <w:rsid w:val="008C6CCF"/>
    <w:rsid w:val="008C6E87"/>
    <w:rsid w:val="008D00E9"/>
    <w:rsid w:val="008D01AA"/>
    <w:rsid w:val="008D041A"/>
    <w:rsid w:val="008D0A81"/>
    <w:rsid w:val="008D0C51"/>
    <w:rsid w:val="008D0D75"/>
    <w:rsid w:val="008D1499"/>
    <w:rsid w:val="008D1F8D"/>
    <w:rsid w:val="008D2701"/>
    <w:rsid w:val="008D2E52"/>
    <w:rsid w:val="008D3B9F"/>
    <w:rsid w:val="008D434D"/>
    <w:rsid w:val="008D4B46"/>
    <w:rsid w:val="008D4D74"/>
    <w:rsid w:val="008D502A"/>
    <w:rsid w:val="008D589F"/>
    <w:rsid w:val="008D6649"/>
    <w:rsid w:val="008D7275"/>
    <w:rsid w:val="008D73F2"/>
    <w:rsid w:val="008D7503"/>
    <w:rsid w:val="008D751C"/>
    <w:rsid w:val="008D7A3A"/>
    <w:rsid w:val="008D7ABE"/>
    <w:rsid w:val="008D7D16"/>
    <w:rsid w:val="008E09D4"/>
    <w:rsid w:val="008E0BF5"/>
    <w:rsid w:val="008E1459"/>
    <w:rsid w:val="008E17A3"/>
    <w:rsid w:val="008E1A5F"/>
    <w:rsid w:val="008E2E53"/>
    <w:rsid w:val="008E3ED0"/>
    <w:rsid w:val="008E4995"/>
    <w:rsid w:val="008E6674"/>
    <w:rsid w:val="008E6B31"/>
    <w:rsid w:val="008E6C57"/>
    <w:rsid w:val="008E6D77"/>
    <w:rsid w:val="008E6FE2"/>
    <w:rsid w:val="008E74CB"/>
    <w:rsid w:val="008E7811"/>
    <w:rsid w:val="008E78FD"/>
    <w:rsid w:val="008E7F86"/>
    <w:rsid w:val="008F0489"/>
    <w:rsid w:val="008F1318"/>
    <w:rsid w:val="008F2959"/>
    <w:rsid w:val="008F3536"/>
    <w:rsid w:val="008F361F"/>
    <w:rsid w:val="008F3D53"/>
    <w:rsid w:val="008F3D5C"/>
    <w:rsid w:val="008F405E"/>
    <w:rsid w:val="008F4F94"/>
    <w:rsid w:val="008F56EE"/>
    <w:rsid w:val="008F5880"/>
    <w:rsid w:val="008F5A29"/>
    <w:rsid w:val="008F60D8"/>
    <w:rsid w:val="008F68DF"/>
    <w:rsid w:val="008F69E7"/>
    <w:rsid w:val="008F7127"/>
    <w:rsid w:val="008F7452"/>
    <w:rsid w:val="008F7468"/>
    <w:rsid w:val="008F76EA"/>
    <w:rsid w:val="008F793C"/>
    <w:rsid w:val="008F795B"/>
    <w:rsid w:val="009012E0"/>
    <w:rsid w:val="00901563"/>
    <w:rsid w:val="00901C12"/>
    <w:rsid w:val="0090234B"/>
    <w:rsid w:val="009030E7"/>
    <w:rsid w:val="00904426"/>
    <w:rsid w:val="0090445C"/>
    <w:rsid w:val="009047B5"/>
    <w:rsid w:val="009048F5"/>
    <w:rsid w:val="00904A2B"/>
    <w:rsid w:val="00904E5D"/>
    <w:rsid w:val="00905062"/>
    <w:rsid w:val="0090601B"/>
    <w:rsid w:val="0090603B"/>
    <w:rsid w:val="00906661"/>
    <w:rsid w:val="009066AD"/>
    <w:rsid w:val="009075B3"/>
    <w:rsid w:val="009102FE"/>
    <w:rsid w:val="009103C2"/>
    <w:rsid w:val="00910C91"/>
    <w:rsid w:val="009115C0"/>
    <w:rsid w:val="0091197C"/>
    <w:rsid w:val="00911B1F"/>
    <w:rsid w:val="00912039"/>
    <w:rsid w:val="00912166"/>
    <w:rsid w:val="00912DD4"/>
    <w:rsid w:val="0091326F"/>
    <w:rsid w:val="009133D6"/>
    <w:rsid w:val="00913483"/>
    <w:rsid w:val="0091388A"/>
    <w:rsid w:val="009144B4"/>
    <w:rsid w:val="00914654"/>
    <w:rsid w:val="009147B0"/>
    <w:rsid w:val="00914B05"/>
    <w:rsid w:val="009150BC"/>
    <w:rsid w:val="009159B1"/>
    <w:rsid w:val="00916077"/>
    <w:rsid w:val="0091608F"/>
    <w:rsid w:val="00916167"/>
    <w:rsid w:val="009163CC"/>
    <w:rsid w:val="00916DA8"/>
    <w:rsid w:val="00917293"/>
    <w:rsid w:val="009173F6"/>
    <w:rsid w:val="009177DC"/>
    <w:rsid w:val="00920139"/>
    <w:rsid w:val="009203D8"/>
    <w:rsid w:val="00920714"/>
    <w:rsid w:val="00920995"/>
    <w:rsid w:val="00920A41"/>
    <w:rsid w:val="00920D59"/>
    <w:rsid w:val="009210F4"/>
    <w:rsid w:val="009213F2"/>
    <w:rsid w:val="009215CE"/>
    <w:rsid w:val="00922141"/>
    <w:rsid w:val="009225A7"/>
    <w:rsid w:val="009232B4"/>
    <w:rsid w:val="009242FF"/>
    <w:rsid w:val="00924708"/>
    <w:rsid w:val="00924743"/>
    <w:rsid w:val="00924856"/>
    <w:rsid w:val="009252EB"/>
    <w:rsid w:val="0092607B"/>
    <w:rsid w:val="00927167"/>
    <w:rsid w:val="00927435"/>
    <w:rsid w:val="009277C1"/>
    <w:rsid w:val="00927F2F"/>
    <w:rsid w:val="00930706"/>
    <w:rsid w:val="00930774"/>
    <w:rsid w:val="00930EB6"/>
    <w:rsid w:val="00931A46"/>
    <w:rsid w:val="00931C03"/>
    <w:rsid w:val="00932103"/>
    <w:rsid w:val="0093217A"/>
    <w:rsid w:val="00932584"/>
    <w:rsid w:val="009326E5"/>
    <w:rsid w:val="009328D4"/>
    <w:rsid w:val="00933A9B"/>
    <w:rsid w:val="00933BEB"/>
    <w:rsid w:val="00933FBE"/>
    <w:rsid w:val="00934055"/>
    <w:rsid w:val="009340F2"/>
    <w:rsid w:val="00934542"/>
    <w:rsid w:val="0093476E"/>
    <w:rsid w:val="00934DDA"/>
    <w:rsid w:val="009371CF"/>
    <w:rsid w:val="009371ED"/>
    <w:rsid w:val="00937901"/>
    <w:rsid w:val="00937967"/>
    <w:rsid w:val="00937A60"/>
    <w:rsid w:val="0094002D"/>
    <w:rsid w:val="00940C5C"/>
    <w:rsid w:val="00941F5F"/>
    <w:rsid w:val="00941FC9"/>
    <w:rsid w:val="00942821"/>
    <w:rsid w:val="00942D98"/>
    <w:rsid w:val="00942DDE"/>
    <w:rsid w:val="0094356C"/>
    <w:rsid w:val="0094364D"/>
    <w:rsid w:val="0094430D"/>
    <w:rsid w:val="00944A11"/>
    <w:rsid w:val="00944F52"/>
    <w:rsid w:val="00945CFE"/>
    <w:rsid w:val="009462FA"/>
    <w:rsid w:val="0094669B"/>
    <w:rsid w:val="0094720C"/>
    <w:rsid w:val="00947E83"/>
    <w:rsid w:val="00947EC4"/>
    <w:rsid w:val="009503F4"/>
    <w:rsid w:val="00950F6E"/>
    <w:rsid w:val="009514AF"/>
    <w:rsid w:val="009518B0"/>
    <w:rsid w:val="00951D83"/>
    <w:rsid w:val="00952DC3"/>
    <w:rsid w:val="0095405C"/>
    <w:rsid w:val="00955C4E"/>
    <w:rsid w:val="00955DD1"/>
    <w:rsid w:val="00955EF8"/>
    <w:rsid w:val="00956108"/>
    <w:rsid w:val="00956EE3"/>
    <w:rsid w:val="00956FC2"/>
    <w:rsid w:val="00957303"/>
    <w:rsid w:val="00957F1D"/>
    <w:rsid w:val="00960B44"/>
    <w:rsid w:val="0096127E"/>
    <w:rsid w:val="00961499"/>
    <w:rsid w:val="009617CF"/>
    <w:rsid w:val="00961E96"/>
    <w:rsid w:val="00961FD1"/>
    <w:rsid w:val="00961FE0"/>
    <w:rsid w:val="0096229C"/>
    <w:rsid w:val="009626F6"/>
    <w:rsid w:val="00963727"/>
    <w:rsid w:val="0096390A"/>
    <w:rsid w:val="00963D08"/>
    <w:rsid w:val="00963DEB"/>
    <w:rsid w:val="00963EEF"/>
    <w:rsid w:val="009640E1"/>
    <w:rsid w:val="00964BAB"/>
    <w:rsid w:val="00964E55"/>
    <w:rsid w:val="00964F65"/>
    <w:rsid w:val="00965012"/>
    <w:rsid w:val="00965500"/>
    <w:rsid w:val="00965898"/>
    <w:rsid w:val="009664BB"/>
    <w:rsid w:val="00966D08"/>
    <w:rsid w:val="00967AD0"/>
    <w:rsid w:val="00970DF8"/>
    <w:rsid w:val="00971CE1"/>
    <w:rsid w:val="00971F1D"/>
    <w:rsid w:val="009731D2"/>
    <w:rsid w:val="009736AD"/>
    <w:rsid w:val="009736FA"/>
    <w:rsid w:val="00973707"/>
    <w:rsid w:val="0097407F"/>
    <w:rsid w:val="00974359"/>
    <w:rsid w:val="00975A57"/>
    <w:rsid w:val="00975AA6"/>
    <w:rsid w:val="00975BB6"/>
    <w:rsid w:val="00975EF1"/>
    <w:rsid w:val="00976229"/>
    <w:rsid w:val="00976830"/>
    <w:rsid w:val="00976AF5"/>
    <w:rsid w:val="00976C33"/>
    <w:rsid w:val="009774B9"/>
    <w:rsid w:val="00977D24"/>
    <w:rsid w:val="009804A9"/>
    <w:rsid w:val="00980736"/>
    <w:rsid w:val="00980FDD"/>
    <w:rsid w:val="0098123C"/>
    <w:rsid w:val="00981884"/>
    <w:rsid w:val="00981CB2"/>
    <w:rsid w:val="00981D51"/>
    <w:rsid w:val="009821B5"/>
    <w:rsid w:val="0098221A"/>
    <w:rsid w:val="00983258"/>
    <w:rsid w:val="00983447"/>
    <w:rsid w:val="00983F5F"/>
    <w:rsid w:val="00984186"/>
    <w:rsid w:val="0098452D"/>
    <w:rsid w:val="00984B1A"/>
    <w:rsid w:val="0098534C"/>
    <w:rsid w:val="0098574F"/>
    <w:rsid w:val="00985BC0"/>
    <w:rsid w:val="00985D75"/>
    <w:rsid w:val="0098641D"/>
    <w:rsid w:val="0098681A"/>
    <w:rsid w:val="00986CA6"/>
    <w:rsid w:val="00987301"/>
    <w:rsid w:val="009873DE"/>
    <w:rsid w:val="00987F5A"/>
    <w:rsid w:val="0099012C"/>
    <w:rsid w:val="00990B1D"/>
    <w:rsid w:val="009916A6"/>
    <w:rsid w:val="00991FB9"/>
    <w:rsid w:val="009926B4"/>
    <w:rsid w:val="0099274F"/>
    <w:rsid w:val="00992944"/>
    <w:rsid w:val="00992A84"/>
    <w:rsid w:val="00992E18"/>
    <w:rsid w:val="009930C5"/>
    <w:rsid w:val="009938D8"/>
    <w:rsid w:val="00993B43"/>
    <w:rsid w:val="009941AA"/>
    <w:rsid w:val="0099434E"/>
    <w:rsid w:val="00994724"/>
    <w:rsid w:val="00994854"/>
    <w:rsid w:val="00994F0D"/>
    <w:rsid w:val="009951F1"/>
    <w:rsid w:val="00995BF8"/>
    <w:rsid w:val="00996B80"/>
    <w:rsid w:val="00996D5D"/>
    <w:rsid w:val="00997928"/>
    <w:rsid w:val="009A0245"/>
    <w:rsid w:val="009A1507"/>
    <w:rsid w:val="009A18B2"/>
    <w:rsid w:val="009A1976"/>
    <w:rsid w:val="009A221A"/>
    <w:rsid w:val="009A266C"/>
    <w:rsid w:val="009A2970"/>
    <w:rsid w:val="009A2A32"/>
    <w:rsid w:val="009A3360"/>
    <w:rsid w:val="009A35F4"/>
    <w:rsid w:val="009A380C"/>
    <w:rsid w:val="009A399E"/>
    <w:rsid w:val="009A5237"/>
    <w:rsid w:val="009A52C8"/>
    <w:rsid w:val="009A535E"/>
    <w:rsid w:val="009A5976"/>
    <w:rsid w:val="009A5E5C"/>
    <w:rsid w:val="009A61F6"/>
    <w:rsid w:val="009A6B12"/>
    <w:rsid w:val="009A6E83"/>
    <w:rsid w:val="009A761A"/>
    <w:rsid w:val="009A7832"/>
    <w:rsid w:val="009A7EF4"/>
    <w:rsid w:val="009B01B3"/>
    <w:rsid w:val="009B0F4A"/>
    <w:rsid w:val="009B10DE"/>
    <w:rsid w:val="009B1196"/>
    <w:rsid w:val="009B1BAB"/>
    <w:rsid w:val="009B33FB"/>
    <w:rsid w:val="009B42B3"/>
    <w:rsid w:val="009B43FB"/>
    <w:rsid w:val="009B4A6D"/>
    <w:rsid w:val="009B4B98"/>
    <w:rsid w:val="009B4E71"/>
    <w:rsid w:val="009B4E74"/>
    <w:rsid w:val="009B502E"/>
    <w:rsid w:val="009B50F8"/>
    <w:rsid w:val="009B5C2B"/>
    <w:rsid w:val="009B5F52"/>
    <w:rsid w:val="009B6036"/>
    <w:rsid w:val="009B6500"/>
    <w:rsid w:val="009B6B20"/>
    <w:rsid w:val="009B6DC4"/>
    <w:rsid w:val="009B738F"/>
    <w:rsid w:val="009B7E6E"/>
    <w:rsid w:val="009C00FE"/>
    <w:rsid w:val="009C088E"/>
    <w:rsid w:val="009C0BBA"/>
    <w:rsid w:val="009C1AD6"/>
    <w:rsid w:val="009C1B43"/>
    <w:rsid w:val="009C1BA0"/>
    <w:rsid w:val="009C2470"/>
    <w:rsid w:val="009C2915"/>
    <w:rsid w:val="009C3173"/>
    <w:rsid w:val="009C3429"/>
    <w:rsid w:val="009C3445"/>
    <w:rsid w:val="009C39C3"/>
    <w:rsid w:val="009C3B36"/>
    <w:rsid w:val="009C41EB"/>
    <w:rsid w:val="009C4563"/>
    <w:rsid w:val="009C45AF"/>
    <w:rsid w:val="009C5235"/>
    <w:rsid w:val="009C5D22"/>
    <w:rsid w:val="009C5E86"/>
    <w:rsid w:val="009C62FB"/>
    <w:rsid w:val="009C6545"/>
    <w:rsid w:val="009C6D52"/>
    <w:rsid w:val="009C77A9"/>
    <w:rsid w:val="009C78B1"/>
    <w:rsid w:val="009C7EB5"/>
    <w:rsid w:val="009D0528"/>
    <w:rsid w:val="009D0A6C"/>
    <w:rsid w:val="009D0F5B"/>
    <w:rsid w:val="009D102C"/>
    <w:rsid w:val="009D107F"/>
    <w:rsid w:val="009D1574"/>
    <w:rsid w:val="009D19FE"/>
    <w:rsid w:val="009D1D2E"/>
    <w:rsid w:val="009D2475"/>
    <w:rsid w:val="009D24F9"/>
    <w:rsid w:val="009D281E"/>
    <w:rsid w:val="009D2DE0"/>
    <w:rsid w:val="009D3AAD"/>
    <w:rsid w:val="009D3CC3"/>
    <w:rsid w:val="009D3FC8"/>
    <w:rsid w:val="009D4086"/>
    <w:rsid w:val="009D428F"/>
    <w:rsid w:val="009D43E8"/>
    <w:rsid w:val="009D4912"/>
    <w:rsid w:val="009D4F11"/>
    <w:rsid w:val="009D5D70"/>
    <w:rsid w:val="009D6401"/>
    <w:rsid w:val="009D6795"/>
    <w:rsid w:val="009D721A"/>
    <w:rsid w:val="009E0049"/>
    <w:rsid w:val="009E01ED"/>
    <w:rsid w:val="009E0B76"/>
    <w:rsid w:val="009E0E6A"/>
    <w:rsid w:val="009E12FE"/>
    <w:rsid w:val="009E1EFB"/>
    <w:rsid w:val="009E2CB7"/>
    <w:rsid w:val="009E2CF1"/>
    <w:rsid w:val="009E2E0B"/>
    <w:rsid w:val="009E2FC2"/>
    <w:rsid w:val="009E3076"/>
    <w:rsid w:val="009E3149"/>
    <w:rsid w:val="009E315F"/>
    <w:rsid w:val="009E378B"/>
    <w:rsid w:val="009E4039"/>
    <w:rsid w:val="009E42EF"/>
    <w:rsid w:val="009E45B5"/>
    <w:rsid w:val="009E4C52"/>
    <w:rsid w:val="009E4F25"/>
    <w:rsid w:val="009E51AA"/>
    <w:rsid w:val="009E52AE"/>
    <w:rsid w:val="009E5ACD"/>
    <w:rsid w:val="009E66B4"/>
    <w:rsid w:val="009E6C48"/>
    <w:rsid w:val="009E7061"/>
    <w:rsid w:val="009E7CEB"/>
    <w:rsid w:val="009E7DBF"/>
    <w:rsid w:val="009F0333"/>
    <w:rsid w:val="009F11E6"/>
    <w:rsid w:val="009F14EB"/>
    <w:rsid w:val="009F1813"/>
    <w:rsid w:val="009F1C5F"/>
    <w:rsid w:val="009F32AB"/>
    <w:rsid w:val="009F4341"/>
    <w:rsid w:val="009F4AF9"/>
    <w:rsid w:val="009F4B05"/>
    <w:rsid w:val="009F506E"/>
    <w:rsid w:val="009F5AD7"/>
    <w:rsid w:val="009F7126"/>
    <w:rsid w:val="009F726E"/>
    <w:rsid w:val="009F7CF9"/>
    <w:rsid w:val="009F7FD1"/>
    <w:rsid w:val="00A008E0"/>
    <w:rsid w:val="00A00B6E"/>
    <w:rsid w:val="00A01A9B"/>
    <w:rsid w:val="00A0243B"/>
    <w:rsid w:val="00A026E8"/>
    <w:rsid w:val="00A02B73"/>
    <w:rsid w:val="00A02CF8"/>
    <w:rsid w:val="00A02F4E"/>
    <w:rsid w:val="00A03336"/>
    <w:rsid w:val="00A03433"/>
    <w:rsid w:val="00A0346E"/>
    <w:rsid w:val="00A037CC"/>
    <w:rsid w:val="00A037D1"/>
    <w:rsid w:val="00A03DAF"/>
    <w:rsid w:val="00A05936"/>
    <w:rsid w:val="00A0601E"/>
    <w:rsid w:val="00A06144"/>
    <w:rsid w:val="00A06D90"/>
    <w:rsid w:val="00A06DF4"/>
    <w:rsid w:val="00A071F3"/>
    <w:rsid w:val="00A072DF"/>
    <w:rsid w:val="00A07318"/>
    <w:rsid w:val="00A07A4C"/>
    <w:rsid w:val="00A07AD6"/>
    <w:rsid w:val="00A07B73"/>
    <w:rsid w:val="00A07FCF"/>
    <w:rsid w:val="00A1006F"/>
    <w:rsid w:val="00A1016B"/>
    <w:rsid w:val="00A111BD"/>
    <w:rsid w:val="00A1136A"/>
    <w:rsid w:val="00A11EF3"/>
    <w:rsid w:val="00A1267F"/>
    <w:rsid w:val="00A12EA5"/>
    <w:rsid w:val="00A131E3"/>
    <w:rsid w:val="00A13458"/>
    <w:rsid w:val="00A13549"/>
    <w:rsid w:val="00A13AC7"/>
    <w:rsid w:val="00A13DA6"/>
    <w:rsid w:val="00A1403E"/>
    <w:rsid w:val="00A140E7"/>
    <w:rsid w:val="00A1413E"/>
    <w:rsid w:val="00A1439C"/>
    <w:rsid w:val="00A14B29"/>
    <w:rsid w:val="00A16125"/>
    <w:rsid w:val="00A163C1"/>
    <w:rsid w:val="00A166F7"/>
    <w:rsid w:val="00A167EF"/>
    <w:rsid w:val="00A173FD"/>
    <w:rsid w:val="00A200BD"/>
    <w:rsid w:val="00A2037F"/>
    <w:rsid w:val="00A20CBA"/>
    <w:rsid w:val="00A20FDB"/>
    <w:rsid w:val="00A21BDE"/>
    <w:rsid w:val="00A22D77"/>
    <w:rsid w:val="00A230B4"/>
    <w:rsid w:val="00A23135"/>
    <w:rsid w:val="00A23544"/>
    <w:rsid w:val="00A23685"/>
    <w:rsid w:val="00A248BA"/>
    <w:rsid w:val="00A24A0F"/>
    <w:rsid w:val="00A24B91"/>
    <w:rsid w:val="00A25501"/>
    <w:rsid w:val="00A26FCC"/>
    <w:rsid w:val="00A27DAF"/>
    <w:rsid w:val="00A27F96"/>
    <w:rsid w:val="00A30712"/>
    <w:rsid w:val="00A30BEF"/>
    <w:rsid w:val="00A312F7"/>
    <w:rsid w:val="00A320A8"/>
    <w:rsid w:val="00A3225F"/>
    <w:rsid w:val="00A325CD"/>
    <w:rsid w:val="00A32F49"/>
    <w:rsid w:val="00A33165"/>
    <w:rsid w:val="00A333CA"/>
    <w:rsid w:val="00A334F1"/>
    <w:rsid w:val="00A33A0C"/>
    <w:rsid w:val="00A34063"/>
    <w:rsid w:val="00A346FA"/>
    <w:rsid w:val="00A34870"/>
    <w:rsid w:val="00A353B6"/>
    <w:rsid w:val="00A35495"/>
    <w:rsid w:val="00A36518"/>
    <w:rsid w:val="00A36C28"/>
    <w:rsid w:val="00A36DEB"/>
    <w:rsid w:val="00A3724B"/>
    <w:rsid w:val="00A37973"/>
    <w:rsid w:val="00A379EC"/>
    <w:rsid w:val="00A37B20"/>
    <w:rsid w:val="00A40782"/>
    <w:rsid w:val="00A40B43"/>
    <w:rsid w:val="00A41C16"/>
    <w:rsid w:val="00A42236"/>
    <w:rsid w:val="00A429DD"/>
    <w:rsid w:val="00A42C1B"/>
    <w:rsid w:val="00A432E2"/>
    <w:rsid w:val="00A434C2"/>
    <w:rsid w:val="00A43507"/>
    <w:rsid w:val="00A43CBA"/>
    <w:rsid w:val="00A45709"/>
    <w:rsid w:val="00A47272"/>
    <w:rsid w:val="00A51317"/>
    <w:rsid w:val="00A51833"/>
    <w:rsid w:val="00A51AF5"/>
    <w:rsid w:val="00A51B8C"/>
    <w:rsid w:val="00A523E1"/>
    <w:rsid w:val="00A5293D"/>
    <w:rsid w:val="00A52B62"/>
    <w:rsid w:val="00A534E1"/>
    <w:rsid w:val="00A538D1"/>
    <w:rsid w:val="00A54A27"/>
    <w:rsid w:val="00A552ED"/>
    <w:rsid w:val="00A559BE"/>
    <w:rsid w:val="00A55CE7"/>
    <w:rsid w:val="00A57187"/>
    <w:rsid w:val="00A573C1"/>
    <w:rsid w:val="00A57E1D"/>
    <w:rsid w:val="00A60244"/>
    <w:rsid w:val="00A605DE"/>
    <w:rsid w:val="00A60958"/>
    <w:rsid w:val="00A609C5"/>
    <w:rsid w:val="00A60E11"/>
    <w:rsid w:val="00A60E5E"/>
    <w:rsid w:val="00A61E52"/>
    <w:rsid w:val="00A61EC7"/>
    <w:rsid w:val="00A62C9B"/>
    <w:rsid w:val="00A63CFB"/>
    <w:rsid w:val="00A64392"/>
    <w:rsid w:val="00A6470B"/>
    <w:rsid w:val="00A649C5"/>
    <w:rsid w:val="00A64B7E"/>
    <w:rsid w:val="00A64EA2"/>
    <w:rsid w:val="00A64ECF"/>
    <w:rsid w:val="00A65AC7"/>
    <w:rsid w:val="00A66376"/>
    <w:rsid w:val="00A66636"/>
    <w:rsid w:val="00A66E3C"/>
    <w:rsid w:val="00A67560"/>
    <w:rsid w:val="00A67635"/>
    <w:rsid w:val="00A67B86"/>
    <w:rsid w:val="00A67C65"/>
    <w:rsid w:val="00A67E57"/>
    <w:rsid w:val="00A715A4"/>
    <w:rsid w:val="00A71759"/>
    <w:rsid w:val="00A720F2"/>
    <w:rsid w:val="00A728E6"/>
    <w:rsid w:val="00A73074"/>
    <w:rsid w:val="00A734F4"/>
    <w:rsid w:val="00A736D5"/>
    <w:rsid w:val="00A737EE"/>
    <w:rsid w:val="00A73C45"/>
    <w:rsid w:val="00A74B1F"/>
    <w:rsid w:val="00A74B74"/>
    <w:rsid w:val="00A75F77"/>
    <w:rsid w:val="00A7628E"/>
    <w:rsid w:val="00A767B5"/>
    <w:rsid w:val="00A76824"/>
    <w:rsid w:val="00A76DB3"/>
    <w:rsid w:val="00A77360"/>
    <w:rsid w:val="00A7775F"/>
    <w:rsid w:val="00A77930"/>
    <w:rsid w:val="00A77ED3"/>
    <w:rsid w:val="00A77FC2"/>
    <w:rsid w:val="00A80207"/>
    <w:rsid w:val="00A80F18"/>
    <w:rsid w:val="00A81A56"/>
    <w:rsid w:val="00A82D9B"/>
    <w:rsid w:val="00A83D90"/>
    <w:rsid w:val="00A84CC3"/>
    <w:rsid w:val="00A85529"/>
    <w:rsid w:val="00A859A3"/>
    <w:rsid w:val="00A85B16"/>
    <w:rsid w:val="00A85EF5"/>
    <w:rsid w:val="00A86762"/>
    <w:rsid w:val="00A86C43"/>
    <w:rsid w:val="00A872DB"/>
    <w:rsid w:val="00A875DA"/>
    <w:rsid w:val="00A875FB"/>
    <w:rsid w:val="00A87A6F"/>
    <w:rsid w:val="00A907CD"/>
    <w:rsid w:val="00A90B21"/>
    <w:rsid w:val="00A90B4F"/>
    <w:rsid w:val="00A91288"/>
    <w:rsid w:val="00A91AD8"/>
    <w:rsid w:val="00A91BB8"/>
    <w:rsid w:val="00A92D3E"/>
    <w:rsid w:val="00A93939"/>
    <w:rsid w:val="00A93EF4"/>
    <w:rsid w:val="00A94466"/>
    <w:rsid w:val="00A9466A"/>
    <w:rsid w:val="00A9484C"/>
    <w:rsid w:val="00A94926"/>
    <w:rsid w:val="00A94F1B"/>
    <w:rsid w:val="00A95407"/>
    <w:rsid w:val="00A95BDC"/>
    <w:rsid w:val="00A95BF2"/>
    <w:rsid w:val="00A9697C"/>
    <w:rsid w:val="00A9699C"/>
    <w:rsid w:val="00A96BB4"/>
    <w:rsid w:val="00A96D28"/>
    <w:rsid w:val="00A97A4B"/>
    <w:rsid w:val="00AA0311"/>
    <w:rsid w:val="00AA0698"/>
    <w:rsid w:val="00AA07CC"/>
    <w:rsid w:val="00AA096C"/>
    <w:rsid w:val="00AA0D23"/>
    <w:rsid w:val="00AA1619"/>
    <w:rsid w:val="00AA191B"/>
    <w:rsid w:val="00AA1C50"/>
    <w:rsid w:val="00AA1C79"/>
    <w:rsid w:val="00AA2418"/>
    <w:rsid w:val="00AA2C4D"/>
    <w:rsid w:val="00AA2F13"/>
    <w:rsid w:val="00AA36FE"/>
    <w:rsid w:val="00AA39DA"/>
    <w:rsid w:val="00AA39F3"/>
    <w:rsid w:val="00AA3D61"/>
    <w:rsid w:val="00AA441E"/>
    <w:rsid w:val="00AA4E62"/>
    <w:rsid w:val="00AA5162"/>
    <w:rsid w:val="00AA60C1"/>
    <w:rsid w:val="00AA60F5"/>
    <w:rsid w:val="00AA62B4"/>
    <w:rsid w:val="00AA6FCD"/>
    <w:rsid w:val="00AB074B"/>
    <w:rsid w:val="00AB1019"/>
    <w:rsid w:val="00AB1EFE"/>
    <w:rsid w:val="00AB2909"/>
    <w:rsid w:val="00AB2CEB"/>
    <w:rsid w:val="00AB2F7D"/>
    <w:rsid w:val="00AB3306"/>
    <w:rsid w:val="00AB3C33"/>
    <w:rsid w:val="00AB425D"/>
    <w:rsid w:val="00AB44C6"/>
    <w:rsid w:val="00AB4C8C"/>
    <w:rsid w:val="00AB4D5D"/>
    <w:rsid w:val="00AB4F2C"/>
    <w:rsid w:val="00AB4FBD"/>
    <w:rsid w:val="00AB5072"/>
    <w:rsid w:val="00AB5ED4"/>
    <w:rsid w:val="00AB63F2"/>
    <w:rsid w:val="00AB6B23"/>
    <w:rsid w:val="00AB6C50"/>
    <w:rsid w:val="00AB6CEF"/>
    <w:rsid w:val="00AB6E24"/>
    <w:rsid w:val="00AB6E94"/>
    <w:rsid w:val="00AC03C0"/>
    <w:rsid w:val="00AC0B85"/>
    <w:rsid w:val="00AC0F8F"/>
    <w:rsid w:val="00AC1231"/>
    <w:rsid w:val="00AC16EB"/>
    <w:rsid w:val="00AC1FDE"/>
    <w:rsid w:val="00AC21D5"/>
    <w:rsid w:val="00AC3543"/>
    <w:rsid w:val="00AC3655"/>
    <w:rsid w:val="00AC5B17"/>
    <w:rsid w:val="00AC5FCC"/>
    <w:rsid w:val="00AC60B4"/>
    <w:rsid w:val="00AC6F8B"/>
    <w:rsid w:val="00AC77E7"/>
    <w:rsid w:val="00AC7D54"/>
    <w:rsid w:val="00AD0EAF"/>
    <w:rsid w:val="00AD1414"/>
    <w:rsid w:val="00AD2377"/>
    <w:rsid w:val="00AD2E55"/>
    <w:rsid w:val="00AD4279"/>
    <w:rsid w:val="00AD4AFB"/>
    <w:rsid w:val="00AD4D77"/>
    <w:rsid w:val="00AD4FE8"/>
    <w:rsid w:val="00AD5BDA"/>
    <w:rsid w:val="00AD5F82"/>
    <w:rsid w:val="00AD7C70"/>
    <w:rsid w:val="00AE03E7"/>
    <w:rsid w:val="00AE048A"/>
    <w:rsid w:val="00AE0509"/>
    <w:rsid w:val="00AE12CC"/>
    <w:rsid w:val="00AE155C"/>
    <w:rsid w:val="00AE17F0"/>
    <w:rsid w:val="00AE1882"/>
    <w:rsid w:val="00AE19BB"/>
    <w:rsid w:val="00AE1BAD"/>
    <w:rsid w:val="00AE1E5E"/>
    <w:rsid w:val="00AE3600"/>
    <w:rsid w:val="00AE4624"/>
    <w:rsid w:val="00AE490B"/>
    <w:rsid w:val="00AE4AD8"/>
    <w:rsid w:val="00AE4B76"/>
    <w:rsid w:val="00AE4EBE"/>
    <w:rsid w:val="00AE5297"/>
    <w:rsid w:val="00AE5E25"/>
    <w:rsid w:val="00AE6461"/>
    <w:rsid w:val="00AE6F0D"/>
    <w:rsid w:val="00AE709E"/>
    <w:rsid w:val="00AE7B6F"/>
    <w:rsid w:val="00AF1CB5"/>
    <w:rsid w:val="00AF1CC7"/>
    <w:rsid w:val="00AF1EC0"/>
    <w:rsid w:val="00AF204A"/>
    <w:rsid w:val="00AF217E"/>
    <w:rsid w:val="00AF298C"/>
    <w:rsid w:val="00AF3DC1"/>
    <w:rsid w:val="00AF3EB1"/>
    <w:rsid w:val="00AF410B"/>
    <w:rsid w:val="00AF44CE"/>
    <w:rsid w:val="00AF4584"/>
    <w:rsid w:val="00AF4B44"/>
    <w:rsid w:val="00AF4DFC"/>
    <w:rsid w:val="00AF50C2"/>
    <w:rsid w:val="00AF561A"/>
    <w:rsid w:val="00AF5FD2"/>
    <w:rsid w:val="00AF6036"/>
    <w:rsid w:val="00AF6197"/>
    <w:rsid w:val="00AF619F"/>
    <w:rsid w:val="00AF670A"/>
    <w:rsid w:val="00AF6A9E"/>
    <w:rsid w:val="00AF6B8B"/>
    <w:rsid w:val="00AF7AA8"/>
    <w:rsid w:val="00AF7CBC"/>
    <w:rsid w:val="00AF7CDA"/>
    <w:rsid w:val="00AF7CE7"/>
    <w:rsid w:val="00AF7D18"/>
    <w:rsid w:val="00AF7D36"/>
    <w:rsid w:val="00B00221"/>
    <w:rsid w:val="00B0035F"/>
    <w:rsid w:val="00B00910"/>
    <w:rsid w:val="00B013DF"/>
    <w:rsid w:val="00B01603"/>
    <w:rsid w:val="00B018DB"/>
    <w:rsid w:val="00B01EE8"/>
    <w:rsid w:val="00B02976"/>
    <w:rsid w:val="00B02BA1"/>
    <w:rsid w:val="00B0332D"/>
    <w:rsid w:val="00B03B9D"/>
    <w:rsid w:val="00B04393"/>
    <w:rsid w:val="00B046AE"/>
    <w:rsid w:val="00B04F1D"/>
    <w:rsid w:val="00B050EE"/>
    <w:rsid w:val="00B05F0E"/>
    <w:rsid w:val="00B05F1D"/>
    <w:rsid w:val="00B069AF"/>
    <w:rsid w:val="00B06A65"/>
    <w:rsid w:val="00B0716F"/>
    <w:rsid w:val="00B07951"/>
    <w:rsid w:val="00B07AF2"/>
    <w:rsid w:val="00B10002"/>
    <w:rsid w:val="00B10017"/>
    <w:rsid w:val="00B11683"/>
    <w:rsid w:val="00B11B2F"/>
    <w:rsid w:val="00B12025"/>
    <w:rsid w:val="00B130BA"/>
    <w:rsid w:val="00B13F1C"/>
    <w:rsid w:val="00B1454D"/>
    <w:rsid w:val="00B15177"/>
    <w:rsid w:val="00B15B23"/>
    <w:rsid w:val="00B15B7E"/>
    <w:rsid w:val="00B16003"/>
    <w:rsid w:val="00B1659A"/>
    <w:rsid w:val="00B16F0B"/>
    <w:rsid w:val="00B17FD9"/>
    <w:rsid w:val="00B203C1"/>
    <w:rsid w:val="00B20D21"/>
    <w:rsid w:val="00B20EA6"/>
    <w:rsid w:val="00B20F2A"/>
    <w:rsid w:val="00B2118D"/>
    <w:rsid w:val="00B21199"/>
    <w:rsid w:val="00B2169D"/>
    <w:rsid w:val="00B21B1C"/>
    <w:rsid w:val="00B228A1"/>
    <w:rsid w:val="00B22A27"/>
    <w:rsid w:val="00B2354E"/>
    <w:rsid w:val="00B23A02"/>
    <w:rsid w:val="00B23BF5"/>
    <w:rsid w:val="00B23C2D"/>
    <w:rsid w:val="00B261B5"/>
    <w:rsid w:val="00B2782E"/>
    <w:rsid w:val="00B30685"/>
    <w:rsid w:val="00B319F9"/>
    <w:rsid w:val="00B32121"/>
    <w:rsid w:val="00B329FC"/>
    <w:rsid w:val="00B32B99"/>
    <w:rsid w:val="00B32DB0"/>
    <w:rsid w:val="00B3314A"/>
    <w:rsid w:val="00B332B6"/>
    <w:rsid w:val="00B33380"/>
    <w:rsid w:val="00B33494"/>
    <w:rsid w:val="00B33F31"/>
    <w:rsid w:val="00B34186"/>
    <w:rsid w:val="00B344A4"/>
    <w:rsid w:val="00B3451F"/>
    <w:rsid w:val="00B34B4D"/>
    <w:rsid w:val="00B34E1B"/>
    <w:rsid w:val="00B34F8E"/>
    <w:rsid w:val="00B35526"/>
    <w:rsid w:val="00B35E63"/>
    <w:rsid w:val="00B361B6"/>
    <w:rsid w:val="00B36495"/>
    <w:rsid w:val="00B36529"/>
    <w:rsid w:val="00B365BD"/>
    <w:rsid w:val="00B369A4"/>
    <w:rsid w:val="00B36D45"/>
    <w:rsid w:val="00B3739F"/>
    <w:rsid w:val="00B37625"/>
    <w:rsid w:val="00B40258"/>
    <w:rsid w:val="00B40445"/>
    <w:rsid w:val="00B40CF9"/>
    <w:rsid w:val="00B4137D"/>
    <w:rsid w:val="00B4146A"/>
    <w:rsid w:val="00B416B5"/>
    <w:rsid w:val="00B42963"/>
    <w:rsid w:val="00B42B90"/>
    <w:rsid w:val="00B42DA5"/>
    <w:rsid w:val="00B42E8E"/>
    <w:rsid w:val="00B435CA"/>
    <w:rsid w:val="00B449A6"/>
    <w:rsid w:val="00B44BF3"/>
    <w:rsid w:val="00B44F13"/>
    <w:rsid w:val="00B45C28"/>
    <w:rsid w:val="00B463EB"/>
    <w:rsid w:val="00B46451"/>
    <w:rsid w:val="00B4649C"/>
    <w:rsid w:val="00B4672A"/>
    <w:rsid w:val="00B47015"/>
    <w:rsid w:val="00B470DF"/>
    <w:rsid w:val="00B47176"/>
    <w:rsid w:val="00B472FF"/>
    <w:rsid w:val="00B473F4"/>
    <w:rsid w:val="00B50E9A"/>
    <w:rsid w:val="00B5126C"/>
    <w:rsid w:val="00B51AE2"/>
    <w:rsid w:val="00B51E0E"/>
    <w:rsid w:val="00B520FD"/>
    <w:rsid w:val="00B525CE"/>
    <w:rsid w:val="00B52638"/>
    <w:rsid w:val="00B52713"/>
    <w:rsid w:val="00B528F1"/>
    <w:rsid w:val="00B52C40"/>
    <w:rsid w:val="00B537CA"/>
    <w:rsid w:val="00B53836"/>
    <w:rsid w:val="00B53904"/>
    <w:rsid w:val="00B54180"/>
    <w:rsid w:val="00B549DA"/>
    <w:rsid w:val="00B54F1D"/>
    <w:rsid w:val="00B5530C"/>
    <w:rsid w:val="00B554C0"/>
    <w:rsid w:val="00B558C6"/>
    <w:rsid w:val="00B559A7"/>
    <w:rsid w:val="00B559CC"/>
    <w:rsid w:val="00B55D35"/>
    <w:rsid w:val="00B55F02"/>
    <w:rsid w:val="00B55F9D"/>
    <w:rsid w:val="00B567FF"/>
    <w:rsid w:val="00B568AD"/>
    <w:rsid w:val="00B5780E"/>
    <w:rsid w:val="00B60A24"/>
    <w:rsid w:val="00B60ED7"/>
    <w:rsid w:val="00B6118E"/>
    <w:rsid w:val="00B61638"/>
    <w:rsid w:val="00B61B97"/>
    <w:rsid w:val="00B62064"/>
    <w:rsid w:val="00B6265F"/>
    <w:rsid w:val="00B6284F"/>
    <w:rsid w:val="00B63932"/>
    <w:rsid w:val="00B63A93"/>
    <w:rsid w:val="00B6420A"/>
    <w:rsid w:val="00B6430A"/>
    <w:rsid w:val="00B646AB"/>
    <w:rsid w:val="00B64DB9"/>
    <w:rsid w:val="00B6504E"/>
    <w:rsid w:val="00B6613C"/>
    <w:rsid w:val="00B6619B"/>
    <w:rsid w:val="00B66292"/>
    <w:rsid w:val="00B66BAA"/>
    <w:rsid w:val="00B67060"/>
    <w:rsid w:val="00B670A1"/>
    <w:rsid w:val="00B67C1F"/>
    <w:rsid w:val="00B67EF2"/>
    <w:rsid w:val="00B701CD"/>
    <w:rsid w:val="00B70A8D"/>
    <w:rsid w:val="00B70B3E"/>
    <w:rsid w:val="00B70DEC"/>
    <w:rsid w:val="00B71449"/>
    <w:rsid w:val="00B71A4C"/>
    <w:rsid w:val="00B729D3"/>
    <w:rsid w:val="00B72C1B"/>
    <w:rsid w:val="00B734B6"/>
    <w:rsid w:val="00B73BED"/>
    <w:rsid w:val="00B75024"/>
    <w:rsid w:val="00B753AE"/>
    <w:rsid w:val="00B7565D"/>
    <w:rsid w:val="00B7568B"/>
    <w:rsid w:val="00B75805"/>
    <w:rsid w:val="00B75D08"/>
    <w:rsid w:val="00B767B4"/>
    <w:rsid w:val="00B76A29"/>
    <w:rsid w:val="00B76A81"/>
    <w:rsid w:val="00B76BA3"/>
    <w:rsid w:val="00B76C33"/>
    <w:rsid w:val="00B77105"/>
    <w:rsid w:val="00B772E5"/>
    <w:rsid w:val="00B773AE"/>
    <w:rsid w:val="00B77B2A"/>
    <w:rsid w:val="00B804F8"/>
    <w:rsid w:val="00B811AA"/>
    <w:rsid w:val="00B81B16"/>
    <w:rsid w:val="00B82552"/>
    <w:rsid w:val="00B83386"/>
    <w:rsid w:val="00B83943"/>
    <w:rsid w:val="00B83B2B"/>
    <w:rsid w:val="00B83D03"/>
    <w:rsid w:val="00B84506"/>
    <w:rsid w:val="00B84E0C"/>
    <w:rsid w:val="00B84E3F"/>
    <w:rsid w:val="00B85632"/>
    <w:rsid w:val="00B85C11"/>
    <w:rsid w:val="00B85C29"/>
    <w:rsid w:val="00B8635C"/>
    <w:rsid w:val="00B87234"/>
    <w:rsid w:val="00B87ACC"/>
    <w:rsid w:val="00B900C0"/>
    <w:rsid w:val="00B90A78"/>
    <w:rsid w:val="00B91890"/>
    <w:rsid w:val="00B91EF0"/>
    <w:rsid w:val="00B92512"/>
    <w:rsid w:val="00B92B56"/>
    <w:rsid w:val="00B92F30"/>
    <w:rsid w:val="00B94172"/>
    <w:rsid w:val="00B94965"/>
    <w:rsid w:val="00B953FC"/>
    <w:rsid w:val="00B95781"/>
    <w:rsid w:val="00B96322"/>
    <w:rsid w:val="00B96CF7"/>
    <w:rsid w:val="00B96E6F"/>
    <w:rsid w:val="00B96F5D"/>
    <w:rsid w:val="00B97205"/>
    <w:rsid w:val="00B976DF"/>
    <w:rsid w:val="00B97F80"/>
    <w:rsid w:val="00BA05BC"/>
    <w:rsid w:val="00BA05E7"/>
    <w:rsid w:val="00BA0A3B"/>
    <w:rsid w:val="00BA1055"/>
    <w:rsid w:val="00BA1BCC"/>
    <w:rsid w:val="00BA26CD"/>
    <w:rsid w:val="00BA3181"/>
    <w:rsid w:val="00BA37B0"/>
    <w:rsid w:val="00BA403E"/>
    <w:rsid w:val="00BA48CC"/>
    <w:rsid w:val="00BA4977"/>
    <w:rsid w:val="00BA4999"/>
    <w:rsid w:val="00BA4F78"/>
    <w:rsid w:val="00BA586B"/>
    <w:rsid w:val="00BA5B35"/>
    <w:rsid w:val="00BA5FBD"/>
    <w:rsid w:val="00BA6116"/>
    <w:rsid w:val="00BA6E7F"/>
    <w:rsid w:val="00BA72B6"/>
    <w:rsid w:val="00BA72F0"/>
    <w:rsid w:val="00BA76E9"/>
    <w:rsid w:val="00BB0B41"/>
    <w:rsid w:val="00BB0BCB"/>
    <w:rsid w:val="00BB0C48"/>
    <w:rsid w:val="00BB0DD2"/>
    <w:rsid w:val="00BB0E87"/>
    <w:rsid w:val="00BB1992"/>
    <w:rsid w:val="00BB2848"/>
    <w:rsid w:val="00BB2D3D"/>
    <w:rsid w:val="00BB3AE8"/>
    <w:rsid w:val="00BB3E6B"/>
    <w:rsid w:val="00BB4088"/>
    <w:rsid w:val="00BB4243"/>
    <w:rsid w:val="00BB47DF"/>
    <w:rsid w:val="00BB5E01"/>
    <w:rsid w:val="00BB5FFA"/>
    <w:rsid w:val="00BB63CC"/>
    <w:rsid w:val="00BB63D0"/>
    <w:rsid w:val="00BB6A83"/>
    <w:rsid w:val="00BB6D52"/>
    <w:rsid w:val="00BB7002"/>
    <w:rsid w:val="00BB742C"/>
    <w:rsid w:val="00BB7A97"/>
    <w:rsid w:val="00BB7C26"/>
    <w:rsid w:val="00BC0A39"/>
    <w:rsid w:val="00BC0DB9"/>
    <w:rsid w:val="00BC1882"/>
    <w:rsid w:val="00BC1890"/>
    <w:rsid w:val="00BC1BF3"/>
    <w:rsid w:val="00BC2314"/>
    <w:rsid w:val="00BC2654"/>
    <w:rsid w:val="00BC26F7"/>
    <w:rsid w:val="00BC2C7F"/>
    <w:rsid w:val="00BC2EF7"/>
    <w:rsid w:val="00BC41AE"/>
    <w:rsid w:val="00BC459E"/>
    <w:rsid w:val="00BC5122"/>
    <w:rsid w:val="00BC5870"/>
    <w:rsid w:val="00BC5A3C"/>
    <w:rsid w:val="00BC5F99"/>
    <w:rsid w:val="00BC6297"/>
    <w:rsid w:val="00BC6E21"/>
    <w:rsid w:val="00BC6E5A"/>
    <w:rsid w:val="00BC6EB0"/>
    <w:rsid w:val="00BC73B4"/>
    <w:rsid w:val="00BC781F"/>
    <w:rsid w:val="00BC7B16"/>
    <w:rsid w:val="00BC7BB4"/>
    <w:rsid w:val="00BD0D55"/>
    <w:rsid w:val="00BD0F64"/>
    <w:rsid w:val="00BD10FE"/>
    <w:rsid w:val="00BD1BFE"/>
    <w:rsid w:val="00BD23AB"/>
    <w:rsid w:val="00BD3278"/>
    <w:rsid w:val="00BD398E"/>
    <w:rsid w:val="00BD3AA7"/>
    <w:rsid w:val="00BD3C5E"/>
    <w:rsid w:val="00BD4246"/>
    <w:rsid w:val="00BD44BA"/>
    <w:rsid w:val="00BD4615"/>
    <w:rsid w:val="00BD4D01"/>
    <w:rsid w:val="00BD5242"/>
    <w:rsid w:val="00BD52A7"/>
    <w:rsid w:val="00BD59E7"/>
    <w:rsid w:val="00BD7147"/>
    <w:rsid w:val="00BD71C9"/>
    <w:rsid w:val="00BD73F7"/>
    <w:rsid w:val="00BD7904"/>
    <w:rsid w:val="00BD7E86"/>
    <w:rsid w:val="00BD7F95"/>
    <w:rsid w:val="00BE01A9"/>
    <w:rsid w:val="00BE04B6"/>
    <w:rsid w:val="00BE10CE"/>
    <w:rsid w:val="00BE1E3B"/>
    <w:rsid w:val="00BE1FD8"/>
    <w:rsid w:val="00BE20D8"/>
    <w:rsid w:val="00BE22C9"/>
    <w:rsid w:val="00BE29BC"/>
    <w:rsid w:val="00BE34EF"/>
    <w:rsid w:val="00BE3994"/>
    <w:rsid w:val="00BE4675"/>
    <w:rsid w:val="00BE5364"/>
    <w:rsid w:val="00BE64E3"/>
    <w:rsid w:val="00BE6E11"/>
    <w:rsid w:val="00BE76E2"/>
    <w:rsid w:val="00BF008B"/>
    <w:rsid w:val="00BF04BA"/>
    <w:rsid w:val="00BF0F9D"/>
    <w:rsid w:val="00BF136A"/>
    <w:rsid w:val="00BF1C47"/>
    <w:rsid w:val="00BF3332"/>
    <w:rsid w:val="00BF35D9"/>
    <w:rsid w:val="00BF3EF8"/>
    <w:rsid w:val="00BF3FDE"/>
    <w:rsid w:val="00BF412A"/>
    <w:rsid w:val="00BF44B9"/>
    <w:rsid w:val="00BF4672"/>
    <w:rsid w:val="00BF4B0C"/>
    <w:rsid w:val="00BF5068"/>
    <w:rsid w:val="00BF53D5"/>
    <w:rsid w:val="00BF5417"/>
    <w:rsid w:val="00BF574B"/>
    <w:rsid w:val="00BF591B"/>
    <w:rsid w:val="00BF5CAE"/>
    <w:rsid w:val="00BF6E19"/>
    <w:rsid w:val="00BF7570"/>
    <w:rsid w:val="00BF789F"/>
    <w:rsid w:val="00BF7B1B"/>
    <w:rsid w:val="00C000F5"/>
    <w:rsid w:val="00C0033E"/>
    <w:rsid w:val="00C008E1"/>
    <w:rsid w:val="00C0151F"/>
    <w:rsid w:val="00C018DA"/>
    <w:rsid w:val="00C01A3B"/>
    <w:rsid w:val="00C01B23"/>
    <w:rsid w:val="00C02084"/>
    <w:rsid w:val="00C022D1"/>
    <w:rsid w:val="00C029AD"/>
    <w:rsid w:val="00C030FF"/>
    <w:rsid w:val="00C04803"/>
    <w:rsid w:val="00C04AA7"/>
    <w:rsid w:val="00C04DCD"/>
    <w:rsid w:val="00C051A4"/>
    <w:rsid w:val="00C05581"/>
    <w:rsid w:val="00C057C2"/>
    <w:rsid w:val="00C05B4C"/>
    <w:rsid w:val="00C06A42"/>
    <w:rsid w:val="00C06BF7"/>
    <w:rsid w:val="00C0717A"/>
    <w:rsid w:val="00C071A5"/>
    <w:rsid w:val="00C073CD"/>
    <w:rsid w:val="00C101F5"/>
    <w:rsid w:val="00C10794"/>
    <w:rsid w:val="00C10B0F"/>
    <w:rsid w:val="00C11318"/>
    <w:rsid w:val="00C11AB8"/>
    <w:rsid w:val="00C11E98"/>
    <w:rsid w:val="00C12522"/>
    <w:rsid w:val="00C128E3"/>
    <w:rsid w:val="00C12B8E"/>
    <w:rsid w:val="00C12C02"/>
    <w:rsid w:val="00C132F8"/>
    <w:rsid w:val="00C1379E"/>
    <w:rsid w:val="00C140FC"/>
    <w:rsid w:val="00C14336"/>
    <w:rsid w:val="00C149B1"/>
    <w:rsid w:val="00C14E75"/>
    <w:rsid w:val="00C15377"/>
    <w:rsid w:val="00C1555F"/>
    <w:rsid w:val="00C15D75"/>
    <w:rsid w:val="00C16A6D"/>
    <w:rsid w:val="00C16CB4"/>
    <w:rsid w:val="00C16E2C"/>
    <w:rsid w:val="00C16EED"/>
    <w:rsid w:val="00C17011"/>
    <w:rsid w:val="00C171D0"/>
    <w:rsid w:val="00C17215"/>
    <w:rsid w:val="00C175D0"/>
    <w:rsid w:val="00C17A3B"/>
    <w:rsid w:val="00C17B07"/>
    <w:rsid w:val="00C2006E"/>
    <w:rsid w:val="00C20215"/>
    <w:rsid w:val="00C20617"/>
    <w:rsid w:val="00C21096"/>
    <w:rsid w:val="00C2157E"/>
    <w:rsid w:val="00C2171E"/>
    <w:rsid w:val="00C217B5"/>
    <w:rsid w:val="00C21A64"/>
    <w:rsid w:val="00C21D88"/>
    <w:rsid w:val="00C21F22"/>
    <w:rsid w:val="00C21F2A"/>
    <w:rsid w:val="00C21F98"/>
    <w:rsid w:val="00C221EF"/>
    <w:rsid w:val="00C22211"/>
    <w:rsid w:val="00C223C3"/>
    <w:rsid w:val="00C234C0"/>
    <w:rsid w:val="00C23720"/>
    <w:rsid w:val="00C23F74"/>
    <w:rsid w:val="00C2467D"/>
    <w:rsid w:val="00C26785"/>
    <w:rsid w:val="00C268BC"/>
    <w:rsid w:val="00C2793A"/>
    <w:rsid w:val="00C30312"/>
    <w:rsid w:val="00C3055F"/>
    <w:rsid w:val="00C309B5"/>
    <w:rsid w:val="00C31059"/>
    <w:rsid w:val="00C31264"/>
    <w:rsid w:val="00C31EA0"/>
    <w:rsid w:val="00C322B4"/>
    <w:rsid w:val="00C324EF"/>
    <w:rsid w:val="00C32664"/>
    <w:rsid w:val="00C33091"/>
    <w:rsid w:val="00C331CB"/>
    <w:rsid w:val="00C3339A"/>
    <w:rsid w:val="00C33556"/>
    <w:rsid w:val="00C33B9F"/>
    <w:rsid w:val="00C33F13"/>
    <w:rsid w:val="00C3436C"/>
    <w:rsid w:val="00C34D38"/>
    <w:rsid w:val="00C34DA9"/>
    <w:rsid w:val="00C35488"/>
    <w:rsid w:val="00C354F8"/>
    <w:rsid w:val="00C363F7"/>
    <w:rsid w:val="00C37760"/>
    <w:rsid w:val="00C37919"/>
    <w:rsid w:val="00C37FE4"/>
    <w:rsid w:val="00C405F9"/>
    <w:rsid w:val="00C40D37"/>
    <w:rsid w:val="00C41D03"/>
    <w:rsid w:val="00C42076"/>
    <w:rsid w:val="00C4275F"/>
    <w:rsid w:val="00C4288F"/>
    <w:rsid w:val="00C44213"/>
    <w:rsid w:val="00C44885"/>
    <w:rsid w:val="00C44F29"/>
    <w:rsid w:val="00C45387"/>
    <w:rsid w:val="00C4693C"/>
    <w:rsid w:val="00C47AE7"/>
    <w:rsid w:val="00C50073"/>
    <w:rsid w:val="00C500EE"/>
    <w:rsid w:val="00C503B6"/>
    <w:rsid w:val="00C504BF"/>
    <w:rsid w:val="00C50D8C"/>
    <w:rsid w:val="00C50E64"/>
    <w:rsid w:val="00C50EDC"/>
    <w:rsid w:val="00C50EFB"/>
    <w:rsid w:val="00C514A8"/>
    <w:rsid w:val="00C51B93"/>
    <w:rsid w:val="00C51F68"/>
    <w:rsid w:val="00C5233F"/>
    <w:rsid w:val="00C53344"/>
    <w:rsid w:val="00C53478"/>
    <w:rsid w:val="00C53B0B"/>
    <w:rsid w:val="00C53C21"/>
    <w:rsid w:val="00C53FEE"/>
    <w:rsid w:val="00C544C5"/>
    <w:rsid w:val="00C55CC4"/>
    <w:rsid w:val="00C568F9"/>
    <w:rsid w:val="00C569FF"/>
    <w:rsid w:val="00C56A9D"/>
    <w:rsid w:val="00C56D68"/>
    <w:rsid w:val="00C56F44"/>
    <w:rsid w:val="00C57301"/>
    <w:rsid w:val="00C5753C"/>
    <w:rsid w:val="00C57CD0"/>
    <w:rsid w:val="00C60F42"/>
    <w:rsid w:val="00C6106F"/>
    <w:rsid w:val="00C612BF"/>
    <w:rsid w:val="00C61A13"/>
    <w:rsid w:val="00C62480"/>
    <w:rsid w:val="00C628CB"/>
    <w:rsid w:val="00C63783"/>
    <w:rsid w:val="00C63C83"/>
    <w:rsid w:val="00C646B5"/>
    <w:rsid w:val="00C647CA"/>
    <w:rsid w:val="00C65372"/>
    <w:rsid w:val="00C65FA9"/>
    <w:rsid w:val="00C6615E"/>
    <w:rsid w:val="00C66738"/>
    <w:rsid w:val="00C66FC9"/>
    <w:rsid w:val="00C671F4"/>
    <w:rsid w:val="00C67514"/>
    <w:rsid w:val="00C67749"/>
    <w:rsid w:val="00C678DC"/>
    <w:rsid w:val="00C67B7F"/>
    <w:rsid w:val="00C70B82"/>
    <w:rsid w:val="00C70CB3"/>
    <w:rsid w:val="00C70FAB"/>
    <w:rsid w:val="00C70FBE"/>
    <w:rsid w:val="00C711F9"/>
    <w:rsid w:val="00C7155B"/>
    <w:rsid w:val="00C71D6A"/>
    <w:rsid w:val="00C72898"/>
    <w:rsid w:val="00C72920"/>
    <w:rsid w:val="00C73291"/>
    <w:rsid w:val="00C7339F"/>
    <w:rsid w:val="00C737BA"/>
    <w:rsid w:val="00C73E87"/>
    <w:rsid w:val="00C73FE3"/>
    <w:rsid w:val="00C73FEB"/>
    <w:rsid w:val="00C7497F"/>
    <w:rsid w:val="00C74C23"/>
    <w:rsid w:val="00C7564C"/>
    <w:rsid w:val="00C75C36"/>
    <w:rsid w:val="00C762B7"/>
    <w:rsid w:val="00C7630A"/>
    <w:rsid w:val="00C76448"/>
    <w:rsid w:val="00C7671C"/>
    <w:rsid w:val="00C76E5F"/>
    <w:rsid w:val="00C770BB"/>
    <w:rsid w:val="00C77237"/>
    <w:rsid w:val="00C8058B"/>
    <w:rsid w:val="00C80C3D"/>
    <w:rsid w:val="00C811C6"/>
    <w:rsid w:val="00C8139B"/>
    <w:rsid w:val="00C81571"/>
    <w:rsid w:val="00C817A1"/>
    <w:rsid w:val="00C8196A"/>
    <w:rsid w:val="00C81D1F"/>
    <w:rsid w:val="00C823F1"/>
    <w:rsid w:val="00C8242D"/>
    <w:rsid w:val="00C8264C"/>
    <w:rsid w:val="00C82D98"/>
    <w:rsid w:val="00C82E20"/>
    <w:rsid w:val="00C82F87"/>
    <w:rsid w:val="00C8328D"/>
    <w:rsid w:val="00C83DDE"/>
    <w:rsid w:val="00C854FE"/>
    <w:rsid w:val="00C85518"/>
    <w:rsid w:val="00C85CA3"/>
    <w:rsid w:val="00C864FF"/>
    <w:rsid w:val="00C86DC3"/>
    <w:rsid w:val="00C86EC4"/>
    <w:rsid w:val="00C872FC"/>
    <w:rsid w:val="00C874CA"/>
    <w:rsid w:val="00C902AF"/>
    <w:rsid w:val="00C9043A"/>
    <w:rsid w:val="00C90D66"/>
    <w:rsid w:val="00C911B6"/>
    <w:rsid w:val="00C9170D"/>
    <w:rsid w:val="00C91848"/>
    <w:rsid w:val="00C9190D"/>
    <w:rsid w:val="00C9235F"/>
    <w:rsid w:val="00C92475"/>
    <w:rsid w:val="00C92CBF"/>
    <w:rsid w:val="00C92E82"/>
    <w:rsid w:val="00C93363"/>
    <w:rsid w:val="00C93D23"/>
    <w:rsid w:val="00C945B2"/>
    <w:rsid w:val="00C94CB4"/>
    <w:rsid w:val="00C954A8"/>
    <w:rsid w:val="00C954E8"/>
    <w:rsid w:val="00C9571F"/>
    <w:rsid w:val="00C958CB"/>
    <w:rsid w:val="00C9630E"/>
    <w:rsid w:val="00C9656B"/>
    <w:rsid w:val="00C966EE"/>
    <w:rsid w:val="00C96838"/>
    <w:rsid w:val="00C969DE"/>
    <w:rsid w:val="00C97141"/>
    <w:rsid w:val="00CA00C1"/>
    <w:rsid w:val="00CA02F7"/>
    <w:rsid w:val="00CA069A"/>
    <w:rsid w:val="00CA0E4B"/>
    <w:rsid w:val="00CA0E6B"/>
    <w:rsid w:val="00CA0F19"/>
    <w:rsid w:val="00CA11CF"/>
    <w:rsid w:val="00CA12E0"/>
    <w:rsid w:val="00CA157F"/>
    <w:rsid w:val="00CA1CAB"/>
    <w:rsid w:val="00CA1ED2"/>
    <w:rsid w:val="00CA2C28"/>
    <w:rsid w:val="00CA3044"/>
    <w:rsid w:val="00CA314C"/>
    <w:rsid w:val="00CA3434"/>
    <w:rsid w:val="00CA3EBC"/>
    <w:rsid w:val="00CA423C"/>
    <w:rsid w:val="00CA4CEE"/>
    <w:rsid w:val="00CA5C4A"/>
    <w:rsid w:val="00CA7090"/>
    <w:rsid w:val="00CA7162"/>
    <w:rsid w:val="00CA7474"/>
    <w:rsid w:val="00CA751F"/>
    <w:rsid w:val="00CA77EA"/>
    <w:rsid w:val="00CA7807"/>
    <w:rsid w:val="00CB06E4"/>
    <w:rsid w:val="00CB0707"/>
    <w:rsid w:val="00CB12E5"/>
    <w:rsid w:val="00CB1652"/>
    <w:rsid w:val="00CB2872"/>
    <w:rsid w:val="00CB2BBE"/>
    <w:rsid w:val="00CB2CA3"/>
    <w:rsid w:val="00CB2FE7"/>
    <w:rsid w:val="00CB30F8"/>
    <w:rsid w:val="00CB3951"/>
    <w:rsid w:val="00CB3BFC"/>
    <w:rsid w:val="00CB3FBB"/>
    <w:rsid w:val="00CB4073"/>
    <w:rsid w:val="00CB43C0"/>
    <w:rsid w:val="00CB4B34"/>
    <w:rsid w:val="00CB4D6C"/>
    <w:rsid w:val="00CB4F26"/>
    <w:rsid w:val="00CB5E32"/>
    <w:rsid w:val="00CB6221"/>
    <w:rsid w:val="00CB62A9"/>
    <w:rsid w:val="00CB646B"/>
    <w:rsid w:val="00CB6657"/>
    <w:rsid w:val="00CB6D72"/>
    <w:rsid w:val="00CB7853"/>
    <w:rsid w:val="00CC0C93"/>
    <w:rsid w:val="00CC16E9"/>
    <w:rsid w:val="00CC1C30"/>
    <w:rsid w:val="00CC22D6"/>
    <w:rsid w:val="00CC2332"/>
    <w:rsid w:val="00CC23A8"/>
    <w:rsid w:val="00CC2E77"/>
    <w:rsid w:val="00CC3115"/>
    <w:rsid w:val="00CC35B4"/>
    <w:rsid w:val="00CC4056"/>
    <w:rsid w:val="00CC418B"/>
    <w:rsid w:val="00CC5103"/>
    <w:rsid w:val="00CC5745"/>
    <w:rsid w:val="00CC628F"/>
    <w:rsid w:val="00CC70C5"/>
    <w:rsid w:val="00CD08AB"/>
    <w:rsid w:val="00CD1EE8"/>
    <w:rsid w:val="00CD2204"/>
    <w:rsid w:val="00CD2CF8"/>
    <w:rsid w:val="00CD3917"/>
    <w:rsid w:val="00CD47AE"/>
    <w:rsid w:val="00CD48A3"/>
    <w:rsid w:val="00CD4C5C"/>
    <w:rsid w:val="00CD4F1E"/>
    <w:rsid w:val="00CD559B"/>
    <w:rsid w:val="00CD55B0"/>
    <w:rsid w:val="00CD5A80"/>
    <w:rsid w:val="00CD62F8"/>
    <w:rsid w:val="00CD7E71"/>
    <w:rsid w:val="00CD7ED8"/>
    <w:rsid w:val="00CE0B3F"/>
    <w:rsid w:val="00CE0E76"/>
    <w:rsid w:val="00CE1034"/>
    <w:rsid w:val="00CE1179"/>
    <w:rsid w:val="00CE12CF"/>
    <w:rsid w:val="00CE29DE"/>
    <w:rsid w:val="00CE33AD"/>
    <w:rsid w:val="00CE38C4"/>
    <w:rsid w:val="00CE3A17"/>
    <w:rsid w:val="00CE3C0B"/>
    <w:rsid w:val="00CE3C4C"/>
    <w:rsid w:val="00CE3DCB"/>
    <w:rsid w:val="00CE4B18"/>
    <w:rsid w:val="00CE4CB0"/>
    <w:rsid w:val="00CE51B8"/>
    <w:rsid w:val="00CE5395"/>
    <w:rsid w:val="00CE68A9"/>
    <w:rsid w:val="00CE6B71"/>
    <w:rsid w:val="00CE7309"/>
    <w:rsid w:val="00CE7BDE"/>
    <w:rsid w:val="00CF0553"/>
    <w:rsid w:val="00CF0C81"/>
    <w:rsid w:val="00CF15BC"/>
    <w:rsid w:val="00CF15FC"/>
    <w:rsid w:val="00CF1CAD"/>
    <w:rsid w:val="00CF2308"/>
    <w:rsid w:val="00CF23E5"/>
    <w:rsid w:val="00CF2760"/>
    <w:rsid w:val="00CF305F"/>
    <w:rsid w:val="00CF3D15"/>
    <w:rsid w:val="00CF458A"/>
    <w:rsid w:val="00CF480B"/>
    <w:rsid w:val="00CF4E12"/>
    <w:rsid w:val="00CF4E5A"/>
    <w:rsid w:val="00CF5690"/>
    <w:rsid w:val="00CF5EC0"/>
    <w:rsid w:val="00CF6643"/>
    <w:rsid w:val="00CF68C0"/>
    <w:rsid w:val="00CF794B"/>
    <w:rsid w:val="00D00158"/>
    <w:rsid w:val="00D006DB"/>
    <w:rsid w:val="00D00E77"/>
    <w:rsid w:val="00D00FC8"/>
    <w:rsid w:val="00D010AE"/>
    <w:rsid w:val="00D018DD"/>
    <w:rsid w:val="00D01AD0"/>
    <w:rsid w:val="00D01C52"/>
    <w:rsid w:val="00D0205A"/>
    <w:rsid w:val="00D025EC"/>
    <w:rsid w:val="00D02D5E"/>
    <w:rsid w:val="00D032A6"/>
    <w:rsid w:val="00D0349D"/>
    <w:rsid w:val="00D03910"/>
    <w:rsid w:val="00D03D2C"/>
    <w:rsid w:val="00D04179"/>
    <w:rsid w:val="00D05504"/>
    <w:rsid w:val="00D0553D"/>
    <w:rsid w:val="00D06076"/>
    <w:rsid w:val="00D062DB"/>
    <w:rsid w:val="00D074E5"/>
    <w:rsid w:val="00D07803"/>
    <w:rsid w:val="00D07815"/>
    <w:rsid w:val="00D07E57"/>
    <w:rsid w:val="00D1007F"/>
    <w:rsid w:val="00D1040B"/>
    <w:rsid w:val="00D109CD"/>
    <w:rsid w:val="00D10A55"/>
    <w:rsid w:val="00D11063"/>
    <w:rsid w:val="00D112CB"/>
    <w:rsid w:val="00D11356"/>
    <w:rsid w:val="00D11484"/>
    <w:rsid w:val="00D1169F"/>
    <w:rsid w:val="00D11743"/>
    <w:rsid w:val="00D117D8"/>
    <w:rsid w:val="00D11FF7"/>
    <w:rsid w:val="00D121A3"/>
    <w:rsid w:val="00D122DE"/>
    <w:rsid w:val="00D12F1A"/>
    <w:rsid w:val="00D13180"/>
    <w:rsid w:val="00D134C6"/>
    <w:rsid w:val="00D13832"/>
    <w:rsid w:val="00D138B8"/>
    <w:rsid w:val="00D13B96"/>
    <w:rsid w:val="00D13E3F"/>
    <w:rsid w:val="00D13EBE"/>
    <w:rsid w:val="00D148D7"/>
    <w:rsid w:val="00D14C59"/>
    <w:rsid w:val="00D15EFF"/>
    <w:rsid w:val="00D16232"/>
    <w:rsid w:val="00D16272"/>
    <w:rsid w:val="00D169FB"/>
    <w:rsid w:val="00D16A3E"/>
    <w:rsid w:val="00D16F30"/>
    <w:rsid w:val="00D17211"/>
    <w:rsid w:val="00D200DF"/>
    <w:rsid w:val="00D20615"/>
    <w:rsid w:val="00D20685"/>
    <w:rsid w:val="00D206DA"/>
    <w:rsid w:val="00D206ED"/>
    <w:rsid w:val="00D21BA6"/>
    <w:rsid w:val="00D21BB1"/>
    <w:rsid w:val="00D2215D"/>
    <w:rsid w:val="00D22389"/>
    <w:rsid w:val="00D22570"/>
    <w:rsid w:val="00D22747"/>
    <w:rsid w:val="00D22E2A"/>
    <w:rsid w:val="00D235D5"/>
    <w:rsid w:val="00D23860"/>
    <w:rsid w:val="00D23CE4"/>
    <w:rsid w:val="00D2470D"/>
    <w:rsid w:val="00D2559C"/>
    <w:rsid w:val="00D25C7F"/>
    <w:rsid w:val="00D275FE"/>
    <w:rsid w:val="00D30F28"/>
    <w:rsid w:val="00D3107F"/>
    <w:rsid w:val="00D31193"/>
    <w:rsid w:val="00D31A6A"/>
    <w:rsid w:val="00D3254F"/>
    <w:rsid w:val="00D32756"/>
    <w:rsid w:val="00D32F9B"/>
    <w:rsid w:val="00D33526"/>
    <w:rsid w:val="00D33A49"/>
    <w:rsid w:val="00D3409F"/>
    <w:rsid w:val="00D34C40"/>
    <w:rsid w:val="00D34FD8"/>
    <w:rsid w:val="00D3535F"/>
    <w:rsid w:val="00D357DE"/>
    <w:rsid w:val="00D35A49"/>
    <w:rsid w:val="00D35AE2"/>
    <w:rsid w:val="00D35D4F"/>
    <w:rsid w:val="00D36669"/>
    <w:rsid w:val="00D36EA6"/>
    <w:rsid w:val="00D3734A"/>
    <w:rsid w:val="00D37501"/>
    <w:rsid w:val="00D37F46"/>
    <w:rsid w:val="00D4005B"/>
    <w:rsid w:val="00D401A2"/>
    <w:rsid w:val="00D40EAB"/>
    <w:rsid w:val="00D411B9"/>
    <w:rsid w:val="00D4145A"/>
    <w:rsid w:val="00D4221B"/>
    <w:rsid w:val="00D42947"/>
    <w:rsid w:val="00D42C20"/>
    <w:rsid w:val="00D435C1"/>
    <w:rsid w:val="00D439C1"/>
    <w:rsid w:val="00D442B6"/>
    <w:rsid w:val="00D44A13"/>
    <w:rsid w:val="00D4550A"/>
    <w:rsid w:val="00D45610"/>
    <w:rsid w:val="00D4563A"/>
    <w:rsid w:val="00D45EBF"/>
    <w:rsid w:val="00D45FB9"/>
    <w:rsid w:val="00D46BEF"/>
    <w:rsid w:val="00D478F7"/>
    <w:rsid w:val="00D47A79"/>
    <w:rsid w:val="00D50A3F"/>
    <w:rsid w:val="00D50BF0"/>
    <w:rsid w:val="00D52086"/>
    <w:rsid w:val="00D52148"/>
    <w:rsid w:val="00D522FB"/>
    <w:rsid w:val="00D52ABF"/>
    <w:rsid w:val="00D53F82"/>
    <w:rsid w:val="00D5541C"/>
    <w:rsid w:val="00D55F6A"/>
    <w:rsid w:val="00D60F4A"/>
    <w:rsid w:val="00D61588"/>
    <w:rsid w:val="00D61618"/>
    <w:rsid w:val="00D619F1"/>
    <w:rsid w:val="00D61A04"/>
    <w:rsid w:val="00D61A45"/>
    <w:rsid w:val="00D61B2D"/>
    <w:rsid w:val="00D61E5C"/>
    <w:rsid w:val="00D629FB"/>
    <w:rsid w:val="00D62B4C"/>
    <w:rsid w:val="00D64399"/>
    <w:rsid w:val="00D646D6"/>
    <w:rsid w:val="00D651BF"/>
    <w:rsid w:val="00D65507"/>
    <w:rsid w:val="00D667F6"/>
    <w:rsid w:val="00D66B9A"/>
    <w:rsid w:val="00D66DC7"/>
    <w:rsid w:val="00D67388"/>
    <w:rsid w:val="00D673ED"/>
    <w:rsid w:val="00D6740C"/>
    <w:rsid w:val="00D677AD"/>
    <w:rsid w:val="00D67898"/>
    <w:rsid w:val="00D67C7D"/>
    <w:rsid w:val="00D67E1B"/>
    <w:rsid w:val="00D67EAC"/>
    <w:rsid w:val="00D70267"/>
    <w:rsid w:val="00D726AD"/>
    <w:rsid w:val="00D72BD1"/>
    <w:rsid w:val="00D7439D"/>
    <w:rsid w:val="00D74936"/>
    <w:rsid w:val="00D7499E"/>
    <w:rsid w:val="00D74C97"/>
    <w:rsid w:val="00D756AB"/>
    <w:rsid w:val="00D75C74"/>
    <w:rsid w:val="00D75CDA"/>
    <w:rsid w:val="00D76106"/>
    <w:rsid w:val="00D76213"/>
    <w:rsid w:val="00D7674B"/>
    <w:rsid w:val="00D76B72"/>
    <w:rsid w:val="00D76F94"/>
    <w:rsid w:val="00D77354"/>
    <w:rsid w:val="00D7758C"/>
    <w:rsid w:val="00D80101"/>
    <w:rsid w:val="00D807FD"/>
    <w:rsid w:val="00D80CAC"/>
    <w:rsid w:val="00D815F5"/>
    <w:rsid w:val="00D81D20"/>
    <w:rsid w:val="00D81F85"/>
    <w:rsid w:val="00D836A4"/>
    <w:rsid w:val="00D83CDC"/>
    <w:rsid w:val="00D83D69"/>
    <w:rsid w:val="00D84004"/>
    <w:rsid w:val="00D84259"/>
    <w:rsid w:val="00D844D8"/>
    <w:rsid w:val="00D8466E"/>
    <w:rsid w:val="00D8487E"/>
    <w:rsid w:val="00D84A89"/>
    <w:rsid w:val="00D84AB8"/>
    <w:rsid w:val="00D85150"/>
    <w:rsid w:val="00D8583F"/>
    <w:rsid w:val="00D8596E"/>
    <w:rsid w:val="00D8615F"/>
    <w:rsid w:val="00D8643A"/>
    <w:rsid w:val="00D868AA"/>
    <w:rsid w:val="00D86E1D"/>
    <w:rsid w:val="00D8754D"/>
    <w:rsid w:val="00D87786"/>
    <w:rsid w:val="00D87FA3"/>
    <w:rsid w:val="00D90394"/>
    <w:rsid w:val="00D90B27"/>
    <w:rsid w:val="00D90B86"/>
    <w:rsid w:val="00D90DC5"/>
    <w:rsid w:val="00D91DC2"/>
    <w:rsid w:val="00D920C5"/>
    <w:rsid w:val="00D924AE"/>
    <w:rsid w:val="00D92914"/>
    <w:rsid w:val="00D947A7"/>
    <w:rsid w:val="00D9483C"/>
    <w:rsid w:val="00D949EC"/>
    <w:rsid w:val="00D94B13"/>
    <w:rsid w:val="00D94DC6"/>
    <w:rsid w:val="00D966D7"/>
    <w:rsid w:val="00D96F50"/>
    <w:rsid w:val="00D97658"/>
    <w:rsid w:val="00D97BA8"/>
    <w:rsid w:val="00DA0674"/>
    <w:rsid w:val="00DA09F0"/>
    <w:rsid w:val="00DA0A68"/>
    <w:rsid w:val="00DA0A93"/>
    <w:rsid w:val="00DA0D1B"/>
    <w:rsid w:val="00DA1454"/>
    <w:rsid w:val="00DA1B06"/>
    <w:rsid w:val="00DA1CE0"/>
    <w:rsid w:val="00DA27F3"/>
    <w:rsid w:val="00DA2ED8"/>
    <w:rsid w:val="00DA3594"/>
    <w:rsid w:val="00DA3AD0"/>
    <w:rsid w:val="00DA3F21"/>
    <w:rsid w:val="00DA449F"/>
    <w:rsid w:val="00DA454B"/>
    <w:rsid w:val="00DA4659"/>
    <w:rsid w:val="00DA489F"/>
    <w:rsid w:val="00DA4ACE"/>
    <w:rsid w:val="00DA53CC"/>
    <w:rsid w:val="00DA54C6"/>
    <w:rsid w:val="00DA559A"/>
    <w:rsid w:val="00DA565F"/>
    <w:rsid w:val="00DA596B"/>
    <w:rsid w:val="00DA5EE1"/>
    <w:rsid w:val="00DA67D3"/>
    <w:rsid w:val="00DA6AFB"/>
    <w:rsid w:val="00DA6C21"/>
    <w:rsid w:val="00DA6D33"/>
    <w:rsid w:val="00DA6E83"/>
    <w:rsid w:val="00DA7851"/>
    <w:rsid w:val="00DA7C1F"/>
    <w:rsid w:val="00DB04A3"/>
    <w:rsid w:val="00DB0A6C"/>
    <w:rsid w:val="00DB20D9"/>
    <w:rsid w:val="00DB2193"/>
    <w:rsid w:val="00DB2770"/>
    <w:rsid w:val="00DB2BAF"/>
    <w:rsid w:val="00DB339E"/>
    <w:rsid w:val="00DB363F"/>
    <w:rsid w:val="00DB3BEE"/>
    <w:rsid w:val="00DB3C40"/>
    <w:rsid w:val="00DB4592"/>
    <w:rsid w:val="00DB45D6"/>
    <w:rsid w:val="00DB565D"/>
    <w:rsid w:val="00DB5C2F"/>
    <w:rsid w:val="00DB5D33"/>
    <w:rsid w:val="00DB6067"/>
    <w:rsid w:val="00DB6927"/>
    <w:rsid w:val="00DB6BE7"/>
    <w:rsid w:val="00DB790A"/>
    <w:rsid w:val="00DB7AAA"/>
    <w:rsid w:val="00DC0040"/>
    <w:rsid w:val="00DC0048"/>
    <w:rsid w:val="00DC036F"/>
    <w:rsid w:val="00DC03D8"/>
    <w:rsid w:val="00DC0A18"/>
    <w:rsid w:val="00DC0D10"/>
    <w:rsid w:val="00DC222A"/>
    <w:rsid w:val="00DC2C0F"/>
    <w:rsid w:val="00DC2C9C"/>
    <w:rsid w:val="00DC37EB"/>
    <w:rsid w:val="00DC45C4"/>
    <w:rsid w:val="00DC4BA3"/>
    <w:rsid w:val="00DC50E3"/>
    <w:rsid w:val="00DC5257"/>
    <w:rsid w:val="00DC54C4"/>
    <w:rsid w:val="00DC5A31"/>
    <w:rsid w:val="00DC5F55"/>
    <w:rsid w:val="00DC6A36"/>
    <w:rsid w:val="00DC6A95"/>
    <w:rsid w:val="00DC6C61"/>
    <w:rsid w:val="00DC71B9"/>
    <w:rsid w:val="00DC72E4"/>
    <w:rsid w:val="00DC7C7E"/>
    <w:rsid w:val="00DD075A"/>
    <w:rsid w:val="00DD0DF2"/>
    <w:rsid w:val="00DD0FBB"/>
    <w:rsid w:val="00DD1541"/>
    <w:rsid w:val="00DD16E1"/>
    <w:rsid w:val="00DD17A8"/>
    <w:rsid w:val="00DD1BAE"/>
    <w:rsid w:val="00DD1DC7"/>
    <w:rsid w:val="00DD1E9F"/>
    <w:rsid w:val="00DD21C2"/>
    <w:rsid w:val="00DD2804"/>
    <w:rsid w:val="00DD2B9B"/>
    <w:rsid w:val="00DD3916"/>
    <w:rsid w:val="00DD4E6E"/>
    <w:rsid w:val="00DD5308"/>
    <w:rsid w:val="00DD5D69"/>
    <w:rsid w:val="00DD61B2"/>
    <w:rsid w:val="00DD7BD1"/>
    <w:rsid w:val="00DD7DE7"/>
    <w:rsid w:val="00DD7EF0"/>
    <w:rsid w:val="00DE0D84"/>
    <w:rsid w:val="00DE1133"/>
    <w:rsid w:val="00DE1220"/>
    <w:rsid w:val="00DE1251"/>
    <w:rsid w:val="00DE1547"/>
    <w:rsid w:val="00DE1571"/>
    <w:rsid w:val="00DE260D"/>
    <w:rsid w:val="00DE271B"/>
    <w:rsid w:val="00DE2833"/>
    <w:rsid w:val="00DE2908"/>
    <w:rsid w:val="00DE2CCD"/>
    <w:rsid w:val="00DE34C7"/>
    <w:rsid w:val="00DE38F6"/>
    <w:rsid w:val="00DE41E2"/>
    <w:rsid w:val="00DE435D"/>
    <w:rsid w:val="00DE48A1"/>
    <w:rsid w:val="00DE4BDE"/>
    <w:rsid w:val="00DE5F95"/>
    <w:rsid w:val="00DE6290"/>
    <w:rsid w:val="00DE6335"/>
    <w:rsid w:val="00DE65D0"/>
    <w:rsid w:val="00DE6625"/>
    <w:rsid w:val="00DE6AF9"/>
    <w:rsid w:val="00DE73E4"/>
    <w:rsid w:val="00DE763E"/>
    <w:rsid w:val="00DF011F"/>
    <w:rsid w:val="00DF0F89"/>
    <w:rsid w:val="00DF1125"/>
    <w:rsid w:val="00DF1166"/>
    <w:rsid w:val="00DF1A54"/>
    <w:rsid w:val="00DF1A57"/>
    <w:rsid w:val="00DF2084"/>
    <w:rsid w:val="00DF248E"/>
    <w:rsid w:val="00DF25E9"/>
    <w:rsid w:val="00DF2698"/>
    <w:rsid w:val="00DF2A26"/>
    <w:rsid w:val="00DF3250"/>
    <w:rsid w:val="00DF3C86"/>
    <w:rsid w:val="00DF525A"/>
    <w:rsid w:val="00DF54EC"/>
    <w:rsid w:val="00DF573E"/>
    <w:rsid w:val="00DF5D18"/>
    <w:rsid w:val="00DF5FC2"/>
    <w:rsid w:val="00DF6FB0"/>
    <w:rsid w:val="00DF7273"/>
    <w:rsid w:val="00DF72AA"/>
    <w:rsid w:val="00DF7735"/>
    <w:rsid w:val="00DF7934"/>
    <w:rsid w:val="00DF7A7B"/>
    <w:rsid w:val="00E0051C"/>
    <w:rsid w:val="00E00662"/>
    <w:rsid w:val="00E008C4"/>
    <w:rsid w:val="00E01B53"/>
    <w:rsid w:val="00E01EEF"/>
    <w:rsid w:val="00E01F3E"/>
    <w:rsid w:val="00E023AB"/>
    <w:rsid w:val="00E02424"/>
    <w:rsid w:val="00E03452"/>
    <w:rsid w:val="00E039CD"/>
    <w:rsid w:val="00E0446E"/>
    <w:rsid w:val="00E0496F"/>
    <w:rsid w:val="00E04EE4"/>
    <w:rsid w:val="00E06602"/>
    <w:rsid w:val="00E0789C"/>
    <w:rsid w:val="00E1011F"/>
    <w:rsid w:val="00E1061C"/>
    <w:rsid w:val="00E10D29"/>
    <w:rsid w:val="00E1103B"/>
    <w:rsid w:val="00E11769"/>
    <w:rsid w:val="00E11BCE"/>
    <w:rsid w:val="00E11C5B"/>
    <w:rsid w:val="00E13486"/>
    <w:rsid w:val="00E13B1F"/>
    <w:rsid w:val="00E13E50"/>
    <w:rsid w:val="00E14655"/>
    <w:rsid w:val="00E14855"/>
    <w:rsid w:val="00E14B44"/>
    <w:rsid w:val="00E14F84"/>
    <w:rsid w:val="00E15525"/>
    <w:rsid w:val="00E15CD8"/>
    <w:rsid w:val="00E15DC9"/>
    <w:rsid w:val="00E15F1D"/>
    <w:rsid w:val="00E160A5"/>
    <w:rsid w:val="00E1619A"/>
    <w:rsid w:val="00E164C7"/>
    <w:rsid w:val="00E16D31"/>
    <w:rsid w:val="00E1737A"/>
    <w:rsid w:val="00E1775D"/>
    <w:rsid w:val="00E20399"/>
    <w:rsid w:val="00E20E21"/>
    <w:rsid w:val="00E21318"/>
    <w:rsid w:val="00E213A8"/>
    <w:rsid w:val="00E22325"/>
    <w:rsid w:val="00E2369A"/>
    <w:rsid w:val="00E236BF"/>
    <w:rsid w:val="00E2422E"/>
    <w:rsid w:val="00E244EF"/>
    <w:rsid w:val="00E24876"/>
    <w:rsid w:val="00E250F2"/>
    <w:rsid w:val="00E2536C"/>
    <w:rsid w:val="00E260CA"/>
    <w:rsid w:val="00E262D1"/>
    <w:rsid w:val="00E27600"/>
    <w:rsid w:val="00E27ADD"/>
    <w:rsid w:val="00E27CFF"/>
    <w:rsid w:val="00E30132"/>
    <w:rsid w:val="00E30A5B"/>
    <w:rsid w:val="00E30D31"/>
    <w:rsid w:val="00E31D3D"/>
    <w:rsid w:val="00E32437"/>
    <w:rsid w:val="00E32FA7"/>
    <w:rsid w:val="00E3353C"/>
    <w:rsid w:val="00E339D2"/>
    <w:rsid w:val="00E33C80"/>
    <w:rsid w:val="00E33CB5"/>
    <w:rsid w:val="00E35324"/>
    <w:rsid w:val="00E357E8"/>
    <w:rsid w:val="00E35998"/>
    <w:rsid w:val="00E35A58"/>
    <w:rsid w:val="00E35AD6"/>
    <w:rsid w:val="00E35AED"/>
    <w:rsid w:val="00E362EE"/>
    <w:rsid w:val="00E365E5"/>
    <w:rsid w:val="00E36C6F"/>
    <w:rsid w:val="00E37439"/>
    <w:rsid w:val="00E374F1"/>
    <w:rsid w:val="00E37A23"/>
    <w:rsid w:val="00E403C1"/>
    <w:rsid w:val="00E40731"/>
    <w:rsid w:val="00E40891"/>
    <w:rsid w:val="00E41FD6"/>
    <w:rsid w:val="00E4228E"/>
    <w:rsid w:val="00E429A2"/>
    <w:rsid w:val="00E431D7"/>
    <w:rsid w:val="00E43456"/>
    <w:rsid w:val="00E436FB"/>
    <w:rsid w:val="00E4374B"/>
    <w:rsid w:val="00E43AD7"/>
    <w:rsid w:val="00E43E47"/>
    <w:rsid w:val="00E43EF3"/>
    <w:rsid w:val="00E44525"/>
    <w:rsid w:val="00E45D66"/>
    <w:rsid w:val="00E46A35"/>
    <w:rsid w:val="00E479C1"/>
    <w:rsid w:val="00E47B14"/>
    <w:rsid w:val="00E50353"/>
    <w:rsid w:val="00E5053D"/>
    <w:rsid w:val="00E51A29"/>
    <w:rsid w:val="00E52462"/>
    <w:rsid w:val="00E52DBC"/>
    <w:rsid w:val="00E53482"/>
    <w:rsid w:val="00E53AC3"/>
    <w:rsid w:val="00E54090"/>
    <w:rsid w:val="00E5562C"/>
    <w:rsid w:val="00E556AE"/>
    <w:rsid w:val="00E5573A"/>
    <w:rsid w:val="00E55D80"/>
    <w:rsid w:val="00E565BD"/>
    <w:rsid w:val="00E565D7"/>
    <w:rsid w:val="00E56B48"/>
    <w:rsid w:val="00E56D11"/>
    <w:rsid w:val="00E56DFE"/>
    <w:rsid w:val="00E575AB"/>
    <w:rsid w:val="00E6068A"/>
    <w:rsid w:val="00E60DF9"/>
    <w:rsid w:val="00E60E1D"/>
    <w:rsid w:val="00E613DF"/>
    <w:rsid w:val="00E613E6"/>
    <w:rsid w:val="00E61847"/>
    <w:rsid w:val="00E61EF8"/>
    <w:rsid w:val="00E622DA"/>
    <w:rsid w:val="00E62FFC"/>
    <w:rsid w:val="00E63298"/>
    <w:rsid w:val="00E637C3"/>
    <w:rsid w:val="00E63B63"/>
    <w:rsid w:val="00E6482C"/>
    <w:rsid w:val="00E6492F"/>
    <w:rsid w:val="00E65117"/>
    <w:rsid w:val="00E6612C"/>
    <w:rsid w:val="00E66276"/>
    <w:rsid w:val="00E66650"/>
    <w:rsid w:val="00E66BFD"/>
    <w:rsid w:val="00E66C09"/>
    <w:rsid w:val="00E66C97"/>
    <w:rsid w:val="00E66EE4"/>
    <w:rsid w:val="00E67177"/>
    <w:rsid w:val="00E67782"/>
    <w:rsid w:val="00E67A85"/>
    <w:rsid w:val="00E67ADE"/>
    <w:rsid w:val="00E67B42"/>
    <w:rsid w:val="00E67BAC"/>
    <w:rsid w:val="00E706F4"/>
    <w:rsid w:val="00E707DB"/>
    <w:rsid w:val="00E7082B"/>
    <w:rsid w:val="00E70CCD"/>
    <w:rsid w:val="00E70D7A"/>
    <w:rsid w:val="00E71270"/>
    <w:rsid w:val="00E71402"/>
    <w:rsid w:val="00E72130"/>
    <w:rsid w:val="00E72218"/>
    <w:rsid w:val="00E72CAE"/>
    <w:rsid w:val="00E732D2"/>
    <w:rsid w:val="00E749F5"/>
    <w:rsid w:val="00E74C26"/>
    <w:rsid w:val="00E7587C"/>
    <w:rsid w:val="00E75D4D"/>
    <w:rsid w:val="00E76575"/>
    <w:rsid w:val="00E76D71"/>
    <w:rsid w:val="00E7732F"/>
    <w:rsid w:val="00E77A1C"/>
    <w:rsid w:val="00E77C6E"/>
    <w:rsid w:val="00E77E04"/>
    <w:rsid w:val="00E80080"/>
    <w:rsid w:val="00E8058F"/>
    <w:rsid w:val="00E80F92"/>
    <w:rsid w:val="00E81427"/>
    <w:rsid w:val="00E81C67"/>
    <w:rsid w:val="00E8225D"/>
    <w:rsid w:val="00E824CE"/>
    <w:rsid w:val="00E82A15"/>
    <w:rsid w:val="00E82A4F"/>
    <w:rsid w:val="00E82B9A"/>
    <w:rsid w:val="00E82D7C"/>
    <w:rsid w:val="00E8339A"/>
    <w:rsid w:val="00E83CC2"/>
    <w:rsid w:val="00E84546"/>
    <w:rsid w:val="00E84D52"/>
    <w:rsid w:val="00E857B4"/>
    <w:rsid w:val="00E858D2"/>
    <w:rsid w:val="00E85ACA"/>
    <w:rsid w:val="00E85CD2"/>
    <w:rsid w:val="00E86921"/>
    <w:rsid w:val="00E86C82"/>
    <w:rsid w:val="00E87845"/>
    <w:rsid w:val="00E87AB2"/>
    <w:rsid w:val="00E87AD1"/>
    <w:rsid w:val="00E87D90"/>
    <w:rsid w:val="00E90C20"/>
    <w:rsid w:val="00E91198"/>
    <w:rsid w:val="00E9230D"/>
    <w:rsid w:val="00E92662"/>
    <w:rsid w:val="00E93220"/>
    <w:rsid w:val="00E936A8"/>
    <w:rsid w:val="00E937C2"/>
    <w:rsid w:val="00E96453"/>
    <w:rsid w:val="00E96A39"/>
    <w:rsid w:val="00E96A5C"/>
    <w:rsid w:val="00E96A83"/>
    <w:rsid w:val="00E96BF8"/>
    <w:rsid w:val="00E9713A"/>
    <w:rsid w:val="00E9718A"/>
    <w:rsid w:val="00E97B80"/>
    <w:rsid w:val="00EA066B"/>
    <w:rsid w:val="00EA0696"/>
    <w:rsid w:val="00EA0737"/>
    <w:rsid w:val="00EA0DB6"/>
    <w:rsid w:val="00EA117F"/>
    <w:rsid w:val="00EA11DF"/>
    <w:rsid w:val="00EA14B6"/>
    <w:rsid w:val="00EA16A7"/>
    <w:rsid w:val="00EA16F2"/>
    <w:rsid w:val="00EA1938"/>
    <w:rsid w:val="00EA1D75"/>
    <w:rsid w:val="00EA219E"/>
    <w:rsid w:val="00EA2630"/>
    <w:rsid w:val="00EA3090"/>
    <w:rsid w:val="00EA321B"/>
    <w:rsid w:val="00EA34BC"/>
    <w:rsid w:val="00EA3951"/>
    <w:rsid w:val="00EA3AE1"/>
    <w:rsid w:val="00EA4690"/>
    <w:rsid w:val="00EA4696"/>
    <w:rsid w:val="00EA46F0"/>
    <w:rsid w:val="00EA4767"/>
    <w:rsid w:val="00EA598C"/>
    <w:rsid w:val="00EA5CF0"/>
    <w:rsid w:val="00EA6516"/>
    <w:rsid w:val="00EA6A73"/>
    <w:rsid w:val="00EA6C08"/>
    <w:rsid w:val="00EA6DA0"/>
    <w:rsid w:val="00EA7155"/>
    <w:rsid w:val="00EA74B6"/>
    <w:rsid w:val="00EB0B39"/>
    <w:rsid w:val="00EB0C80"/>
    <w:rsid w:val="00EB0D38"/>
    <w:rsid w:val="00EB101D"/>
    <w:rsid w:val="00EB1F54"/>
    <w:rsid w:val="00EB230C"/>
    <w:rsid w:val="00EB2BA9"/>
    <w:rsid w:val="00EB2E7F"/>
    <w:rsid w:val="00EB361C"/>
    <w:rsid w:val="00EB3B5D"/>
    <w:rsid w:val="00EB3F8B"/>
    <w:rsid w:val="00EB4002"/>
    <w:rsid w:val="00EB4350"/>
    <w:rsid w:val="00EB4C93"/>
    <w:rsid w:val="00EB4D4A"/>
    <w:rsid w:val="00EB4E09"/>
    <w:rsid w:val="00EB5422"/>
    <w:rsid w:val="00EB565B"/>
    <w:rsid w:val="00EB589F"/>
    <w:rsid w:val="00EB59B9"/>
    <w:rsid w:val="00EB5CD0"/>
    <w:rsid w:val="00EB5E85"/>
    <w:rsid w:val="00EB623C"/>
    <w:rsid w:val="00EB63FC"/>
    <w:rsid w:val="00EB664B"/>
    <w:rsid w:val="00EB692A"/>
    <w:rsid w:val="00EB6ADF"/>
    <w:rsid w:val="00EB6D9C"/>
    <w:rsid w:val="00EB6EA1"/>
    <w:rsid w:val="00EB7AD5"/>
    <w:rsid w:val="00EC017D"/>
    <w:rsid w:val="00EC04C5"/>
    <w:rsid w:val="00EC0C1A"/>
    <w:rsid w:val="00EC112F"/>
    <w:rsid w:val="00EC2ABC"/>
    <w:rsid w:val="00EC2DDE"/>
    <w:rsid w:val="00EC3168"/>
    <w:rsid w:val="00EC4104"/>
    <w:rsid w:val="00EC4142"/>
    <w:rsid w:val="00EC5B21"/>
    <w:rsid w:val="00EC5BED"/>
    <w:rsid w:val="00EC625F"/>
    <w:rsid w:val="00EC6374"/>
    <w:rsid w:val="00EC667F"/>
    <w:rsid w:val="00EC67F6"/>
    <w:rsid w:val="00EC6F79"/>
    <w:rsid w:val="00ED0B0F"/>
    <w:rsid w:val="00ED0E41"/>
    <w:rsid w:val="00ED1539"/>
    <w:rsid w:val="00ED301D"/>
    <w:rsid w:val="00ED30EA"/>
    <w:rsid w:val="00ED3393"/>
    <w:rsid w:val="00ED3846"/>
    <w:rsid w:val="00ED3858"/>
    <w:rsid w:val="00ED39A8"/>
    <w:rsid w:val="00ED4200"/>
    <w:rsid w:val="00ED4B0D"/>
    <w:rsid w:val="00ED51EC"/>
    <w:rsid w:val="00ED6113"/>
    <w:rsid w:val="00ED620B"/>
    <w:rsid w:val="00ED64C4"/>
    <w:rsid w:val="00ED66DE"/>
    <w:rsid w:val="00ED754D"/>
    <w:rsid w:val="00EE04E6"/>
    <w:rsid w:val="00EE1485"/>
    <w:rsid w:val="00EE16F6"/>
    <w:rsid w:val="00EE1A9D"/>
    <w:rsid w:val="00EE1C38"/>
    <w:rsid w:val="00EE22B3"/>
    <w:rsid w:val="00EE26CF"/>
    <w:rsid w:val="00EE26F9"/>
    <w:rsid w:val="00EE290B"/>
    <w:rsid w:val="00EE290E"/>
    <w:rsid w:val="00EE2A13"/>
    <w:rsid w:val="00EE2DD5"/>
    <w:rsid w:val="00EE33F4"/>
    <w:rsid w:val="00EE3A3E"/>
    <w:rsid w:val="00EE4A4A"/>
    <w:rsid w:val="00EE4CB6"/>
    <w:rsid w:val="00EE504D"/>
    <w:rsid w:val="00EE5185"/>
    <w:rsid w:val="00EE5A88"/>
    <w:rsid w:val="00EE6102"/>
    <w:rsid w:val="00EE628D"/>
    <w:rsid w:val="00EE62A6"/>
    <w:rsid w:val="00EE68F4"/>
    <w:rsid w:val="00EE6910"/>
    <w:rsid w:val="00EE69C5"/>
    <w:rsid w:val="00EE7429"/>
    <w:rsid w:val="00EE75CD"/>
    <w:rsid w:val="00EE7647"/>
    <w:rsid w:val="00EE7924"/>
    <w:rsid w:val="00EE7D7D"/>
    <w:rsid w:val="00EF0335"/>
    <w:rsid w:val="00EF0423"/>
    <w:rsid w:val="00EF05EE"/>
    <w:rsid w:val="00EF10B9"/>
    <w:rsid w:val="00EF115E"/>
    <w:rsid w:val="00EF2889"/>
    <w:rsid w:val="00EF2AB6"/>
    <w:rsid w:val="00EF2CA0"/>
    <w:rsid w:val="00EF2EC0"/>
    <w:rsid w:val="00EF3531"/>
    <w:rsid w:val="00EF35A1"/>
    <w:rsid w:val="00EF35C6"/>
    <w:rsid w:val="00EF3679"/>
    <w:rsid w:val="00EF39E9"/>
    <w:rsid w:val="00EF3A13"/>
    <w:rsid w:val="00EF40EE"/>
    <w:rsid w:val="00EF44EF"/>
    <w:rsid w:val="00EF4AC2"/>
    <w:rsid w:val="00EF6431"/>
    <w:rsid w:val="00EF6B30"/>
    <w:rsid w:val="00EF6BFA"/>
    <w:rsid w:val="00EF7B0D"/>
    <w:rsid w:val="00EF7E04"/>
    <w:rsid w:val="00F0051B"/>
    <w:rsid w:val="00F01AF2"/>
    <w:rsid w:val="00F01B73"/>
    <w:rsid w:val="00F020C5"/>
    <w:rsid w:val="00F0258D"/>
    <w:rsid w:val="00F030A3"/>
    <w:rsid w:val="00F03356"/>
    <w:rsid w:val="00F04002"/>
    <w:rsid w:val="00F0521D"/>
    <w:rsid w:val="00F057D2"/>
    <w:rsid w:val="00F058A7"/>
    <w:rsid w:val="00F058C0"/>
    <w:rsid w:val="00F065C6"/>
    <w:rsid w:val="00F065F2"/>
    <w:rsid w:val="00F06D43"/>
    <w:rsid w:val="00F070D4"/>
    <w:rsid w:val="00F078B7"/>
    <w:rsid w:val="00F07E7B"/>
    <w:rsid w:val="00F106C5"/>
    <w:rsid w:val="00F11369"/>
    <w:rsid w:val="00F11493"/>
    <w:rsid w:val="00F119CB"/>
    <w:rsid w:val="00F12295"/>
    <w:rsid w:val="00F12847"/>
    <w:rsid w:val="00F13274"/>
    <w:rsid w:val="00F13326"/>
    <w:rsid w:val="00F13436"/>
    <w:rsid w:val="00F138D4"/>
    <w:rsid w:val="00F13956"/>
    <w:rsid w:val="00F1591D"/>
    <w:rsid w:val="00F1609C"/>
    <w:rsid w:val="00F16115"/>
    <w:rsid w:val="00F168DA"/>
    <w:rsid w:val="00F16F9A"/>
    <w:rsid w:val="00F17636"/>
    <w:rsid w:val="00F17838"/>
    <w:rsid w:val="00F17D29"/>
    <w:rsid w:val="00F2064F"/>
    <w:rsid w:val="00F206B8"/>
    <w:rsid w:val="00F20D44"/>
    <w:rsid w:val="00F211EF"/>
    <w:rsid w:val="00F21B18"/>
    <w:rsid w:val="00F21DC1"/>
    <w:rsid w:val="00F21E0F"/>
    <w:rsid w:val="00F22DEC"/>
    <w:rsid w:val="00F23127"/>
    <w:rsid w:val="00F23B27"/>
    <w:rsid w:val="00F24075"/>
    <w:rsid w:val="00F24D0E"/>
    <w:rsid w:val="00F24DB0"/>
    <w:rsid w:val="00F250EB"/>
    <w:rsid w:val="00F2531B"/>
    <w:rsid w:val="00F2542F"/>
    <w:rsid w:val="00F264E6"/>
    <w:rsid w:val="00F26515"/>
    <w:rsid w:val="00F26C1C"/>
    <w:rsid w:val="00F275AF"/>
    <w:rsid w:val="00F27B33"/>
    <w:rsid w:val="00F27CFA"/>
    <w:rsid w:val="00F27E87"/>
    <w:rsid w:val="00F31E39"/>
    <w:rsid w:val="00F32010"/>
    <w:rsid w:val="00F3255D"/>
    <w:rsid w:val="00F32BCF"/>
    <w:rsid w:val="00F33164"/>
    <w:rsid w:val="00F335B2"/>
    <w:rsid w:val="00F33FA3"/>
    <w:rsid w:val="00F3400D"/>
    <w:rsid w:val="00F34426"/>
    <w:rsid w:val="00F34F81"/>
    <w:rsid w:val="00F35A03"/>
    <w:rsid w:val="00F35A28"/>
    <w:rsid w:val="00F35C1D"/>
    <w:rsid w:val="00F35CA5"/>
    <w:rsid w:val="00F36054"/>
    <w:rsid w:val="00F37151"/>
    <w:rsid w:val="00F40210"/>
    <w:rsid w:val="00F406F6"/>
    <w:rsid w:val="00F40719"/>
    <w:rsid w:val="00F40964"/>
    <w:rsid w:val="00F40EFE"/>
    <w:rsid w:val="00F40F5C"/>
    <w:rsid w:val="00F4104A"/>
    <w:rsid w:val="00F42929"/>
    <w:rsid w:val="00F42BCD"/>
    <w:rsid w:val="00F431E5"/>
    <w:rsid w:val="00F436EB"/>
    <w:rsid w:val="00F43CC6"/>
    <w:rsid w:val="00F43DBE"/>
    <w:rsid w:val="00F4408A"/>
    <w:rsid w:val="00F44674"/>
    <w:rsid w:val="00F44984"/>
    <w:rsid w:val="00F44F60"/>
    <w:rsid w:val="00F4682F"/>
    <w:rsid w:val="00F46B43"/>
    <w:rsid w:val="00F46CF2"/>
    <w:rsid w:val="00F46E74"/>
    <w:rsid w:val="00F46FD8"/>
    <w:rsid w:val="00F4716D"/>
    <w:rsid w:val="00F476AC"/>
    <w:rsid w:val="00F4777B"/>
    <w:rsid w:val="00F47E34"/>
    <w:rsid w:val="00F47EB0"/>
    <w:rsid w:val="00F5004A"/>
    <w:rsid w:val="00F50B88"/>
    <w:rsid w:val="00F5114E"/>
    <w:rsid w:val="00F51F63"/>
    <w:rsid w:val="00F521E3"/>
    <w:rsid w:val="00F5225C"/>
    <w:rsid w:val="00F52D4A"/>
    <w:rsid w:val="00F53105"/>
    <w:rsid w:val="00F53470"/>
    <w:rsid w:val="00F53CDB"/>
    <w:rsid w:val="00F54538"/>
    <w:rsid w:val="00F54937"/>
    <w:rsid w:val="00F54A81"/>
    <w:rsid w:val="00F54EC8"/>
    <w:rsid w:val="00F550A8"/>
    <w:rsid w:val="00F55106"/>
    <w:rsid w:val="00F55146"/>
    <w:rsid w:val="00F55265"/>
    <w:rsid w:val="00F55721"/>
    <w:rsid w:val="00F5595B"/>
    <w:rsid w:val="00F55FDF"/>
    <w:rsid w:val="00F56641"/>
    <w:rsid w:val="00F567CE"/>
    <w:rsid w:val="00F56C38"/>
    <w:rsid w:val="00F5704A"/>
    <w:rsid w:val="00F577DE"/>
    <w:rsid w:val="00F579D3"/>
    <w:rsid w:val="00F57A75"/>
    <w:rsid w:val="00F57B84"/>
    <w:rsid w:val="00F606D5"/>
    <w:rsid w:val="00F60EC6"/>
    <w:rsid w:val="00F60F99"/>
    <w:rsid w:val="00F6126E"/>
    <w:rsid w:val="00F61FE9"/>
    <w:rsid w:val="00F622BE"/>
    <w:rsid w:val="00F6334E"/>
    <w:rsid w:val="00F63782"/>
    <w:rsid w:val="00F646E5"/>
    <w:rsid w:val="00F648EE"/>
    <w:rsid w:val="00F65642"/>
    <w:rsid w:val="00F6573B"/>
    <w:rsid w:val="00F65943"/>
    <w:rsid w:val="00F66092"/>
    <w:rsid w:val="00F66292"/>
    <w:rsid w:val="00F66628"/>
    <w:rsid w:val="00F67415"/>
    <w:rsid w:val="00F7013B"/>
    <w:rsid w:val="00F70223"/>
    <w:rsid w:val="00F70327"/>
    <w:rsid w:val="00F7057A"/>
    <w:rsid w:val="00F706CB"/>
    <w:rsid w:val="00F70DDB"/>
    <w:rsid w:val="00F710ED"/>
    <w:rsid w:val="00F71615"/>
    <w:rsid w:val="00F71676"/>
    <w:rsid w:val="00F71A8A"/>
    <w:rsid w:val="00F729F1"/>
    <w:rsid w:val="00F735FD"/>
    <w:rsid w:val="00F737DE"/>
    <w:rsid w:val="00F7388B"/>
    <w:rsid w:val="00F73E44"/>
    <w:rsid w:val="00F743C5"/>
    <w:rsid w:val="00F74433"/>
    <w:rsid w:val="00F7459A"/>
    <w:rsid w:val="00F74CA3"/>
    <w:rsid w:val="00F75BC1"/>
    <w:rsid w:val="00F75F46"/>
    <w:rsid w:val="00F76267"/>
    <w:rsid w:val="00F76ACA"/>
    <w:rsid w:val="00F77261"/>
    <w:rsid w:val="00F77377"/>
    <w:rsid w:val="00F77B20"/>
    <w:rsid w:val="00F80E5D"/>
    <w:rsid w:val="00F8115E"/>
    <w:rsid w:val="00F81B4D"/>
    <w:rsid w:val="00F820E2"/>
    <w:rsid w:val="00F836E6"/>
    <w:rsid w:val="00F84398"/>
    <w:rsid w:val="00F84D0F"/>
    <w:rsid w:val="00F856AB"/>
    <w:rsid w:val="00F857EA"/>
    <w:rsid w:val="00F86493"/>
    <w:rsid w:val="00F87158"/>
    <w:rsid w:val="00F878D2"/>
    <w:rsid w:val="00F909DD"/>
    <w:rsid w:val="00F90EA9"/>
    <w:rsid w:val="00F91583"/>
    <w:rsid w:val="00F9200D"/>
    <w:rsid w:val="00F92392"/>
    <w:rsid w:val="00F92956"/>
    <w:rsid w:val="00F92D61"/>
    <w:rsid w:val="00F936A0"/>
    <w:rsid w:val="00F9372D"/>
    <w:rsid w:val="00F93A27"/>
    <w:rsid w:val="00F94482"/>
    <w:rsid w:val="00F94674"/>
    <w:rsid w:val="00F94F39"/>
    <w:rsid w:val="00F95E25"/>
    <w:rsid w:val="00F95EB4"/>
    <w:rsid w:val="00F96507"/>
    <w:rsid w:val="00F96571"/>
    <w:rsid w:val="00F9682B"/>
    <w:rsid w:val="00F97948"/>
    <w:rsid w:val="00FA00E4"/>
    <w:rsid w:val="00FA07B7"/>
    <w:rsid w:val="00FA0849"/>
    <w:rsid w:val="00FA08D0"/>
    <w:rsid w:val="00FA09B9"/>
    <w:rsid w:val="00FA0A26"/>
    <w:rsid w:val="00FA10F2"/>
    <w:rsid w:val="00FA12FA"/>
    <w:rsid w:val="00FA2D53"/>
    <w:rsid w:val="00FA2F44"/>
    <w:rsid w:val="00FA40CD"/>
    <w:rsid w:val="00FA4B94"/>
    <w:rsid w:val="00FA4F26"/>
    <w:rsid w:val="00FA4F28"/>
    <w:rsid w:val="00FA50E6"/>
    <w:rsid w:val="00FA51F1"/>
    <w:rsid w:val="00FA52EA"/>
    <w:rsid w:val="00FA5C14"/>
    <w:rsid w:val="00FA5D67"/>
    <w:rsid w:val="00FA647B"/>
    <w:rsid w:val="00FA64B7"/>
    <w:rsid w:val="00FA740A"/>
    <w:rsid w:val="00FA782B"/>
    <w:rsid w:val="00FA7EAB"/>
    <w:rsid w:val="00FB00B5"/>
    <w:rsid w:val="00FB19FB"/>
    <w:rsid w:val="00FB2069"/>
    <w:rsid w:val="00FB215F"/>
    <w:rsid w:val="00FB23BC"/>
    <w:rsid w:val="00FB2B2F"/>
    <w:rsid w:val="00FB2C0E"/>
    <w:rsid w:val="00FB2E2D"/>
    <w:rsid w:val="00FB3234"/>
    <w:rsid w:val="00FB3BF3"/>
    <w:rsid w:val="00FB42D2"/>
    <w:rsid w:val="00FB4376"/>
    <w:rsid w:val="00FB43B3"/>
    <w:rsid w:val="00FB454D"/>
    <w:rsid w:val="00FB4BBB"/>
    <w:rsid w:val="00FB52B4"/>
    <w:rsid w:val="00FB55E5"/>
    <w:rsid w:val="00FB573D"/>
    <w:rsid w:val="00FB692B"/>
    <w:rsid w:val="00FB6935"/>
    <w:rsid w:val="00FB6B2B"/>
    <w:rsid w:val="00FB6BC7"/>
    <w:rsid w:val="00FC11A2"/>
    <w:rsid w:val="00FC1537"/>
    <w:rsid w:val="00FC15CC"/>
    <w:rsid w:val="00FC15F0"/>
    <w:rsid w:val="00FC1648"/>
    <w:rsid w:val="00FC2701"/>
    <w:rsid w:val="00FC2904"/>
    <w:rsid w:val="00FC2C55"/>
    <w:rsid w:val="00FC2E2B"/>
    <w:rsid w:val="00FC3490"/>
    <w:rsid w:val="00FC35C1"/>
    <w:rsid w:val="00FC3639"/>
    <w:rsid w:val="00FC3827"/>
    <w:rsid w:val="00FC388A"/>
    <w:rsid w:val="00FC38BB"/>
    <w:rsid w:val="00FC3D79"/>
    <w:rsid w:val="00FC3FD6"/>
    <w:rsid w:val="00FC46E5"/>
    <w:rsid w:val="00FC4919"/>
    <w:rsid w:val="00FC4D37"/>
    <w:rsid w:val="00FC62D6"/>
    <w:rsid w:val="00FC63FC"/>
    <w:rsid w:val="00FC64B4"/>
    <w:rsid w:val="00FC6916"/>
    <w:rsid w:val="00FC6CB9"/>
    <w:rsid w:val="00FC6E1A"/>
    <w:rsid w:val="00FC7F0E"/>
    <w:rsid w:val="00FD0B29"/>
    <w:rsid w:val="00FD1CD5"/>
    <w:rsid w:val="00FD2032"/>
    <w:rsid w:val="00FD28AE"/>
    <w:rsid w:val="00FD2D4A"/>
    <w:rsid w:val="00FD2E6A"/>
    <w:rsid w:val="00FD2EF9"/>
    <w:rsid w:val="00FD3A6B"/>
    <w:rsid w:val="00FD4839"/>
    <w:rsid w:val="00FD4938"/>
    <w:rsid w:val="00FD4988"/>
    <w:rsid w:val="00FD4A5C"/>
    <w:rsid w:val="00FD4E97"/>
    <w:rsid w:val="00FD51DD"/>
    <w:rsid w:val="00FD620E"/>
    <w:rsid w:val="00FD6D8F"/>
    <w:rsid w:val="00FE00D9"/>
    <w:rsid w:val="00FE0238"/>
    <w:rsid w:val="00FE02A4"/>
    <w:rsid w:val="00FE0BDF"/>
    <w:rsid w:val="00FE1014"/>
    <w:rsid w:val="00FE11BC"/>
    <w:rsid w:val="00FE12F7"/>
    <w:rsid w:val="00FE1B04"/>
    <w:rsid w:val="00FE1D8A"/>
    <w:rsid w:val="00FE2D0D"/>
    <w:rsid w:val="00FE364F"/>
    <w:rsid w:val="00FE370D"/>
    <w:rsid w:val="00FE39AB"/>
    <w:rsid w:val="00FE3A1D"/>
    <w:rsid w:val="00FE3F5E"/>
    <w:rsid w:val="00FE4138"/>
    <w:rsid w:val="00FE472E"/>
    <w:rsid w:val="00FE5A8E"/>
    <w:rsid w:val="00FE6BDE"/>
    <w:rsid w:val="00FE6D78"/>
    <w:rsid w:val="00FF1248"/>
    <w:rsid w:val="00FF1513"/>
    <w:rsid w:val="00FF18E4"/>
    <w:rsid w:val="00FF190E"/>
    <w:rsid w:val="00FF1F3A"/>
    <w:rsid w:val="00FF2668"/>
    <w:rsid w:val="00FF337D"/>
    <w:rsid w:val="00FF36F1"/>
    <w:rsid w:val="00FF38A1"/>
    <w:rsid w:val="00FF3FC8"/>
    <w:rsid w:val="00FF4158"/>
    <w:rsid w:val="00FF4A05"/>
    <w:rsid w:val="00FF532C"/>
    <w:rsid w:val="00FF5F63"/>
    <w:rsid w:val="00FF619B"/>
    <w:rsid w:val="00FF634B"/>
    <w:rsid w:val="00FF6926"/>
    <w:rsid w:val="00FF69FA"/>
    <w:rsid w:val="00FF6D0A"/>
    <w:rsid w:val="00FF6EEA"/>
    <w:rsid w:val="00FF6FB5"/>
    <w:rsid w:val="00FF722D"/>
    <w:rsid w:val="00FF76D4"/>
    <w:rsid w:val="01176EA7"/>
    <w:rsid w:val="01415CD2"/>
    <w:rsid w:val="014632E9"/>
    <w:rsid w:val="016D3890"/>
    <w:rsid w:val="01BD35AB"/>
    <w:rsid w:val="01DB7ED5"/>
    <w:rsid w:val="01E70628"/>
    <w:rsid w:val="02564295"/>
    <w:rsid w:val="02753E85"/>
    <w:rsid w:val="02780B2F"/>
    <w:rsid w:val="03653EFA"/>
    <w:rsid w:val="039E11BA"/>
    <w:rsid w:val="03AF33C7"/>
    <w:rsid w:val="03EE3EEF"/>
    <w:rsid w:val="0439078C"/>
    <w:rsid w:val="045B52FD"/>
    <w:rsid w:val="04EF346D"/>
    <w:rsid w:val="05123C0E"/>
    <w:rsid w:val="0518120E"/>
    <w:rsid w:val="052E614B"/>
    <w:rsid w:val="056662EA"/>
    <w:rsid w:val="05706B86"/>
    <w:rsid w:val="05DE7F94"/>
    <w:rsid w:val="05EF21A1"/>
    <w:rsid w:val="060D0017"/>
    <w:rsid w:val="062063B3"/>
    <w:rsid w:val="067630F5"/>
    <w:rsid w:val="06E33CB5"/>
    <w:rsid w:val="074F739B"/>
    <w:rsid w:val="07BB058C"/>
    <w:rsid w:val="07C531B9"/>
    <w:rsid w:val="07F817E1"/>
    <w:rsid w:val="08054ED2"/>
    <w:rsid w:val="080C528C"/>
    <w:rsid w:val="08205BA8"/>
    <w:rsid w:val="0837398B"/>
    <w:rsid w:val="08CB0CA3"/>
    <w:rsid w:val="093A3733"/>
    <w:rsid w:val="097417C3"/>
    <w:rsid w:val="099C6C04"/>
    <w:rsid w:val="09E10052"/>
    <w:rsid w:val="0A1B7A08"/>
    <w:rsid w:val="0A454A85"/>
    <w:rsid w:val="0A4800D1"/>
    <w:rsid w:val="0A6A0048"/>
    <w:rsid w:val="0A8F5D00"/>
    <w:rsid w:val="0A9A6B7F"/>
    <w:rsid w:val="0ADD6A6C"/>
    <w:rsid w:val="0B0A5387"/>
    <w:rsid w:val="0B183F48"/>
    <w:rsid w:val="0B297C6E"/>
    <w:rsid w:val="0B4320EB"/>
    <w:rsid w:val="0B5036E2"/>
    <w:rsid w:val="0BAF665A"/>
    <w:rsid w:val="0BE0321F"/>
    <w:rsid w:val="0BF4406D"/>
    <w:rsid w:val="0C177D5B"/>
    <w:rsid w:val="0C4A6383"/>
    <w:rsid w:val="0C530792"/>
    <w:rsid w:val="0C754295"/>
    <w:rsid w:val="0C8105C6"/>
    <w:rsid w:val="0C874BA7"/>
    <w:rsid w:val="0CD67C16"/>
    <w:rsid w:val="0CDC3A7A"/>
    <w:rsid w:val="0D9C676A"/>
    <w:rsid w:val="0DA616C5"/>
    <w:rsid w:val="0DC45CC1"/>
    <w:rsid w:val="0DC6665F"/>
    <w:rsid w:val="0DCD1019"/>
    <w:rsid w:val="0DCD726B"/>
    <w:rsid w:val="0DD1795C"/>
    <w:rsid w:val="0DF04D08"/>
    <w:rsid w:val="0DFC329B"/>
    <w:rsid w:val="0E385C8E"/>
    <w:rsid w:val="0E417312"/>
    <w:rsid w:val="0E5B4877"/>
    <w:rsid w:val="0EDE123B"/>
    <w:rsid w:val="0EE8005A"/>
    <w:rsid w:val="0F402D2F"/>
    <w:rsid w:val="0FE02B1D"/>
    <w:rsid w:val="0FF431AB"/>
    <w:rsid w:val="10303AE2"/>
    <w:rsid w:val="104355C3"/>
    <w:rsid w:val="104C7177"/>
    <w:rsid w:val="106317C1"/>
    <w:rsid w:val="10C27A50"/>
    <w:rsid w:val="10FE14EA"/>
    <w:rsid w:val="1127558E"/>
    <w:rsid w:val="11496C09"/>
    <w:rsid w:val="116752E1"/>
    <w:rsid w:val="11B60016"/>
    <w:rsid w:val="121216F1"/>
    <w:rsid w:val="12A62947"/>
    <w:rsid w:val="12AB744F"/>
    <w:rsid w:val="12DD441E"/>
    <w:rsid w:val="12EA441C"/>
    <w:rsid w:val="12F64528"/>
    <w:rsid w:val="138228A6"/>
    <w:rsid w:val="13AA5959"/>
    <w:rsid w:val="13B2557C"/>
    <w:rsid w:val="13DA4490"/>
    <w:rsid w:val="14634486"/>
    <w:rsid w:val="14A30D26"/>
    <w:rsid w:val="14BE16BC"/>
    <w:rsid w:val="1514752E"/>
    <w:rsid w:val="15AE1730"/>
    <w:rsid w:val="15E46FC8"/>
    <w:rsid w:val="15EE753F"/>
    <w:rsid w:val="16187C09"/>
    <w:rsid w:val="169E79F7"/>
    <w:rsid w:val="16A13043"/>
    <w:rsid w:val="16A71FAA"/>
    <w:rsid w:val="16B40FC8"/>
    <w:rsid w:val="1723506C"/>
    <w:rsid w:val="17F117E8"/>
    <w:rsid w:val="18415D66"/>
    <w:rsid w:val="18F71640"/>
    <w:rsid w:val="194D1260"/>
    <w:rsid w:val="196315DB"/>
    <w:rsid w:val="19B80807"/>
    <w:rsid w:val="19BA37C2"/>
    <w:rsid w:val="19F618F8"/>
    <w:rsid w:val="19FD67E3"/>
    <w:rsid w:val="1A1561A1"/>
    <w:rsid w:val="1A2F41A0"/>
    <w:rsid w:val="1A3A17E5"/>
    <w:rsid w:val="1A654388"/>
    <w:rsid w:val="1A7750CB"/>
    <w:rsid w:val="1ABF3D93"/>
    <w:rsid w:val="1B2B3823"/>
    <w:rsid w:val="1B4A1EFB"/>
    <w:rsid w:val="1B4E5F02"/>
    <w:rsid w:val="1B5C39DD"/>
    <w:rsid w:val="1B6D7998"/>
    <w:rsid w:val="1BD33A21"/>
    <w:rsid w:val="1BF34341"/>
    <w:rsid w:val="1C142509"/>
    <w:rsid w:val="1C661252"/>
    <w:rsid w:val="1C741FFD"/>
    <w:rsid w:val="1CC22EE4"/>
    <w:rsid w:val="1CCC1387"/>
    <w:rsid w:val="1D682B0D"/>
    <w:rsid w:val="1D78252E"/>
    <w:rsid w:val="1D7B4042"/>
    <w:rsid w:val="1DF0665E"/>
    <w:rsid w:val="1E366767"/>
    <w:rsid w:val="1E66547F"/>
    <w:rsid w:val="1E96748E"/>
    <w:rsid w:val="1EC6026F"/>
    <w:rsid w:val="1EC75611"/>
    <w:rsid w:val="1EE12B77"/>
    <w:rsid w:val="1F3F789D"/>
    <w:rsid w:val="1F505606"/>
    <w:rsid w:val="1F817EB6"/>
    <w:rsid w:val="1FC84BC6"/>
    <w:rsid w:val="1FD004F5"/>
    <w:rsid w:val="203C5557"/>
    <w:rsid w:val="204A3CA1"/>
    <w:rsid w:val="204F1D62"/>
    <w:rsid w:val="20BF580B"/>
    <w:rsid w:val="20C067BC"/>
    <w:rsid w:val="212B2914"/>
    <w:rsid w:val="216E446A"/>
    <w:rsid w:val="21A34113"/>
    <w:rsid w:val="21B53E47"/>
    <w:rsid w:val="21C916A0"/>
    <w:rsid w:val="21DA38AD"/>
    <w:rsid w:val="223F7F62"/>
    <w:rsid w:val="224C47AB"/>
    <w:rsid w:val="22681E83"/>
    <w:rsid w:val="22717D6E"/>
    <w:rsid w:val="22E91FFA"/>
    <w:rsid w:val="22EA43D4"/>
    <w:rsid w:val="23040BE2"/>
    <w:rsid w:val="231828DF"/>
    <w:rsid w:val="233A0AA7"/>
    <w:rsid w:val="233F7E6C"/>
    <w:rsid w:val="23B316A5"/>
    <w:rsid w:val="23C77BFC"/>
    <w:rsid w:val="247C7914"/>
    <w:rsid w:val="24AC19AC"/>
    <w:rsid w:val="257B0A2F"/>
    <w:rsid w:val="25A77F4A"/>
    <w:rsid w:val="25B82157"/>
    <w:rsid w:val="25DB4D6E"/>
    <w:rsid w:val="263317DE"/>
    <w:rsid w:val="266F2BD7"/>
    <w:rsid w:val="273E668C"/>
    <w:rsid w:val="27541A0C"/>
    <w:rsid w:val="279F712B"/>
    <w:rsid w:val="27BA089A"/>
    <w:rsid w:val="27FA25B3"/>
    <w:rsid w:val="28397580"/>
    <w:rsid w:val="28441A80"/>
    <w:rsid w:val="285B2563"/>
    <w:rsid w:val="285F68BA"/>
    <w:rsid w:val="28802DC3"/>
    <w:rsid w:val="28A15125"/>
    <w:rsid w:val="28B44E58"/>
    <w:rsid w:val="296042C1"/>
    <w:rsid w:val="297A1DFF"/>
    <w:rsid w:val="29AF6F46"/>
    <w:rsid w:val="29F00453"/>
    <w:rsid w:val="29FD7825"/>
    <w:rsid w:val="2A375D41"/>
    <w:rsid w:val="2A41311F"/>
    <w:rsid w:val="2A6D1762"/>
    <w:rsid w:val="2A857FC9"/>
    <w:rsid w:val="2A9E74F4"/>
    <w:rsid w:val="2ABE0DE4"/>
    <w:rsid w:val="2AD27817"/>
    <w:rsid w:val="2AEA50B5"/>
    <w:rsid w:val="2B125E66"/>
    <w:rsid w:val="2B3547CD"/>
    <w:rsid w:val="2B750FBD"/>
    <w:rsid w:val="2C15188B"/>
    <w:rsid w:val="2C1F4644"/>
    <w:rsid w:val="2C225647"/>
    <w:rsid w:val="2C475FE3"/>
    <w:rsid w:val="2C9E3E55"/>
    <w:rsid w:val="2D2105E2"/>
    <w:rsid w:val="2D37707D"/>
    <w:rsid w:val="2DBD50E7"/>
    <w:rsid w:val="2DE57A40"/>
    <w:rsid w:val="2E112405"/>
    <w:rsid w:val="2E402CEA"/>
    <w:rsid w:val="2E9077CD"/>
    <w:rsid w:val="2E9279E9"/>
    <w:rsid w:val="2EA74B17"/>
    <w:rsid w:val="2ECE02F6"/>
    <w:rsid w:val="2EF73CF0"/>
    <w:rsid w:val="2F34284F"/>
    <w:rsid w:val="2F7B222C"/>
    <w:rsid w:val="2FB67708"/>
    <w:rsid w:val="2FE73D65"/>
    <w:rsid w:val="30253FE9"/>
    <w:rsid w:val="30417B23"/>
    <w:rsid w:val="30542A7D"/>
    <w:rsid w:val="30744ECD"/>
    <w:rsid w:val="30A21A3A"/>
    <w:rsid w:val="30A9101A"/>
    <w:rsid w:val="30BD4AC6"/>
    <w:rsid w:val="31295CB7"/>
    <w:rsid w:val="312A1CE8"/>
    <w:rsid w:val="31462D0D"/>
    <w:rsid w:val="314B2CC8"/>
    <w:rsid w:val="31880C30"/>
    <w:rsid w:val="319A0963"/>
    <w:rsid w:val="31A00DEF"/>
    <w:rsid w:val="31A67D97"/>
    <w:rsid w:val="31AD6213"/>
    <w:rsid w:val="320324DB"/>
    <w:rsid w:val="320C6BD8"/>
    <w:rsid w:val="32196273"/>
    <w:rsid w:val="32562ADC"/>
    <w:rsid w:val="326657EA"/>
    <w:rsid w:val="32822E26"/>
    <w:rsid w:val="32A23A15"/>
    <w:rsid w:val="32CA5182"/>
    <w:rsid w:val="32D16607"/>
    <w:rsid w:val="33337EA4"/>
    <w:rsid w:val="33664FA1"/>
    <w:rsid w:val="33811DD7"/>
    <w:rsid w:val="33846C62"/>
    <w:rsid w:val="33BC2E13"/>
    <w:rsid w:val="34012F1B"/>
    <w:rsid w:val="343D03F7"/>
    <w:rsid w:val="34675474"/>
    <w:rsid w:val="348778C5"/>
    <w:rsid w:val="34BA37F6"/>
    <w:rsid w:val="34E268A9"/>
    <w:rsid w:val="3535426F"/>
    <w:rsid w:val="354457B6"/>
    <w:rsid w:val="355552CD"/>
    <w:rsid w:val="356279EA"/>
    <w:rsid w:val="35CD57AB"/>
    <w:rsid w:val="35DE6445"/>
    <w:rsid w:val="362F1FC2"/>
    <w:rsid w:val="36335A74"/>
    <w:rsid w:val="368816D2"/>
    <w:rsid w:val="369B1405"/>
    <w:rsid w:val="36D91FB1"/>
    <w:rsid w:val="36F947BD"/>
    <w:rsid w:val="372F0612"/>
    <w:rsid w:val="37C66C9B"/>
    <w:rsid w:val="37EA053E"/>
    <w:rsid w:val="37FB65FF"/>
    <w:rsid w:val="38190834"/>
    <w:rsid w:val="381A7C0C"/>
    <w:rsid w:val="38207E14"/>
    <w:rsid w:val="38BB5D8F"/>
    <w:rsid w:val="3930052B"/>
    <w:rsid w:val="39755F3E"/>
    <w:rsid w:val="39CE1AF2"/>
    <w:rsid w:val="3A06303A"/>
    <w:rsid w:val="3A6C2245"/>
    <w:rsid w:val="3A8600A0"/>
    <w:rsid w:val="3AE4383B"/>
    <w:rsid w:val="3AF70BD4"/>
    <w:rsid w:val="3B181276"/>
    <w:rsid w:val="3B556027"/>
    <w:rsid w:val="3B844B5E"/>
    <w:rsid w:val="3B903503"/>
    <w:rsid w:val="3B973D9F"/>
    <w:rsid w:val="3BC136BC"/>
    <w:rsid w:val="3BC60CD2"/>
    <w:rsid w:val="3BF50BF3"/>
    <w:rsid w:val="3BF910A8"/>
    <w:rsid w:val="3C0F53A4"/>
    <w:rsid w:val="3C1C7F92"/>
    <w:rsid w:val="3C5C33E5"/>
    <w:rsid w:val="3CA37266"/>
    <w:rsid w:val="3CAA3E16"/>
    <w:rsid w:val="3CAB46F5"/>
    <w:rsid w:val="3CAD1E92"/>
    <w:rsid w:val="3CCF005B"/>
    <w:rsid w:val="3D4855DF"/>
    <w:rsid w:val="3D932E36"/>
    <w:rsid w:val="3DB7623E"/>
    <w:rsid w:val="3DBF44D4"/>
    <w:rsid w:val="3DCC459A"/>
    <w:rsid w:val="3E94498D"/>
    <w:rsid w:val="3F207F62"/>
    <w:rsid w:val="3FD94BA8"/>
    <w:rsid w:val="3FE138C4"/>
    <w:rsid w:val="40404335"/>
    <w:rsid w:val="40583EC3"/>
    <w:rsid w:val="4136166A"/>
    <w:rsid w:val="413D1A37"/>
    <w:rsid w:val="41566655"/>
    <w:rsid w:val="415B2611"/>
    <w:rsid w:val="418C651A"/>
    <w:rsid w:val="42D9578F"/>
    <w:rsid w:val="42DC702D"/>
    <w:rsid w:val="42FA5706"/>
    <w:rsid w:val="43866F99"/>
    <w:rsid w:val="43E84B0D"/>
    <w:rsid w:val="43F03C00"/>
    <w:rsid w:val="444255B6"/>
    <w:rsid w:val="45546A12"/>
    <w:rsid w:val="45841C8B"/>
    <w:rsid w:val="45C67B21"/>
    <w:rsid w:val="45E00BE3"/>
    <w:rsid w:val="45FE655A"/>
    <w:rsid w:val="46467156"/>
    <w:rsid w:val="46916381"/>
    <w:rsid w:val="46B362F7"/>
    <w:rsid w:val="46BD0F24"/>
    <w:rsid w:val="470228BE"/>
    <w:rsid w:val="470C66C1"/>
    <w:rsid w:val="472E57CA"/>
    <w:rsid w:val="475C073D"/>
    <w:rsid w:val="476A56F1"/>
    <w:rsid w:val="47D06A35"/>
    <w:rsid w:val="481E59F2"/>
    <w:rsid w:val="482A083B"/>
    <w:rsid w:val="488F68F0"/>
    <w:rsid w:val="48D32C81"/>
    <w:rsid w:val="48DD3AFF"/>
    <w:rsid w:val="48E56510"/>
    <w:rsid w:val="4901159C"/>
    <w:rsid w:val="491C0184"/>
    <w:rsid w:val="49627B61"/>
    <w:rsid w:val="49697141"/>
    <w:rsid w:val="49AA5970"/>
    <w:rsid w:val="49CD4B65"/>
    <w:rsid w:val="49D825F6"/>
    <w:rsid w:val="4A17403B"/>
    <w:rsid w:val="4A372D4C"/>
    <w:rsid w:val="4AE3507F"/>
    <w:rsid w:val="4AE64EED"/>
    <w:rsid w:val="4AFF5FAF"/>
    <w:rsid w:val="4BCF7C0F"/>
    <w:rsid w:val="4BE17463"/>
    <w:rsid w:val="4C121D12"/>
    <w:rsid w:val="4CA23096"/>
    <w:rsid w:val="4CAF6990"/>
    <w:rsid w:val="4CE03BBE"/>
    <w:rsid w:val="4D106251"/>
    <w:rsid w:val="4D3747C3"/>
    <w:rsid w:val="4D924EB8"/>
    <w:rsid w:val="4DCC4418"/>
    <w:rsid w:val="4DFA58C5"/>
    <w:rsid w:val="4E26115D"/>
    <w:rsid w:val="4E2A3343"/>
    <w:rsid w:val="4E2B2C17"/>
    <w:rsid w:val="4E962786"/>
    <w:rsid w:val="4EE71234"/>
    <w:rsid w:val="4F29184C"/>
    <w:rsid w:val="4F2C67F3"/>
    <w:rsid w:val="4F37536F"/>
    <w:rsid w:val="4F895E47"/>
    <w:rsid w:val="4F93316A"/>
    <w:rsid w:val="4FE237A9"/>
    <w:rsid w:val="4FFD696B"/>
    <w:rsid w:val="507A37FE"/>
    <w:rsid w:val="50C80BF1"/>
    <w:rsid w:val="50F11EF6"/>
    <w:rsid w:val="50FB4B23"/>
    <w:rsid w:val="516140B5"/>
    <w:rsid w:val="51644DBE"/>
    <w:rsid w:val="51752B27"/>
    <w:rsid w:val="517B2107"/>
    <w:rsid w:val="51B55619"/>
    <w:rsid w:val="51B608A1"/>
    <w:rsid w:val="51D236EA"/>
    <w:rsid w:val="5248052C"/>
    <w:rsid w:val="524B7D2C"/>
    <w:rsid w:val="52707792"/>
    <w:rsid w:val="5288787F"/>
    <w:rsid w:val="528F7C18"/>
    <w:rsid w:val="52D826EC"/>
    <w:rsid w:val="53144577"/>
    <w:rsid w:val="531E6751"/>
    <w:rsid w:val="538E550C"/>
    <w:rsid w:val="538E6122"/>
    <w:rsid w:val="53A92F5C"/>
    <w:rsid w:val="53FC752F"/>
    <w:rsid w:val="53FE2BC6"/>
    <w:rsid w:val="54030C8E"/>
    <w:rsid w:val="54091C4C"/>
    <w:rsid w:val="545B74F3"/>
    <w:rsid w:val="54660E4D"/>
    <w:rsid w:val="546B3D0A"/>
    <w:rsid w:val="54D062C6"/>
    <w:rsid w:val="552E4FAB"/>
    <w:rsid w:val="552F56E3"/>
    <w:rsid w:val="55320D2F"/>
    <w:rsid w:val="554C3B9F"/>
    <w:rsid w:val="555D5DAC"/>
    <w:rsid w:val="5598602F"/>
    <w:rsid w:val="55D876A2"/>
    <w:rsid w:val="55DD235F"/>
    <w:rsid w:val="560E5D0A"/>
    <w:rsid w:val="56130B60"/>
    <w:rsid w:val="56925F29"/>
    <w:rsid w:val="56AF0889"/>
    <w:rsid w:val="56D36189"/>
    <w:rsid w:val="56FF402F"/>
    <w:rsid w:val="57423F3C"/>
    <w:rsid w:val="57437223"/>
    <w:rsid w:val="57931F59"/>
    <w:rsid w:val="58312606"/>
    <w:rsid w:val="58653B69"/>
    <w:rsid w:val="586F19B8"/>
    <w:rsid w:val="589F66DB"/>
    <w:rsid w:val="58BC3B7D"/>
    <w:rsid w:val="58FA7DB6"/>
    <w:rsid w:val="593B4656"/>
    <w:rsid w:val="5960230F"/>
    <w:rsid w:val="59BE2159"/>
    <w:rsid w:val="59F82EBC"/>
    <w:rsid w:val="5A5A6D5E"/>
    <w:rsid w:val="5A783688"/>
    <w:rsid w:val="5A94409A"/>
    <w:rsid w:val="5AC24903"/>
    <w:rsid w:val="5AFE1DDF"/>
    <w:rsid w:val="5B0311A3"/>
    <w:rsid w:val="5B465534"/>
    <w:rsid w:val="5B61236E"/>
    <w:rsid w:val="5BC2328A"/>
    <w:rsid w:val="5BE842B7"/>
    <w:rsid w:val="5C0D0AA3"/>
    <w:rsid w:val="5C277114"/>
    <w:rsid w:val="5CE62B2B"/>
    <w:rsid w:val="5CEB6393"/>
    <w:rsid w:val="5D192070"/>
    <w:rsid w:val="5DB13B98"/>
    <w:rsid w:val="5DFC012C"/>
    <w:rsid w:val="5E122FB6"/>
    <w:rsid w:val="5E4C51A8"/>
    <w:rsid w:val="5E8425FB"/>
    <w:rsid w:val="5EB93025"/>
    <w:rsid w:val="5EF33B6B"/>
    <w:rsid w:val="5F1206A7"/>
    <w:rsid w:val="5F2F5D74"/>
    <w:rsid w:val="5FD11F17"/>
    <w:rsid w:val="601442A1"/>
    <w:rsid w:val="60360516"/>
    <w:rsid w:val="603C0F41"/>
    <w:rsid w:val="603E2C7E"/>
    <w:rsid w:val="606A3A73"/>
    <w:rsid w:val="60AD3AC9"/>
    <w:rsid w:val="615362B5"/>
    <w:rsid w:val="619E1C26"/>
    <w:rsid w:val="61B7262E"/>
    <w:rsid w:val="61E6537B"/>
    <w:rsid w:val="61F96E5C"/>
    <w:rsid w:val="62265535"/>
    <w:rsid w:val="6243457B"/>
    <w:rsid w:val="62540537"/>
    <w:rsid w:val="62966334"/>
    <w:rsid w:val="62FA7330"/>
    <w:rsid w:val="62FD472A"/>
    <w:rsid w:val="633F127F"/>
    <w:rsid w:val="63691DC0"/>
    <w:rsid w:val="63B374DF"/>
    <w:rsid w:val="63D112E5"/>
    <w:rsid w:val="64436F75"/>
    <w:rsid w:val="64970BAF"/>
    <w:rsid w:val="64A07A63"/>
    <w:rsid w:val="65656575"/>
    <w:rsid w:val="65A7180E"/>
    <w:rsid w:val="65AD6267"/>
    <w:rsid w:val="65B512EC"/>
    <w:rsid w:val="65DB7928"/>
    <w:rsid w:val="65E34BDD"/>
    <w:rsid w:val="660202AA"/>
    <w:rsid w:val="66336B72"/>
    <w:rsid w:val="66486604"/>
    <w:rsid w:val="664F1741"/>
    <w:rsid w:val="66794A10"/>
    <w:rsid w:val="668F7D8F"/>
    <w:rsid w:val="66996E60"/>
    <w:rsid w:val="66BB6DD6"/>
    <w:rsid w:val="66E13593"/>
    <w:rsid w:val="67093425"/>
    <w:rsid w:val="676F196F"/>
    <w:rsid w:val="67900263"/>
    <w:rsid w:val="67B11F87"/>
    <w:rsid w:val="68490412"/>
    <w:rsid w:val="68700D7B"/>
    <w:rsid w:val="68D979E8"/>
    <w:rsid w:val="69580751"/>
    <w:rsid w:val="696C7F6C"/>
    <w:rsid w:val="69D77C86"/>
    <w:rsid w:val="69E77EE2"/>
    <w:rsid w:val="6A3B0B47"/>
    <w:rsid w:val="6A521800"/>
    <w:rsid w:val="6AE121A5"/>
    <w:rsid w:val="6B4A24D7"/>
    <w:rsid w:val="6B4B624F"/>
    <w:rsid w:val="6BA3608B"/>
    <w:rsid w:val="6BAB0A47"/>
    <w:rsid w:val="6C0E79A8"/>
    <w:rsid w:val="6C3D203B"/>
    <w:rsid w:val="6C5233D5"/>
    <w:rsid w:val="6C5D5FFE"/>
    <w:rsid w:val="6C613F7C"/>
    <w:rsid w:val="6C9003BD"/>
    <w:rsid w:val="6CC938CF"/>
    <w:rsid w:val="6D192AA9"/>
    <w:rsid w:val="6D455D27"/>
    <w:rsid w:val="6D5939A1"/>
    <w:rsid w:val="6DAF0D17"/>
    <w:rsid w:val="6DD7368E"/>
    <w:rsid w:val="6E2B6E91"/>
    <w:rsid w:val="6EB64B6C"/>
    <w:rsid w:val="6EE82732"/>
    <w:rsid w:val="6EF47329"/>
    <w:rsid w:val="6EFF5CCE"/>
    <w:rsid w:val="6F435BBB"/>
    <w:rsid w:val="6F96218E"/>
    <w:rsid w:val="6FF670D1"/>
    <w:rsid w:val="705A56A8"/>
    <w:rsid w:val="70A31D80"/>
    <w:rsid w:val="70C31ED0"/>
    <w:rsid w:val="70F742E7"/>
    <w:rsid w:val="71573B9F"/>
    <w:rsid w:val="71A22FE8"/>
    <w:rsid w:val="71AA0173"/>
    <w:rsid w:val="71B66B18"/>
    <w:rsid w:val="71ED62B2"/>
    <w:rsid w:val="72113D4E"/>
    <w:rsid w:val="722D079F"/>
    <w:rsid w:val="725B4592"/>
    <w:rsid w:val="725D51E5"/>
    <w:rsid w:val="728B7522"/>
    <w:rsid w:val="73335F46"/>
    <w:rsid w:val="73661E78"/>
    <w:rsid w:val="73EF1E6D"/>
    <w:rsid w:val="740D6797"/>
    <w:rsid w:val="744F3344"/>
    <w:rsid w:val="74FF2584"/>
    <w:rsid w:val="751D0C5C"/>
    <w:rsid w:val="75287D2D"/>
    <w:rsid w:val="75387844"/>
    <w:rsid w:val="75475CD9"/>
    <w:rsid w:val="75B54921"/>
    <w:rsid w:val="75E874BC"/>
    <w:rsid w:val="75EC7634"/>
    <w:rsid w:val="76151AFF"/>
    <w:rsid w:val="767B1E2E"/>
    <w:rsid w:val="767E397C"/>
    <w:rsid w:val="769D02A6"/>
    <w:rsid w:val="774E3001"/>
    <w:rsid w:val="779D7E32"/>
    <w:rsid w:val="77A33B13"/>
    <w:rsid w:val="780A4938"/>
    <w:rsid w:val="785B7F73"/>
    <w:rsid w:val="786F17CF"/>
    <w:rsid w:val="78F63C9E"/>
    <w:rsid w:val="791E4FA3"/>
    <w:rsid w:val="79B37DE1"/>
    <w:rsid w:val="79C02C64"/>
    <w:rsid w:val="7A0E5017"/>
    <w:rsid w:val="7A2605B3"/>
    <w:rsid w:val="7A2A00A3"/>
    <w:rsid w:val="7A5944E4"/>
    <w:rsid w:val="7A766DC6"/>
    <w:rsid w:val="7A8D418E"/>
    <w:rsid w:val="7A903C7E"/>
    <w:rsid w:val="7AC027B5"/>
    <w:rsid w:val="7ACE4ED2"/>
    <w:rsid w:val="7B16616D"/>
    <w:rsid w:val="7B332A56"/>
    <w:rsid w:val="7B9E77DD"/>
    <w:rsid w:val="7BD217E3"/>
    <w:rsid w:val="7BDB0674"/>
    <w:rsid w:val="7BDF6C6B"/>
    <w:rsid w:val="7C093CE8"/>
    <w:rsid w:val="7C253C5C"/>
    <w:rsid w:val="7C490589"/>
    <w:rsid w:val="7C4F2043"/>
    <w:rsid w:val="7C727ADF"/>
    <w:rsid w:val="7C7A7ECB"/>
    <w:rsid w:val="7C947494"/>
    <w:rsid w:val="7CB93960"/>
    <w:rsid w:val="7CC038B3"/>
    <w:rsid w:val="7D8C5DEA"/>
    <w:rsid w:val="7DAE0FEB"/>
    <w:rsid w:val="7DB04BDA"/>
    <w:rsid w:val="7DC46119"/>
    <w:rsid w:val="7DFC3B04"/>
    <w:rsid w:val="7E395C19"/>
    <w:rsid w:val="7E8458A8"/>
    <w:rsid w:val="7EB02B41"/>
    <w:rsid w:val="7EE05B81"/>
    <w:rsid w:val="7EEE23B6"/>
    <w:rsid w:val="7F1135E0"/>
    <w:rsid w:val="7F1D01D6"/>
    <w:rsid w:val="7FD85A1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8"/>
    <w:autoRedefine/>
    <w:unhideWhenUsed/>
    <w:qFormat/>
    <w:uiPriority w:val="0"/>
    <w:pPr>
      <w:keepNext/>
      <w:keepLines/>
      <w:spacing w:before="100" w:after="100"/>
      <w:outlineLvl w:val="1"/>
    </w:pPr>
    <w:rPr>
      <w:rFonts w:asciiTheme="majorHAnsi" w:hAnsiTheme="majorHAnsi" w:eastAsiaTheme="majorEastAsia" w:cstheme="majorBidi"/>
      <w:b/>
      <w:bCs/>
      <w:sz w:val="32"/>
      <w:szCs w:val="32"/>
    </w:rPr>
  </w:style>
  <w:style w:type="paragraph" w:styleId="5">
    <w:name w:val="heading 3"/>
    <w:basedOn w:val="1"/>
    <w:next w:val="1"/>
    <w:link w:val="34"/>
    <w:autoRedefine/>
    <w:qFormat/>
    <w:uiPriority w:val="0"/>
    <w:pPr>
      <w:keepNext/>
      <w:keepLines/>
      <w:spacing w:before="260" w:after="260" w:line="416" w:lineRule="auto"/>
      <w:outlineLvl w:val="2"/>
    </w:pPr>
    <w:rPr>
      <w:b/>
      <w:bCs/>
      <w:sz w:val="32"/>
      <w:szCs w:val="32"/>
    </w:rPr>
  </w:style>
  <w:style w:type="paragraph" w:styleId="2">
    <w:name w:val="heading 4"/>
    <w:basedOn w:val="1"/>
    <w:next w:val="1"/>
    <w:autoRedefine/>
    <w:qFormat/>
    <w:uiPriority w:val="0"/>
    <w:pPr>
      <w:tabs>
        <w:tab w:val="left" w:pos="0"/>
        <w:tab w:val="left" w:pos="864"/>
      </w:tabs>
      <w:adjustRightInd w:val="0"/>
      <w:spacing w:line="360" w:lineRule="auto"/>
      <w:ind w:left="864" w:hanging="864"/>
      <w:jc w:val="left"/>
      <w:textAlignment w:val="baseline"/>
      <w:outlineLvl w:val="3"/>
    </w:pPr>
    <w:rPr>
      <w:b/>
      <w:bCs/>
      <w:smallCaps/>
      <w:kern w:val="0"/>
      <w:sz w:val="24"/>
    </w:rPr>
  </w:style>
  <w:style w:type="paragraph" w:styleId="6">
    <w:name w:val="heading 5"/>
    <w:basedOn w:val="1"/>
    <w:next w:val="1"/>
    <w:link w:val="39"/>
    <w:autoRedefine/>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7">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8">
    <w:name w:val="Normal Indent"/>
    <w:basedOn w:val="1"/>
    <w:next w:val="9"/>
    <w:autoRedefine/>
    <w:qFormat/>
    <w:uiPriority w:val="99"/>
    <w:pPr>
      <w:ind w:firstLine="420"/>
    </w:pPr>
    <w:rPr>
      <w:szCs w:val="20"/>
    </w:rPr>
  </w:style>
  <w:style w:type="paragraph" w:styleId="9">
    <w:name w:val="Body Text Indent"/>
    <w:basedOn w:val="1"/>
    <w:next w:val="1"/>
    <w:link w:val="42"/>
    <w:autoRedefine/>
    <w:qFormat/>
    <w:uiPriority w:val="0"/>
    <w:pPr>
      <w:ind w:left="420" w:leftChars="200"/>
    </w:pPr>
    <w:rPr>
      <w:kern w:val="0"/>
      <w:sz w:val="24"/>
    </w:rPr>
  </w:style>
  <w:style w:type="paragraph" w:styleId="10">
    <w:name w:val="annotation text"/>
    <w:basedOn w:val="1"/>
    <w:link w:val="40"/>
    <w:autoRedefine/>
    <w:qFormat/>
    <w:uiPriority w:val="99"/>
    <w:pPr>
      <w:jc w:val="left"/>
    </w:pPr>
  </w:style>
  <w:style w:type="paragraph" w:styleId="11">
    <w:name w:val="Body Text"/>
    <w:basedOn w:val="1"/>
    <w:next w:val="12"/>
    <w:link w:val="92"/>
    <w:autoRedefine/>
    <w:semiHidden/>
    <w:unhideWhenUsed/>
    <w:qFormat/>
    <w:uiPriority w:val="99"/>
    <w:pPr>
      <w:spacing w:after="120"/>
    </w:pPr>
  </w:style>
  <w:style w:type="paragraph" w:styleId="12">
    <w:name w:val="Body Text First Indent"/>
    <w:basedOn w:val="11"/>
    <w:next w:val="13"/>
    <w:link w:val="93"/>
    <w:autoRedefine/>
    <w:semiHidden/>
    <w:unhideWhenUsed/>
    <w:qFormat/>
    <w:uiPriority w:val="99"/>
    <w:pPr>
      <w:ind w:firstLine="420" w:firstLineChars="100"/>
    </w:pPr>
  </w:style>
  <w:style w:type="paragraph" w:styleId="13">
    <w:name w:val="toc 6"/>
    <w:basedOn w:val="1"/>
    <w:next w:val="1"/>
    <w:autoRedefine/>
    <w:qFormat/>
    <w:uiPriority w:val="39"/>
    <w:pPr>
      <w:ind w:left="1050"/>
      <w:jc w:val="left"/>
    </w:pPr>
    <w:rPr>
      <w:rFonts w:ascii="等线" w:eastAsia="等线"/>
      <w:sz w:val="20"/>
      <w:szCs w:val="20"/>
    </w:rPr>
  </w:style>
  <w:style w:type="paragraph" w:styleId="14">
    <w:name w:val="toc 3"/>
    <w:basedOn w:val="1"/>
    <w:next w:val="1"/>
    <w:autoRedefine/>
    <w:unhideWhenUsed/>
    <w:qFormat/>
    <w:uiPriority w:val="39"/>
    <w:pPr>
      <w:ind w:left="840" w:leftChars="400"/>
    </w:pPr>
  </w:style>
  <w:style w:type="paragraph" w:styleId="15">
    <w:name w:val="Plain Text"/>
    <w:basedOn w:val="1"/>
    <w:next w:val="1"/>
    <w:link w:val="43"/>
    <w:autoRedefine/>
    <w:qFormat/>
    <w:uiPriority w:val="0"/>
    <w:rPr>
      <w:rFonts w:ascii="宋体" w:hAnsi="Courier New"/>
    </w:rPr>
  </w:style>
  <w:style w:type="paragraph" w:styleId="16">
    <w:name w:val="Date"/>
    <w:basedOn w:val="1"/>
    <w:next w:val="1"/>
    <w:link w:val="44"/>
    <w:autoRedefine/>
    <w:qFormat/>
    <w:uiPriority w:val="0"/>
    <w:pPr>
      <w:ind w:left="2500" w:leftChars="2500"/>
    </w:pPr>
    <w:rPr>
      <w:rFonts w:eastAsia="楷体_GB2312"/>
      <w:kern w:val="0"/>
      <w:sz w:val="32"/>
      <w:szCs w:val="20"/>
    </w:rPr>
  </w:style>
  <w:style w:type="paragraph" w:styleId="17">
    <w:name w:val="Body Text Indent 2"/>
    <w:basedOn w:val="1"/>
    <w:link w:val="45"/>
    <w:autoRedefine/>
    <w:unhideWhenUsed/>
    <w:qFormat/>
    <w:uiPriority w:val="99"/>
    <w:pPr>
      <w:spacing w:after="120" w:line="480" w:lineRule="auto"/>
      <w:ind w:left="420" w:leftChars="200"/>
    </w:pPr>
    <w:rPr>
      <w:szCs w:val="20"/>
    </w:rPr>
  </w:style>
  <w:style w:type="paragraph" w:styleId="18">
    <w:name w:val="Balloon Text"/>
    <w:basedOn w:val="1"/>
    <w:link w:val="46"/>
    <w:autoRedefine/>
    <w:qFormat/>
    <w:uiPriority w:val="0"/>
    <w:rPr>
      <w:sz w:val="18"/>
      <w:szCs w:val="18"/>
    </w:rPr>
  </w:style>
  <w:style w:type="paragraph" w:styleId="19">
    <w:name w:val="footer"/>
    <w:basedOn w:val="1"/>
    <w:link w:val="47"/>
    <w:autoRedefine/>
    <w:unhideWhenUsed/>
    <w:qFormat/>
    <w:uiPriority w:val="0"/>
    <w:pPr>
      <w:tabs>
        <w:tab w:val="center" w:pos="4153"/>
        <w:tab w:val="right" w:pos="8306"/>
      </w:tabs>
      <w:snapToGrid w:val="0"/>
      <w:jc w:val="left"/>
    </w:pPr>
    <w:rPr>
      <w:sz w:val="18"/>
      <w:szCs w:val="18"/>
    </w:rPr>
  </w:style>
  <w:style w:type="paragraph" w:styleId="20">
    <w:name w:val="header"/>
    <w:basedOn w:val="1"/>
    <w:link w:val="4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jc w:val="left"/>
    </w:pPr>
    <w:rPr>
      <w:rFonts w:ascii="楷体_GB2312" w:eastAsia="楷体_GB2312" w:cs="楷体_GB2312"/>
      <w:caps/>
    </w:rPr>
  </w:style>
  <w:style w:type="paragraph" w:styleId="22">
    <w:name w:val="toc 2"/>
    <w:basedOn w:val="1"/>
    <w:next w:val="1"/>
    <w:autoRedefine/>
    <w:unhideWhenUsed/>
    <w:qFormat/>
    <w:uiPriority w:val="39"/>
    <w:pPr>
      <w:ind w:left="420" w:leftChars="200"/>
    </w:pPr>
  </w:style>
  <w:style w:type="paragraph" w:styleId="23">
    <w:name w:val="Normal (Web)"/>
    <w:basedOn w:val="1"/>
    <w:link w:val="49"/>
    <w:autoRedefine/>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link w:val="50"/>
    <w:autoRedefine/>
    <w:qFormat/>
    <w:uiPriority w:val="0"/>
    <w:pPr>
      <w:spacing w:before="240" w:after="60"/>
      <w:jc w:val="center"/>
      <w:outlineLvl w:val="0"/>
    </w:pPr>
    <w:rPr>
      <w:rFonts w:ascii="Arial" w:hAnsi="Arial" w:eastAsia="仿宋_GB2312"/>
      <w:b/>
      <w:bCs/>
      <w:kern w:val="0"/>
      <w:sz w:val="36"/>
      <w:szCs w:val="32"/>
    </w:rPr>
  </w:style>
  <w:style w:type="paragraph" w:styleId="25">
    <w:name w:val="annotation subject"/>
    <w:basedOn w:val="10"/>
    <w:next w:val="10"/>
    <w:link w:val="41"/>
    <w:autoRedefine/>
    <w:qFormat/>
    <w:uiPriority w:val="0"/>
    <w:rPr>
      <w:b/>
      <w:bCs/>
    </w:rPr>
  </w:style>
  <w:style w:type="paragraph" w:styleId="26">
    <w:name w:val="Body Text First Indent 2"/>
    <w:basedOn w:val="9"/>
    <w:next w:val="16"/>
    <w:link w:val="91"/>
    <w:autoRedefine/>
    <w:semiHidden/>
    <w:unhideWhenUsed/>
    <w:qFormat/>
    <w:uiPriority w:val="99"/>
    <w:pPr>
      <w:spacing w:after="120"/>
      <w:ind w:firstLine="420" w:firstLineChars="200"/>
    </w:pPr>
    <w:rPr>
      <w:kern w:val="2"/>
      <w:sz w:val="21"/>
    </w:r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22"/>
    <w:rPr>
      <w:b/>
      <w:bCs/>
    </w:rPr>
  </w:style>
  <w:style w:type="character" w:styleId="31">
    <w:name w:val="FollowedHyperlink"/>
    <w:basedOn w:val="29"/>
    <w:autoRedefine/>
    <w:semiHidden/>
    <w:unhideWhenUsed/>
    <w:qFormat/>
    <w:uiPriority w:val="99"/>
    <w:rPr>
      <w:color w:val="800080"/>
      <w:u w:val="single"/>
    </w:rPr>
  </w:style>
  <w:style w:type="character" w:styleId="32">
    <w:name w:val="Hyperlink"/>
    <w:basedOn w:val="29"/>
    <w:autoRedefine/>
    <w:unhideWhenUsed/>
    <w:qFormat/>
    <w:uiPriority w:val="99"/>
    <w:rPr>
      <w:color w:val="0000FF" w:themeColor="hyperlink"/>
      <w:u w:val="single"/>
      <w14:textFill>
        <w14:solidFill>
          <w14:schemeClr w14:val="hlink"/>
        </w14:solidFill>
      </w14:textFill>
    </w:rPr>
  </w:style>
  <w:style w:type="character" w:styleId="33">
    <w:name w:val="annotation reference"/>
    <w:basedOn w:val="29"/>
    <w:autoRedefine/>
    <w:qFormat/>
    <w:uiPriority w:val="0"/>
    <w:rPr>
      <w:sz w:val="21"/>
      <w:szCs w:val="21"/>
    </w:rPr>
  </w:style>
  <w:style w:type="character" w:customStyle="1" w:styleId="34">
    <w:name w:val="标题 3 字符"/>
    <w:basedOn w:val="29"/>
    <w:link w:val="5"/>
    <w:autoRedefine/>
    <w:qFormat/>
    <w:uiPriority w:val="0"/>
    <w:rPr>
      <w:rFonts w:ascii="Times New Roman" w:hAnsi="Times New Roman" w:eastAsia="宋体" w:cs="Times New Roman"/>
      <w:b/>
      <w:bCs/>
      <w:kern w:val="2"/>
      <w:sz w:val="32"/>
      <w:szCs w:val="32"/>
    </w:rPr>
  </w:style>
  <w:style w:type="paragraph" w:customStyle="1" w:styleId="35">
    <w:name w:val="Body Text First Indent 21"/>
    <w:basedOn w:val="36"/>
    <w:autoRedefine/>
    <w:qFormat/>
    <w:uiPriority w:val="99"/>
    <w:pPr>
      <w:ind w:firstLine="420"/>
    </w:pPr>
  </w:style>
  <w:style w:type="paragraph" w:customStyle="1" w:styleId="36">
    <w:name w:val="Body Text Indent1"/>
    <w:basedOn w:val="1"/>
    <w:autoRedefine/>
    <w:qFormat/>
    <w:uiPriority w:val="0"/>
    <w:pPr>
      <w:ind w:left="420" w:leftChars="200"/>
    </w:pPr>
  </w:style>
  <w:style w:type="character" w:customStyle="1" w:styleId="37">
    <w:name w:val="标题 1 字符"/>
    <w:basedOn w:val="29"/>
    <w:link w:val="3"/>
    <w:autoRedefine/>
    <w:qFormat/>
    <w:uiPriority w:val="0"/>
    <w:rPr>
      <w:rFonts w:ascii="Times New Roman" w:hAnsi="Times New Roman" w:eastAsia="宋体" w:cs="Times New Roman"/>
      <w:b/>
      <w:bCs/>
      <w:kern w:val="44"/>
      <w:sz w:val="44"/>
      <w:szCs w:val="44"/>
    </w:rPr>
  </w:style>
  <w:style w:type="character" w:customStyle="1" w:styleId="38">
    <w:name w:val="标题 2 字符"/>
    <w:basedOn w:val="29"/>
    <w:link w:val="4"/>
    <w:autoRedefine/>
    <w:qFormat/>
    <w:uiPriority w:val="0"/>
    <w:rPr>
      <w:rFonts w:asciiTheme="majorHAnsi" w:hAnsiTheme="majorHAnsi" w:eastAsiaTheme="majorEastAsia" w:cstheme="majorBidi"/>
      <w:b/>
      <w:bCs/>
      <w:sz w:val="32"/>
      <w:szCs w:val="32"/>
    </w:rPr>
  </w:style>
  <w:style w:type="character" w:customStyle="1" w:styleId="39">
    <w:name w:val="标题 5 字符"/>
    <w:basedOn w:val="29"/>
    <w:link w:val="6"/>
    <w:autoRedefine/>
    <w:semiHidden/>
    <w:qFormat/>
    <w:uiPriority w:val="9"/>
    <w:rPr>
      <w:rFonts w:ascii="Times New Roman" w:hAnsi="Times New Roman" w:eastAsia="宋体" w:cs="Times New Roman"/>
      <w:b/>
      <w:bCs/>
      <w:kern w:val="2"/>
      <w:sz w:val="28"/>
      <w:szCs w:val="28"/>
    </w:rPr>
  </w:style>
  <w:style w:type="character" w:customStyle="1" w:styleId="40">
    <w:name w:val="批注文字 字符"/>
    <w:basedOn w:val="29"/>
    <w:link w:val="10"/>
    <w:autoRedefine/>
    <w:qFormat/>
    <w:uiPriority w:val="99"/>
    <w:rPr>
      <w:rFonts w:ascii="Times New Roman" w:hAnsi="Times New Roman" w:eastAsia="宋体" w:cs="Times New Roman"/>
      <w:szCs w:val="24"/>
    </w:rPr>
  </w:style>
  <w:style w:type="character" w:customStyle="1" w:styleId="41">
    <w:name w:val="批注主题 字符"/>
    <w:basedOn w:val="40"/>
    <w:link w:val="25"/>
    <w:autoRedefine/>
    <w:qFormat/>
    <w:uiPriority w:val="0"/>
    <w:rPr>
      <w:rFonts w:ascii="Times New Roman" w:hAnsi="Times New Roman" w:eastAsia="宋体" w:cs="Times New Roman"/>
      <w:b/>
      <w:bCs/>
      <w:szCs w:val="24"/>
    </w:rPr>
  </w:style>
  <w:style w:type="character" w:customStyle="1" w:styleId="42">
    <w:name w:val="正文文本缩进 字符"/>
    <w:basedOn w:val="29"/>
    <w:link w:val="9"/>
    <w:autoRedefine/>
    <w:qFormat/>
    <w:uiPriority w:val="0"/>
    <w:rPr>
      <w:rFonts w:ascii="Times New Roman" w:hAnsi="Times New Roman" w:eastAsia="宋体" w:cs="Times New Roman"/>
      <w:kern w:val="0"/>
      <w:sz w:val="24"/>
      <w:szCs w:val="24"/>
    </w:rPr>
  </w:style>
  <w:style w:type="character" w:customStyle="1" w:styleId="43">
    <w:name w:val="纯文本 字符"/>
    <w:basedOn w:val="29"/>
    <w:link w:val="15"/>
    <w:autoRedefine/>
    <w:qFormat/>
    <w:uiPriority w:val="0"/>
    <w:rPr>
      <w:rFonts w:ascii="宋体" w:hAnsi="Courier New" w:eastAsia="宋体" w:cs="Times New Roman"/>
      <w:szCs w:val="24"/>
    </w:rPr>
  </w:style>
  <w:style w:type="character" w:customStyle="1" w:styleId="44">
    <w:name w:val="日期 字符"/>
    <w:basedOn w:val="29"/>
    <w:link w:val="16"/>
    <w:autoRedefine/>
    <w:qFormat/>
    <w:uiPriority w:val="0"/>
    <w:rPr>
      <w:rFonts w:ascii="Times New Roman" w:hAnsi="Times New Roman" w:eastAsia="楷体_GB2312" w:cs="Times New Roman"/>
      <w:kern w:val="0"/>
      <w:sz w:val="32"/>
      <w:szCs w:val="20"/>
    </w:rPr>
  </w:style>
  <w:style w:type="character" w:customStyle="1" w:styleId="45">
    <w:name w:val="正文文本缩进 2 字符"/>
    <w:basedOn w:val="29"/>
    <w:link w:val="17"/>
    <w:autoRedefine/>
    <w:qFormat/>
    <w:uiPriority w:val="99"/>
    <w:rPr>
      <w:rFonts w:ascii="Times New Roman" w:hAnsi="Times New Roman" w:eastAsia="宋体" w:cs="Times New Roman"/>
      <w:szCs w:val="20"/>
    </w:rPr>
  </w:style>
  <w:style w:type="character" w:customStyle="1" w:styleId="46">
    <w:name w:val="批注框文本 字符"/>
    <w:basedOn w:val="29"/>
    <w:link w:val="18"/>
    <w:autoRedefine/>
    <w:qFormat/>
    <w:uiPriority w:val="0"/>
    <w:rPr>
      <w:rFonts w:ascii="Times New Roman" w:hAnsi="Times New Roman" w:eastAsia="宋体" w:cs="Times New Roman"/>
      <w:sz w:val="18"/>
      <w:szCs w:val="18"/>
    </w:rPr>
  </w:style>
  <w:style w:type="character" w:customStyle="1" w:styleId="47">
    <w:name w:val="页脚 字符"/>
    <w:basedOn w:val="29"/>
    <w:link w:val="19"/>
    <w:autoRedefine/>
    <w:qFormat/>
    <w:uiPriority w:val="99"/>
    <w:rPr>
      <w:sz w:val="18"/>
      <w:szCs w:val="18"/>
    </w:rPr>
  </w:style>
  <w:style w:type="character" w:customStyle="1" w:styleId="48">
    <w:name w:val="页眉 字符"/>
    <w:basedOn w:val="29"/>
    <w:link w:val="20"/>
    <w:autoRedefine/>
    <w:qFormat/>
    <w:uiPriority w:val="99"/>
    <w:rPr>
      <w:sz w:val="18"/>
      <w:szCs w:val="18"/>
    </w:rPr>
  </w:style>
  <w:style w:type="character" w:customStyle="1" w:styleId="49">
    <w:name w:val="普通(网站) 字符"/>
    <w:link w:val="23"/>
    <w:autoRedefine/>
    <w:qFormat/>
    <w:locked/>
    <w:uiPriority w:val="0"/>
    <w:rPr>
      <w:rFonts w:ascii="宋体" w:hAnsi="宋体" w:eastAsia="宋体" w:cs="宋体"/>
      <w:kern w:val="0"/>
      <w:sz w:val="24"/>
      <w:szCs w:val="24"/>
    </w:rPr>
  </w:style>
  <w:style w:type="character" w:customStyle="1" w:styleId="50">
    <w:name w:val="标题 字符"/>
    <w:basedOn w:val="29"/>
    <w:link w:val="24"/>
    <w:autoRedefine/>
    <w:qFormat/>
    <w:uiPriority w:val="0"/>
    <w:rPr>
      <w:rFonts w:ascii="Arial" w:hAnsi="Arial" w:eastAsia="仿宋_GB2312" w:cs="Times New Roman"/>
      <w:b/>
      <w:bCs/>
      <w:kern w:val="0"/>
      <w:sz w:val="36"/>
      <w:szCs w:val="32"/>
    </w:rPr>
  </w:style>
  <w:style w:type="character" w:customStyle="1" w:styleId="51">
    <w:name w:val="日期 Char1"/>
    <w:basedOn w:val="29"/>
    <w:autoRedefine/>
    <w:qFormat/>
    <w:uiPriority w:val="0"/>
    <w:rPr>
      <w:kern w:val="2"/>
      <w:sz w:val="21"/>
      <w:szCs w:val="24"/>
    </w:rPr>
  </w:style>
  <w:style w:type="character" w:customStyle="1" w:styleId="52">
    <w:name w:val="fontstyle01"/>
    <w:autoRedefine/>
    <w:qFormat/>
    <w:uiPriority w:val="0"/>
    <w:rPr>
      <w:rFonts w:hint="eastAsia" w:ascii="宋体" w:hAnsi="宋体" w:eastAsia="宋体"/>
      <w:color w:val="000000"/>
      <w:sz w:val="22"/>
      <w:szCs w:val="22"/>
    </w:rPr>
  </w:style>
  <w:style w:type="paragraph" w:customStyle="1" w:styleId="53">
    <w:name w:val="正文段"/>
    <w:basedOn w:val="1"/>
    <w:autoRedefine/>
    <w:qFormat/>
    <w:uiPriority w:val="0"/>
    <w:pPr>
      <w:widowControl/>
      <w:snapToGrid w:val="0"/>
      <w:spacing w:afterLines="50"/>
      <w:ind w:firstLine="200" w:firstLineChars="200"/>
    </w:pPr>
    <w:rPr>
      <w:kern w:val="0"/>
      <w:sz w:val="24"/>
      <w:szCs w:val="20"/>
    </w:rPr>
  </w:style>
  <w:style w:type="character" w:customStyle="1" w:styleId="54">
    <w:name w:val="标题 Char1"/>
    <w:basedOn w:val="29"/>
    <w:autoRedefine/>
    <w:qFormat/>
    <w:uiPriority w:val="0"/>
    <w:rPr>
      <w:rFonts w:asciiTheme="majorHAnsi" w:hAnsiTheme="majorHAnsi" w:cstheme="majorBidi"/>
      <w:b/>
      <w:bCs/>
      <w:kern w:val="2"/>
      <w:sz w:val="32"/>
      <w:szCs w:val="32"/>
    </w:rPr>
  </w:style>
  <w:style w:type="paragraph" w:customStyle="1" w:styleId="55">
    <w:name w:val="TOC 标题1"/>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56">
    <w:name w:val="List Paragraph"/>
    <w:basedOn w:val="1"/>
    <w:autoRedefine/>
    <w:unhideWhenUsed/>
    <w:qFormat/>
    <w:uiPriority w:val="34"/>
    <w:pPr>
      <w:ind w:firstLine="420" w:firstLineChars="200"/>
    </w:pPr>
  </w:style>
  <w:style w:type="paragraph" w:customStyle="1" w:styleId="57">
    <w:name w:val="TOC 标题2"/>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58">
    <w:name w:val="列出段落1"/>
    <w:basedOn w:val="1"/>
    <w:autoRedefine/>
    <w:qFormat/>
    <w:uiPriority w:val="0"/>
    <w:pPr>
      <w:ind w:firstLine="420" w:firstLineChars="200"/>
    </w:pPr>
    <w:rPr>
      <w:rFonts w:asciiTheme="minorHAnsi" w:hAnsiTheme="minorHAnsi" w:eastAsiaTheme="minorEastAsia" w:cstheme="minorBidi"/>
      <w:szCs w:val="21"/>
    </w:rPr>
  </w:style>
  <w:style w:type="paragraph" w:customStyle="1" w:styleId="59">
    <w:name w:val="Char1 Char Char Char"/>
    <w:basedOn w:val="1"/>
    <w:autoRedefine/>
    <w:qFormat/>
    <w:uiPriority w:val="0"/>
    <w:rPr>
      <w:rFonts w:ascii="仿宋_GB2312" w:eastAsia="仿宋_GB2312"/>
      <w:b/>
      <w:sz w:val="32"/>
      <w:szCs w:val="32"/>
    </w:rPr>
  </w:style>
  <w:style w:type="paragraph" w:customStyle="1" w:styleId="6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61">
    <w:name w:val="xl65"/>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4"/>
    </w:rPr>
  </w:style>
  <w:style w:type="paragraph" w:customStyle="1" w:styleId="62">
    <w:name w:val="xl66"/>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63">
    <w:name w:val="xl67"/>
    <w:basedOn w:val="1"/>
    <w:autoRedefine/>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64">
    <w:name w:val="xl68"/>
    <w:basedOn w:val="1"/>
    <w:autoRedefine/>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65">
    <w:name w:val="xl69"/>
    <w:basedOn w:val="1"/>
    <w:autoRedefine/>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6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67">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68">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69">
    <w:name w:val="xl73"/>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0">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1">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2">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3">
    <w:name w:val="xl77"/>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4">
    <w:name w:val="xl78"/>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5">
    <w:name w:val="xl79"/>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6">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78">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8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2">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3">
    <w:name w:val="xl87"/>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
    <w:name w:val="xl8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5">
    <w:name w:val="xl89"/>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6">
    <w:name w:val="xl90"/>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7">
    <w:name w:val="xl9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
    <w:name w:val="xl92"/>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9">
    <w:name w:val="xl9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
    <w:name w:val="xl9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character" w:customStyle="1" w:styleId="91">
    <w:name w:val="正文文本首行缩进 2 字符"/>
    <w:basedOn w:val="42"/>
    <w:link w:val="26"/>
    <w:autoRedefine/>
    <w:semiHidden/>
    <w:qFormat/>
    <w:uiPriority w:val="99"/>
    <w:rPr>
      <w:rFonts w:ascii="Times New Roman" w:hAnsi="Times New Roman" w:eastAsia="宋体" w:cs="Times New Roman"/>
      <w:kern w:val="2"/>
      <w:sz w:val="21"/>
      <w:szCs w:val="24"/>
    </w:rPr>
  </w:style>
  <w:style w:type="character" w:customStyle="1" w:styleId="92">
    <w:name w:val="正文文本 字符"/>
    <w:basedOn w:val="29"/>
    <w:link w:val="11"/>
    <w:autoRedefine/>
    <w:semiHidden/>
    <w:qFormat/>
    <w:uiPriority w:val="99"/>
    <w:rPr>
      <w:rFonts w:ascii="Times New Roman" w:hAnsi="Times New Roman" w:eastAsia="宋体" w:cs="Times New Roman"/>
      <w:kern w:val="2"/>
      <w:sz w:val="21"/>
      <w:szCs w:val="24"/>
    </w:rPr>
  </w:style>
  <w:style w:type="character" w:customStyle="1" w:styleId="93">
    <w:name w:val="正文文本首行缩进 字符"/>
    <w:basedOn w:val="92"/>
    <w:link w:val="12"/>
    <w:autoRedefine/>
    <w:semiHidden/>
    <w:qFormat/>
    <w:uiPriority w:val="99"/>
    <w:rPr>
      <w:rFonts w:ascii="Times New Roman" w:hAnsi="Times New Roman" w:eastAsia="宋体" w:cs="Times New Roman"/>
      <w:kern w:val="2"/>
      <w:sz w:val="21"/>
      <w:szCs w:val="24"/>
    </w:rPr>
  </w:style>
  <w:style w:type="character" w:customStyle="1" w:styleId="94">
    <w:name w:val="font41"/>
    <w:autoRedefine/>
    <w:qFormat/>
    <w:uiPriority w:val="0"/>
    <w:rPr>
      <w:rFonts w:hint="eastAsia" w:ascii="宋体" w:hAnsi="宋体" w:eastAsia="宋体" w:cs="宋体"/>
      <w:color w:val="000000"/>
      <w:sz w:val="28"/>
      <w:szCs w:val="28"/>
      <w:u w:val="none"/>
    </w:rPr>
  </w:style>
  <w:style w:type="character" w:customStyle="1" w:styleId="95">
    <w:name w:val="font01"/>
    <w:autoRedefine/>
    <w:qFormat/>
    <w:uiPriority w:val="0"/>
    <w:rPr>
      <w:rFonts w:hint="default" w:ascii="Times New Roman" w:hAnsi="Times New Roman" w:cs="Times New Roman"/>
      <w:color w:val="000000"/>
      <w:sz w:val="28"/>
      <w:szCs w:val="28"/>
      <w:u w:val="none"/>
    </w:rPr>
  </w:style>
  <w:style w:type="character" w:customStyle="1" w:styleId="96">
    <w:name w:val="纯文本 字符1"/>
    <w:autoRedefine/>
    <w:qFormat/>
    <w:uiPriority w:val="0"/>
    <w:rPr>
      <w:rFonts w:ascii="宋体" w:hAnsi="Courier New"/>
      <w:kern w:val="2"/>
      <w:sz w:val="24"/>
      <w:szCs w:val="24"/>
    </w:rPr>
  </w:style>
  <w:style w:type="paragraph" w:customStyle="1" w:styleId="97">
    <w:name w:val="无间距1"/>
    <w:autoRedefine/>
    <w:qFormat/>
    <w:uiPriority w:val="0"/>
    <w:pPr>
      <w:widowControl w:val="0"/>
      <w:jc w:val="both"/>
    </w:pPr>
    <w:rPr>
      <w:rFonts w:ascii="Calibri" w:hAnsi="Calibri" w:eastAsia="微软雅黑 Light" w:cs="Times New Roman"/>
      <w:kern w:val="2"/>
      <w:sz w:val="24"/>
      <w:szCs w:val="22"/>
      <w:lang w:val="en-US" w:eastAsia="zh-CN" w:bidi="ar-SA"/>
    </w:rPr>
  </w:style>
  <w:style w:type="character" w:customStyle="1" w:styleId="98">
    <w:name w:val="text"/>
    <w:basedOn w:val="29"/>
    <w:autoRedefine/>
    <w:qFormat/>
    <w:uiPriority w:val="0"/>
  </w:style>
  <w:style w:type="character" w:customStyle="1" w:styleId="99">
    <w:name w:val="jbox-icon-error"/>
    <w:basedOn w:val="29"/>
    <w:autoRedefine/>
    <w:qFormat/>
    <w:uiPriority w:val="0"/>
  </w:style>
  <w:style w:type="character" w:customStyle="1" w:styleId="100">
    <w:name w:val="jbox-icon-question"/>
    <w:basedOn w:val="29"/>
    <w:autoRedefine/>
    <w:qFormat/>
    <w:uiPriority w:val="0"/>
  </w:style>
  <w:style w:type="character" w:customStyle="1" w:styleId="101">
    <w:name w:val="jbox-icon-info"/>
    <w:basedOn w:val="29"/>
    <w:autoRedefine/>
    <w:qFormat/>
    <w:uiPriority w:val="0"/>
  </w:style>
  <w:style w:type="character" w:customStyle="1" w:styleId="102">
    <w:name w:val="jbox-icon-success"/>
    <w:basedOn w:val="29"/>
    <w:autoRedefine/>
    <w:qFormat/>
    <w:uiPriority w:val="0"/>
  </w:style>
  <w:style w:type="character" w:customStyle="1" w:styleId="103">
    <w:name w:val="jbox-icon-none"/>
    <w:basedOn w:val="29"/>
    <w:autoRedefine/>
    <w:qFormat/>
    <w:uiPriority w:val="0"/>
    <w:rPr>
      <w:vanish/>
    </w:rPr>
  </w:style>
  <w:style w:type="character" w:customStyle="1" w:styleId="104">
    <w:name w:val="jbox-icon"/>
    <w:basedOn w:val="29"/>
    <w:autoRedefine/>
    <w:qFormat/>
    <w:uiPriority w:val="0"/>
  </w:style>
  <w:style w:type="character" w:customStyle="1" w:styleId="105">
    <w:name w:val="jbox-icon-warning"/>
    <w:basedOn w:val="29"/>
    <w:autoRedefine/>
    <w:qFormat/>
    <w:uiPriority w:val="0"/>
  </w:style>
  <w:style w:type="character" w:customStyle="1" w:styleId="106">
    <w:name w:val="jbox-icon-loading"/>
    <w:basedOn w:val="2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5CAD1E-5D62-4FA7-BF86-7422B6C13E5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11242</Words>
  <Characters>11960</Characters>
  <Lines>98</Lines>
  <Paragraphs>27</Paragraphs>
  <TotalTime>23</TotalTime>
  <ScaleCrop>false</ScaleCrop>
  <LinksUpToDate>false</LinksUpToDate>
  <CharactersWithSpaces>13575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2022-08-30T13:26:00Z</dcterms:created>
  <dc:creator>Administrator</dc:creator>
  <cp:lastModifiedBy>琼楼</cp:lastModifiedBy>
  <cp:lastPrinted>2022-09-01T07:38:00Z</cp:lastPrinted>
  <dcterms:modified xsi:type="dcterms:W3CDTF">2024-03-27T07:55:38Z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D2E5275BECCC47AA8AF80DEFF460FBF7_13</vt:lpwstr>
  </property>
</Properties>
</file>