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宋体" w:cs="微软雅黑"/>
          <w:b/>
          <w:color w:val="auto"/>
          <w:sz w:val="48"/>
          <w:szCs w:val="48"/>
          <w:highlight w:val="none"/>
          <w:lang w:val="en-US" w:eastAsia="zh-CN"/>
        </w:rPr>
      </w:pPr>
      <w:r>
        <w:rPr>
          <w:rFonts w:hint="eastAsia" w:ascii="微软雅黑" w:hAnsi="微软雅黑" w:eastAsia="宋体" w:cs="微软雅黑"/>
          <w:b/>
          <w:color w:val="auto"/>
          <w:sz w:val="48"/>
          <w:szCs w:val="48"/>
          <w:highlight w:val="none"/>
          <w:lang w:val="en-US" w:eastAsia="zh-CN"/>
        </w:rPr>
        <w:drawing>
          <wp:anchor distT="0" distB="0" distL="114300" distR="114300" simplePos="0" relativeHeight="251660288" behindDoc="1" locked="0" layoutInCell="1" allowOverlap="1">
            <wp:simplePos x="0" y="0"/>
            <wp:positionH relativeFrom="column">
              <wp:posOffset>-869950</wp:posOffset>
            </wp:positionH>
            <wp:positionV relativeFrom="paragraph">
              <wp:posOffset>-829310</wp:posOffset>
            </wp:positionV>
            <wp:extent cx="7578725" cy="10708640"/>
            <wp:effectExtent l="0" t="0" r="3175" b="10160"/>
            <wp:wrapNone/>
            <wp:docPr id="4" name="图片 4" descr="SKM_C22623110910150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KM_C22623110910150_00"/>
                    <pic:cNvPicPr>
                      <a:picLocks noChangeAspect="1"/>
                    </pic:cNvPicPr>
                  </pic:nvPicPr>
                  <pic:blipFill>
                    <a:blip r:embed="rId6"/>
                    <a:stretch>
                      <a:fillRect/>
                    </a:stretch>
                  </pic:blipFill>
                  <pic:spPr>
                    <a:xfrm>
                      <a:off x="0" y="0"/>
                      <a:ext cx="7578725" cy="10708640"/>
                    </a:xfrm>
                    <a:prstGeom prst="rect">
                      <a:avLst/>
                    </a:prstGeom>
                  </pic:spPr>
                </pic:pic>
              </a:graphicData>
            </a:graphic>
          </wp:anchor>
        </w:drawing>
      </w:r>
      <w:r>
        <w:rPr>
          <w:rFonts w:hint="eastAsia" w:ascii="宋体" w:hAnsi="宋体"/>
          <w:sz w:val="22"/>
        </w:rPr>
        <w:t xml:space="preserve">  </w:t>
      </w:r>
      <w:bookmarkStart w:id="0" w:name="_Hlk109981075"/>
      <w:bookmarkStart w:id="1" w:name="_Toc133892055"/>
      <w:r>
        <w:rPr>
          <w:rFonts w:hint="eastAsia" w:ascii="宋体" w:hAnsi="宋体" w:eastAsia="宋体" w:cs="宋体"/>
          <w:color w:val="auto"/>
          <w:sz w:val="24"/>
          <w:highlight w:val="none"/>
        </w:rPr>
        <w:t xml:space="preserve">  </w:t>
      </w:r>
      <w:r>
        <w:rPr>
          <w:rFonts w:hint="eastAsia" w:ascii="宋体" w:hAnsi="宋体" w:eastAsia="宋体" w:cs="宋体"/>
          <w:color w:val="000000"/>
          <w:sz w:val="24"/>
          <w:highlight w:val="none"/>
        </w:rPr>
        <w:t xml:space="preserve"> </w:t>
      </w:r>
    </w:p>
    <w:p>
      <w:pPr>
        <w:jc w:val="center"/>
        <w:rPr>
          <w:rFonts w:hint="eastAsia" w:ascii="微软雅黑" w:hAnsi="微软雅黑" w:eastAsia="微软雅黑" w:cs="微软雅黑"/>
          <w:b/>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微软雅黑" w:hAnsi="微软雅黑" w:eastAsia="微软雅黑" w:cs="微软雅黑"/>
          <w:b/>
          <w:color w:val="auto"/>
          <w:sz w:val="52"/>
          <w:szCs w:val="52"/>
          <w:highlight w:val="none"/>
          <w:lang w:val="en-US" w:eastAsia="zh-CN"/>
        </w:rPr>
      </w:pPr>
      <w:bookmarkStart w:id="2" w:name="_Toc27885"/>
      <w:bookmarkStart w:id="3" w:name="_Toc9261"/>
      <w:bookmarkStart w:id="4" w:name="_Toc5205"/>
    </w:p>
    <w:p>
      <w:pPr>
        <w:rPr>
          <w:rFonts w:hint="eastAsia" w:ascii="微软雅黑" w:hAnsi="微软雅黑" w:eastAsia="微软雅黑" w:cs="微软雅黑"/>
          <w:b/>
          <w:color w:val="auto"/>
          <w:sz w:val="52"/>
          <w:szCs w:val="52"/>
          <w:highlight w:val="none"/>
          <w:lang w:val="en-US" w:eastAsia="zh-CN"/>
        </w:rPr>
      </w:pPr>
      <w:r>
        <w:rPr>
          <w:rFonts w:hint="eastAsia" w:ascii="微软雅黑" w:hAnsi="微软雅黑" w:eastAsia="微软雅黑" w:cs="微软雅黑"/>
          <w:b/>
          <w:color w:val="auto"/>
          <w:sz w:val="52"/>
          <w:szCs w:val="5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微软雅黑" w:hAnsi="微软雅黑" w:eastAsia="微软雅黑" w:cs="微软雅黑"/>
          <w:b/>
          <w:color w:val="auto"/>
          <w:sz w:val="52"/>
          <w:szCs w:val="52"/>
          <w:highlight w:val="none"/>
          <w:lang w:val="en-US" w:eastAsia="zh-CN"/>
        </w:rPr>
      </w:pPr>
      <w:r>
        <w:rPr>
          <w:rFonts w:hint="eastAsia" w:ascii="宋体" w:hAnsi="宋体" w:eastAsia="宋体" w:cs="宋体"/>
          <w:color w:val="auto"/>
          <w:sz w:val="24"/>
          <w:highlight w:val="none"/>
        </w:rPr>
        <w:drawing>
          <wp:anchor distT="0" distB="0" distL="114300" distR="114300" simplePos="0" relativeHeight="251659264" behindDoc="1" locked="0" layoutInCell="1" allowOverlap="1">
            <wp:simplePos x="0" y="0"/>
            <wp:positionH relativeFrom="column">
              <wp:posOffset>-339090</wp:posOffset>
            </wp:positionH>
            <wp:positionV relativeFrom="paragraph">
              <wp:posOffset>-290195</wp:posOffset>
            </wp:positionV>
            <wp:extent cx="1143635" cy="1082675"/>
            <wp:effectExtent l="0" t="0" r="12065" b="9525"/>
            <wp:wrapNone/>
            <wp:docPr id="3" name="图片 2" descr="19a9c0e900479c854e488a4f6f1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9a9c0e900479c854e488a4f6f14205"/>
                    <pic:cNvPicPr>
                      <a:picLocks noChangeAspect="1"/>
                    </pic:cNvPicPr>
                  </pic:nvPicPr>
                  <pic:blipFill>
                    <a:blip r:embed="rId7"/>
                    <a:stretch>
                      <a:fillRect/>
                    </a:stretch>
                  </pic:blipFill>
                  <pic:spPr>
                    <a:xfrm>
                      <a:off x="0" y="0"/>
                      <a:ext cx="1143635" cy="10826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微软雅黑" w:hAnsi="微软雅黑" w:eastAsia="微软雅黑" w:cs="微软雅黑"/>
          <w:b/>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微软雅黑" w:hAnsi="微软雅黑" w:eastAsia="微软雅黑" w:cs="微软雅黑"/>
          <w:b/>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微软雅黑" w:hAnsi="微软雅黑" w:eastAsia="微软雅黑" w:cs="微软雅黑"/>
          <w:b/>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微软雅黑" w:hAnsi="微软雅黑" w:eastAsia="微软雅黑" w:cs="微软雅黑"/>
          <w:b/>
          <w:color w:val="auto"/>
          <w:sz w:val="52"/>
          <w:szCs w:val="52"/>
          <w:highlight w:val="none"/>
          <w:lang w:val="en-US" w:eastAsia="zh-CN"/>
        </w:rPr>
      </w:pPr>
      <w:r>
        <w:rPr>
          <w:rFonts w:hint="eastAsia" w:ascii="微软雅黑" w:hAnsi="微软雅黑" w:eastAsia="微软雅黑" w:cs="微软雅黑"/>
          <w:b/>
          <w:color w:val="auto"/>
          <w:sz w:val="52"/>
          <w:szCs w:val="52"/>
          <w:highlight w:val="none"/>
          <w:lang w:val="en-US" w:eastAsia="zh-CN"/>
        </w:rPr>
        <w:t>江北区总工会账户开立及公款存放项目</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微软雅黑" w:hAnsi="微软雅黑" w:eastAsia="微软雅黑" w:cs="微软雅黑"/>
          <w:b/>
          <w:color w:val="auto"/>
          <w:sz w:val="52"/>
          <w:szCs w:val="52"/>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b/>
          <w:color w:val="auto"/>
          <w:sz w:val="44"/>
          <w:highlight w:val="none"/>
          <w:lang w:val="en-US" w:eastAsia="zh-CN"/>
        </w:rPr>
      </w:pPr>
      <w:r>
        <w:rPr>
          <w:rFonts w:hint="eastAsia" w:ascii="微软雅黑" w:hAnsi="微软雅黑" w:eastAsia="微软雅黑" w:cs="微软雅黑"/>
          <w:b/>
          <w:color w:val="auto"/>
          <w:sz w:val="52"/>
          <w:szCs w:val="52"/>
          <w:highlight w:val="none"/>
          <w:lang w:val="en-US" w:eastAsia="zh-CN"/>
        </w:rPr>
        <w:t>公开招标文件</w:t>
      </w:r>
      <w:bookmarkEnd w:id="2"/>
      <w:bookmarkEnd w:id="3"/>
      <w:bookmarkEnd w:id="4"/>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b/>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b/>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b/>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b/>
          <w:color w:val="auto"/>
          <w:sz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leftChars="200"/>
        <w:jc w:val="both"/>
        <w:textAlignment w:val="auto"/>
        <w:outlineLvl w:val="9"/>
        <w:rPr>
          <w:rStyle w:val="33"/>
          <w:rFonts w:hint="eastAsia" w:ascii="黑体" w:hAnsi="黑体" w:eastAsia="黑体" w:cs="黑体"/>
          <w:b w:val="0"/>
          <w:bCs/>
          <w:color w:val="auto"/>
          <w:sz w:val="28"/>
          <w:szCs w:val="28"/>
          <w:highlight w:val="none"/>
          <w:u w:val="none"/>
          <w:lang w:val="en-US" w:eastAsia="zh-CN" w:bidi="ar-SA"/>
        </w:rPr>
      </w:pPr>
      <w:bookmarkStart w:id="5" w:name="_Toc32117"/>
      <w:bookmarkStart w:id="6" w:name="_Toc27909"/>
      <w:bookmarkStart w:id="7" w:name="_Toc20549"/>
      <w:bookmarkStart w:id="8" w:name="_Toc26268"/>
      <w:r>
        <w:rPr>
          <w:rStyle w:val="33"/>
          <w:rFonts w:hint="eastAsia" w:ascii="黑体" w:hAnsi="黑体" w:eastAsia="黑体" w:cs="黑体"/>
          <w:b w:val="0"/>
          <w:bCs/>
          <w:color w:val="auto"/>
          <w:sz w:val="28"/>
          <w:szCs w:val="28"/>
          <w:highlight w:val="none"/>
          <w:u w:val="none"/>
          <w:lang w:val="en-US" w:eastAsia="zh-CN" w:bidi="ar-SA"/>
        </w:rPr>
        <w:t>项目编号：</w:t>
      </w:r>
      <w:bookmarkEnd w:id="5"/>
      <w:bookmarkEnd w:id="6"/>
      <w:bookmarkStart w:id="9" w:name="_Toc26371"/>
      <w:bookmarkStart w:id="10" w:name="_Toc11067"/>
      <w:r>
        <w:rPr>
          <w:rStyle w:val="33"/>
          <w:rFonts w:hint="eastAsia" w:ascii="黑体" w:hAnsi="黑体" w:eastAsia="黑体" w:cs="黑体"/>
          <w:b w:val="0"/>
          <w:bCs/>
          <w:color w:val="auto"/>
          <w:sz w:val="28"/>
          <w:szCs w:val="28"/>
          <w:highlight w:val="none"/>
          <w:u w:val="none"/>
          <w:lang w:val="en-US" w:eastAsia="zh-CN" w:bidi="ar-SA"/>
        </w:rPr>
        <w:t>NBSD2023-077</w:t>
      </w:r>
    </w:p>
    <w:p>
      <w:pPr>
        <w:keepNext w:val="0"/>
        <w:keepLines w:val="0"/>
        <w:pageBreakBefore w:val="0"/>
        <w:widowControl w:val="0"/>
        <w:kinsoku/>
        <w:wordWrap/>
        <w:overflowPunct/>
        <w:topLinePunct w:val="0"/>
        <w:autoSpaceDE/>
        <w:autoSpaceDN/>
        <w:bidi w:val="0"/>
        <w:adjustRightInd/>
        <w:snapToGrid/>
        <w:spacing w:line="720" w:lineRule="auto"/>
        <w:ind w:leftChars="200"/>
        <w:jc w:val="both"/>
        <w:textAlignment w:val="auto"/>
        <w:outlineLvl w:val="9"/>
        <w:rPr>
          <w:rStyle w:val="33"/>
          <w:rFonts w:hint="default" w:ascii="黑体" w:hAnsi="黑体" w:eastAsia="黑体" w:cs="黑体"/>
          <w:b w:val="0"/>
          <w:bCs/>
          <w:color w:val="auto"/>
          <w:sz w:val="28"/>
          <w:szCs w:val="28"/>
          <w:highlight w:val="none"/>
          <w:u w:val="none"/>
          <w:lang w:val="en-US" w:eastAsia="zh-CN" w:bidi="ar-SA"/>
        </w:rPr>
      </w:pPr>
      <w:r>
        <w:rPr>
          <w:rStyle w:val="33"/>
          <w:rFonts w:hint="eastAsia" w:ascii="黑体" w:hAnsi="黑体" w:eastAsia="黑体" w:cs="黑体"/>
          <w:b w:val="0"/>
          <w:bCs/>
          <w:color w:val="auto"/>
          <w:sz w:val="28"/>
          <w:szCs w:val="28"/>
          <w:highlight w:val="none"/>
          <w:u w:val="none"/>
          <w:lang w:val="en-US" w:eastAsia="zh-CN" w:bidi="ar-SA"/>
        </w:rPr>
        <w:t>交易登记号：GKCF2023011</w:t>
      </w:r>
    </w:p>
    <w:bookmarkEnd w:id="7"/>
    <w:bookmarkEnd w:id="8"/>
    <w:bookmarkEnd w:id="9"/>
    <w:bookmarkEnd w:id="10"/>
    <w:p>
      <w:pPr>
        <w:keepNext w:val="0"/>
        <w:keepLines w:val="0"/>
        <w:pageBreakBefore w:val="0"/>
        <w:widowControl w:val="0"/>
        <w:kinsoku/>
        <w:wordWrap/>
        <w:overflowPunct/>
        <w:topLinePunct w:val="0"/>
        <w:autoSpaceDE/>
        <w:autoSpaceDN/>
        <w:bidi w:val="0"/>
        <w:adjustRightInd/>
        <w:snapToGrid/>
        <w:spacing w:line="720" w:lineRule="auto"/>
        <w:ind w:leftChars="200"/>
        <w:jc w:val="both"/>
        <w:textAlignment w:val="auto"/>
        <w:outlineLvl w:val="9"/>
        <w:rPr>
          <w:rStyle w:val="33"/>
          <w:rFonts w:hint="eastAsia" w:ascii="黑体" w:hAnsi="黑体" w:eastAsia="黑体" w:cs="黑体"/>
          <w:b w:val="0"/>
          <w:bCs/>
          <w:color w:val="auto"/>
          <w:sz w:val="28"/>
          <w:szCs w:val="28"/>
          <w:highlight w:val="none"/>
          <w:u w:val="none"/>
          <w:lang w:val="en-US" w:eastAsia="zh-CN" w:bidi="ar-SA"/>
        </w:rPr>
      </w:pPr>
      <w:bookmarkStart w:id="11" w:name="_Toc28313"/>
      <w:bookmarkStart w:id="12" w:name="_Toc2728"/>
      <w:bookmarkStart w:id="13" w:name="_Toc18618"/>
      <w:bookmarkStart w:id="14" w:name="_Toc9356"/>
      <w:r>
        <w:rPr>
          <w:rStyle w:val="33"/>
          <w:rFonts w:hint="eastAsia" w:ascii="黑体" w:hAnsi="黑体" w:eastAsia="黑体" w:cs="黑体"/>
          <w:b w:val="0"/>
          <w:bCs/>
          <w:color w:val="auto"/>
          <w:sz w:val="28"/>
          <w:szCs w:val="28"/>
          <w:highlight w:val="none"/>
          <w:u w:val="none"/>
          <w:lang w:val="en-US" w:eastAsia="zh-CN" w:bidi="ar-SA"/>
        </w:rPr>
        <w:t>招标单位：宁波市江北区总工会（盖章）</w:t>
      </w:r>
    </w:p>
    <w:bookmarkEnd w:id="11"/>
    <w:bookmarkEnd w:id="12"/>
    <w:bookmarkEnd w:id="13"/>
    <w:bookmarkEnd w:id="14"/>
    <w:p>
      <w:pPr>
        <w:keepNext w:val="0"/>
        <w:keepLines w:val="0"/>
        <w:pageBreakBefore w:val="0"/>
        <w:widowControl w:val="0"/>
        <w:kinsoku/>
        <w:wordWrap/>
        <w:overflowPunct/>
        <w:topLinePunct w:val="0"/>
        <w:autoSpaceDE/>
        <w:autoSpaceDN/>
        <w:bidi w:val="0"/>
        <w:adjustRightInd/>
        <w:snapToGrid/>
        <w:spacing w:line="720" w:lineRule="auto"/>
        <w:ind w:leftChars="200"/>
        <w:jc w:val="both"/>
        <w:textAlignment w:val="auto"/>
        <w:outlineLvl w:val="9"/>
        <w:rPr>
          <w:rStyle w:val="33"/>
          <w:rFonts w:hint="eastAsia" w:ascii="黑体" w:hAnsi="黑体" w:eastAsia="黑体" w:cs="黑体"/>
          <w:b w:val="0"/>
          <w:bCs/>
          <w:color w:val="auto"/>
          <w:sz w:val="28"/>
          <w:szCs w:val="28"/>
          <w:highlight w:val="none"/>
          <w:u w:val="none"/>
          <w:lang w:val="en-US" w:eastAsia="zh-CN" w:bidi="ar-SA"/>
        </w:rPr>
      </w:pPr>
      <w:bookmarkStart w:id="15" w:name="_Toc10633"/>
      <w:bookmarkStart w:id="16" w:name="_Toc21216"/>
      <w:bookmarkStart w:id="17" w:name="_Toc28561"/>
      <w:bookmarkStart w:id="18" w:name="_Toc8190"/>
      <w:r>
        <w:rPr>
          <w:rStyle w:val="33"/>
          <w:rFonts w:hint="eastAsia" w:ascii="黑体" w:hAnsi="黑体" w:eastAsia="黑体" w:cs="黑体"/>
          <w:b w:val="0"/>
          <w:bCs/>
          <w:color w:val="auto"/>
          <w:sz w:val="28"/>
          <w:szCs w:val="28"/>
          <w:highlight w:val="none"/>
          <w:u w:val="none"/>
          <w:lang w:val="en-US" w:eastAsia="zh-CN" w:bidi="ar-SA"/>
        </w:rPr>
        <w:t>招标代理机构：宁波市盛达工程管理咨询有限公司（盖章）</w:t>
      </w:r>
    </w:p>
    <w:bookmarkEnd w:id="15"/>
    <w:bookmarkEnd w:id="16"/>
    <w:bookmarkEnd w:id="17"/>
    <w:bookmarkEnd w:id="18"/>
    <w:p>
      <w:pPr>
        <w:keepNext w:val="0"/>
        <w:keepLines w:val="0"/>
        <w:pageBreakBefore w:val="0"/>
        <w:widowControl w:val="0"/>
        <w:kinsoku/>
        <w:wordWrap/>
        <w:overflowPunct/>
        <w:topLinePunct w:val="0"/>
        <w:autoSpaceDE/>
        <w:autoSpaceDN/>
        <w:bidi w:val="0"/>
        <w:adjustRightInd/>
        <w:snapToGrid/>
        <w:spacing w:line="720" w:lineRule="auto"/>
        <w:ind w:leftChars="0"/>
        <w:jc w:val="center"/>
        <w:textAlignment w:val="auto"/>
        <w:outlineLvl w:val="9"/>
        <w:rPr>
          <w:rFonts w:hint="eastAsia" w:ascii="宋体" w:hAnsi="宋体"/>
          <w:b/>
          <w:color w:val="auto"/>
          <w:sz w:val="44"/>
          <w:highlight w:val="none"/>
        </w:rPr>
      </w:pPr>
      <w:bookmarkStart w:id="19" w:name="_Toc20257"/>
      <w:bookmarkStart w:id="20" w:name="_Toc13160"/>
      <w:bookmarkStart w:id="21" w:name="_Toc6729"/>
      <w:bookmarkStart w:id="22" w:name="_Toc21118"/>
      <w:r>
        <w:rPr>
          <w:rStyle w:val="33"/>
          <w:rFonts w:hint="eastAsia" w:ascii="黑体" w:hAnsi="黑体" w:eastAsia="黑体" w:cs="黑体"/>
          <w:b w:val="0"/>
          <w:bCs/>
          <w:color w:val="auto"/>
          <w:sz w:val="28"/>
          <w:szCs w:val="28"/>
          <w:highlight w:val="none"/>
          <w:u w:val="none"/>
          <w:lang w:val="en-US" w:eastAsia="zh-CN" w:bidi="ar-SA"/>
        </w:rPr>
        <w:t>2023年11月</w:t>
      </w:r>
      <w:bookmarkEnd w:id="19"/>
      <w:bookmarkEnd w:id="20"/>
      <w:bookmarkEnd w:id="21"/>
      <w:bookmarkEnd w:id="22"/>
    </w:p>
    <w:p>
      <w:pPr>
        <w:pStyle w:val="34"/>
        <w:rPr>
          <w:color w:val="auto"/>
          <w:highlight w:val="none"/>
        </w:rPr>
        <w:sectPr>
          <w:pgSz w:w="11906" w:h="16838"/>
          <w:pgMar w:top="1304" w:right="1361" w:bottom="1304" w:left="1361" w:header="851" w:footer="454" w:gutter="0"/>
          <w:pgNumType w:start="1"/>
          <w:cols w:space="720" w:num="1"/>
          <w:docGrid w:type="lines" w:linePitch="312" w:charSpace="0"/>
        </w:sectPr>
      </w:pPr>
    </w:p>
    <w:sdt>
      <w:sdtPr>
        <w:rPr>
          <w:rFonts w:ascii="宋体" w:hAnsi="宋体" w:eastAsia="宋体" w:cs="Times New Roman"/>
          <w:b w:val="0"/>
          <w:bCs w:val="0"/>
          <w:color w:val="auto"/>
          <w:kern w:val="2"/>
          <w:sz w:val="21"/>
          <w:szCs w:val="24"/>
          <w:highlight w:val="none"/>
          <w:lang w:val="zh-CN"/>
        </w:rPr>
        <w:id w:val="-1469122334"/>
        <w:docPartObj>
          <w:docPartGallery w:val="Table of Contents"/>
          <w:docPartUnique/>
        </w:docPartObj>
      </w:sdtPr>
      <w:sdtEndPr>
        <w:rPr>
          <w:rFonts w:ascii="宋体" w:hAnsi="宋体" w:eastAsia="宋体" w:cs="Times New Roman"/>
          <w:b w:val="0"/>
          <w:bCs w:val="0"/>
          <w:color w:val="auto"/>
          <w:kern w:val="2"/>
          <w:sz w:val="36"/>
          <w:szCs w:val="44"/>
          <w:highlight w:val="none"/>
          <w:lang w:val="zh-CN"/>
        </w:rPr>
      </w:sdtEndPr>
      <w:sdtContent>
        <w:p>
          <w:pPr>
            <w:pStyle w:val="55"/>
            <w:spacing w:before="156" w:beforeLines="50" w:after="312" w:afterLines="100" w:line="480" w:lineRule="auto"/>
            <w:jc w:val="center"/>
            <w:rPr>
              <w:rFonts w:ascii="宋体" w:hAnsi="宋体" w:eastAsia="宋体" w:cs="Times New Roman"/>
              <w:b w:val="0"/>
              <w:bCs w:val="0"/>
              <w:color w:val="auto"/>
              <w:kern w:val="2"/>
              <w:sz w:val="21"/>
              <w:szCs w:val="24"/>
              <w:highlight w:val="none"/>
              <w:lang w:val="zh-CN"/>
            </w:rPr>
          </w:pPr>
          <w:bookmarkStart w:id="23" w:name="_Toc36194035"/>
          <w:bookmarkStart w:id="24" w:name="_Toc47976781"/>
        </w:p>
        <w:p>
          <w:pPr>
            <w:pStyle w:val="55"/>
            <w:spacing w:before="156" w:beforeLines="50" w:after="312" w:afterLines="100" w:line="480" w:lineRule="auto"/>
            <w:jc w:val="center"/>
            <w:rPr>
              <w:rFonts w:hint="eastAsia" w:ascii="宋体" w:hAnsi="宋体" w:eastAsia="宋体" w:cs="宋体"/>
              <w:color w:val="auto"/>
              <w:sz w:val="40"/>
              <w:szCs w:val="44"/>
              <w:highlight w:val="none"/>
              <w:lang w:val="zh-CN"/>
            </w:rPr>
          </w:pPr>
          <w:r>
            <w:rPr>
              <w:rFonts w:hint="eastAsia" w:ascii="宋体" w:hAnsi="宋体" w:eastAsia="宋体" w:cs="宋体"/>
              <w:color w:val="auto"/>
              <w:sz w:val="40"/>
              <w:szCs w:val="44"/>
              <w:highlight w:val="none"/>
              <w:lang w:val="zh-CN"/>
            </w:rPr>
            <w:t>目</w:t>
          </w:r>
          <w:r>
            <w:rPr>
              <w:rFonts w:hint="eastAsia" w:ascii="宋体" w:hAnsi="宋体" w:eastAsia="宋体" w:cs="宋体"/>
              <w:color w:val="auto"/>
              <w:sz w:val="40"/>
              <w:szCs w:val="44"/>
              <w:highlight w:val="none"/>
            </w:rPr>
            <w:t xml:space="preserve">   </w:t>
          </w:r>
          <w:r>
            <w:rPr>
              <w:rFonts w:hint="eastAsia" w:ascii="宋体" w:hAnsi="宋体" w:eastAsia="宋体" w:cs="宋体"/>
              <w:color w:val="auto"/>
              <w:sz w:val="40"/>
              <w:szCs w:val="44"/>
              <w:highlight w:val="none"/>
              <w:lang w:val="zh-CN"/>
            </w:rPr>
            <w:t>录</w:t>
          </w:r>
        </w:p>
        <w:p>
          <w:pPr>
            <w:rPr>
              <w:color w:val="auto"/>
              <w:highlight w:val="none"/>
            </w:rPr>
          </w:pPr>
        </w:p>
        <w:p>
          <w:pPr>
            <w:pStyle w:val="19"/>
            <w:tabs>
              <w:tab w:val="right" w:leader="dot" w:pos="9174"/>
            </w:tabs>
            <w:spacing w:line="480" w:lineRule="auto"/>
            <w:rPr>
              <w:rFonts w:ascii="宋体" w:hAnsi="宋体" w:eastAsia="宋体" w:cstheme="minorBidi"/>
              <w:caps w:val="0"/>
              <w:color w:val="auto"/>
              <w:sz w:val="24"/>
              <w:szCs w:val="24"/>
              <w:highlight w:val="none"/>
              <w14:ligatures w14:val="standardContextual"/>
            </w:rPr>
          </w:pPr>
          <w:r>
            <w:rPr>
              <w:rFonts w:hint="eastAsia" w:ascii="宋体" w:hAnsi="宋体" w:eastAsia="宋体" w:cs="宋体"/>
              <w:color w:val="auto"/>
              <w:sz w:val="36"/>
              <w:szCs w:val="44"/>
              <w:highlight w:val="none"/>
            </w:rPr>
            <w:fldChar w:fldCharType="begin"/>
          </w:r>
          <w:r>
            <w:rPr>
              <w:rFonts w:hint="eastAsia" w:ascii="宋体" w:hAnsi="宋体" w:eastAsia="宋体" w:cs="宋体"/>
              <w:color w:val="auto"/>
              <w:sz w:val="36"/>
              <w:szCs w:val="44"/>
              <w:highlight w:val="none"/>
            </w:rPr>
            <w:instrText xml:space="preserve"> TOC \o "1-3" \h \z \u </w:instrText>
          </w:r>
          <w:r>
            <w:rPr>
              <w:rFonts w:hint="eastAsia" w:ascii="宋体" w:hAnsi="宋体" w:eastAsia="宋体" w:cs="宋体"/>
              <w:color w:val="auto"/>
              <w:sz w:val="36"/>
              <w:szCs w:val="44"/>
              <w:highlight w:val="none"/>
            </w:rPr>
            <w:fldChar w:fldCharType="separate"/>
          </w:r>
          <w:r>
            <w:rPr>
              <w:color w:val="auto"/>
              <w:sz w:val="24"/>
              <w:szCs w:val="24"/>
              <w:highlight w:val="none"/>
            </w:rPr>
            <w:fldChar w:fldCharType="begin"/>
          </w:r>
          <w:r>
            <w:rPr>
              <w:color w:val="auto"/>
              <w:sz w:val="24"/>
              <w:szCs w:val="24"/>
              <w:highlight w:val="none"/>
            </w:rPr>
            <w:instrText xml:space="preserve"> HYPERLINK \l "_Toc138771884" </w:instrText>
          </w:r>
          <w:r>
            <w:rPr>
              <w:color w:val="auto"/>
              <w:sz w:val="24"/>
              <w:szCs w:val="24"/>
              <w:highlight w:val="none"/>
            </w:rPr>
            <w:fldChar w:fldCharType="separate"/>
          </w:r>
          <w:r>
            <w:rPr>
              <w:rStyle w:val="31"/>
              <w:rFonts w:ascii="宋体" w:hAnsi="宋体" w:eastAsia="宋体"/>
              <w:color w:val="auto"/>
              <w:sz w:val="24"/>
              <w:szCs w:val="24"/>
              <w:highlight w:val="none"/>
            </w:rPr>
            <w:t>第一章  招标公告</w:t>
          </w:r>
          <w:r>
            <w:rPr>
              <w:rFonts w:ascii="宋体" w:hAnsi="宋体" w:eastAsia="宋体"/>
              <w:color w:val="auto"/>
              <w:sz w:val="24"/>
              <w:szCs w:val="24"/>
              <w:highlight w:val="none"/>
            </w:rPr>
            <w:tab/>
          </w:r>
          <w:r>
            <w:rPr>
              <w:rFonts w:ascii="宋体" w:hAnsi="宋体" w:eastAsia="宋体"/>
              <w:color w:val="auto"/>
              <w:sz w:val="24"/>
              <w:szCs w:val="24"/>
              <w:highlight w:val="none"/>
            </w:rPr>
            <w:fldChar w:fldCharType="begin"/>
          </w:r>
          <w:r>
            <w:rPr>
              <w:rFonts w:ascii="宋体" w:hAnsi="宋体" w:eastAsia="宋体"/>
              <w:color w:val="auto"/>
              <w:sz w:val="24"/>
              <w:szCs w:val="24"/>
              <w:highlight w:val="none"/>
            </w:rPr>
            <w:instrText xml:space="preserve"> PAGEREF _Toc138771884 \h </w:instrText>
          </w:r>
          <w:r>
            <w:rPr>
              <w:rFonts w:ascii="宋体" w:hAnsi="宋体" w:eastAsia="宋体"/>
              <w:color w:val="auto"/>
              <w:sz w:val="24"/>
              <w:szCs w:val="24"/>
              <w:highlight w:val="none"/>
            </w:rPr>
            <w:fldChar w:fldCharType="separate"/>
          </w:r>
          <w:r>
            <w:rPr>
              <w:rFonts w:ascii="宋体" w:hAnsi="宋体" w:eastAsia="宋体"/>
              <w:color w:val="auto"/>
              <w:sz w:val="24"/>
              <w:szCs w:val="24"/>
              <w:highlight w:val="none"/>
            </w:rPr>
            <w:t>1</w:t>
          </w:r>
          <w:r>
            <w:rPr>
              <w:rFonts w:ascii="宋体" w:hAnsi="宋体" w:eastAsia="宋体"/>
              <w:color w:val="auto"/>
              <w:sz w:val="24"/>
              <w:szCs w:val="24"/>
              <w:highlight w:val="none"/>
            </w:rPr>
            <w:fldChar w:fldCharType="end"/>
          </w:r>
          <w:r>
            <w:rPr>
              <w:rFonts w:ascii="宋体" w:hAnsi="宋体" w:eastAsia="宋体"/>
              <w:color w:val="auto"/>
              <w:sz w:val="24"/>
              <w:szCs w:val="24"/>
              <w:highlight w:val="none"/>
            </w:rPr>
            <w:fldChar w:fldCharType="end"/>
          </w:r>
        </w:p>
        <w:p>
          <w:pPr>
            <w:pStyle w:val="19"/>
            <w:tabs>
              <w:tab w:val="right" w:leader="dot" w:pos="9174"/>
            </w:tabs>
            <w:spacing w:line="480" w:lineRule="auto"/>
            <w:rPr>
              <w:rFonts w:ascii="宋体" w:hAnsi="宋体" w:eastAsia="宋体" w:cstheme="minorBidi"/>
              <w:caps w:val="0"/>
              <w:color w:val="auto"/>
              <w:sz w:val="24"/>
              <w:szCs w:val="24"/>
              <w:highlight w:val="none"/>
              <w14:ligatures w14:val="standardContextual"/>
            </w:rPr>
          </w:pPr>
          <w:r>
            <w:rPr>
              <w:color w:val="auto"/>
              <w:sz w:val="24"/>
              <w:szCs w:val="24"/>
              <w:highlight w:val="none"/>
            </w:rPr>
            <w:fldChar w:fldCharType="begin"/>
          </w:r>
          <w:r>
            <w:rPr>
              <w:color w:val="auto"/>
              <w:sz w:val="24"/>
              <w:szCs w:val="24"/>
              <w:highlight w:val="none"/>
            </w:rPr>
            <w:instrText xml:space="preserve"> HYPERLINK \l "_Toc138771885" </w:instrText>
          </w:r>
          <w:r>
            <w:rPr>
              <w:color w:val="auto"/>
              <w:sz w:val="24"/>
              <w:szCs w:val="24"/>
              <w:highlight w:val="none"/>
            </w:rPr>
            <w:fldChar w:fldCharType="separate"/>
          </w:r>
          <w:r>
            <w:rPr>
              <w:rStyle w:val="31"/>
              <w:rFonts w:ascii="宋体" w:hAnsi="宋体" w:eastAsia="宋体"/>
              <w:color w:val="auto"/>
              <w:sz w:val="24"/>
              <w:szCs w:val="24"/>
              <w:highlight w:val="none"/>
            </w:rPr>
            <w:t>第二章  投标人须知</w:t>
          </w:r>
          <w:r>
            <w:rPr>
              <w:rFonts w:ascii="宋体" w:hAnsi="宋体" w:eastAsia="宋体"/>
              <w:color w:val="auto"/>
              <w:sz w:val="24"/>
              <w:szCs w:val="24"/>
              <w:highlight w:val="none"/>
            </w:rPr>
            <w:tab/>
          </w:r>
          <w:r>
            <w:rPr>
              <w:rFonts w:ascii="宋体" w:hAnsi="宋体" w:eastAsia="宋体"/>
              <w:color w:val="auto"/>
              <w:sz w:val="24"/>
              <w:szCs w:val="24"/>
              <w:highlight w:val="none"/>
            </w:rPr>
            <w:fldChar w:fldCharType="begin"/>
          </w:r>
          <w:r>
            <w:rPr>
              <w:rFonts w:ascii="宋体" w:hAnsi="宋体" w:eastAsia="宋体"/>
              <w:color w:val="auto"/>
              <w:sz w:val="24"/>
              <w:szCs w:val="24"/>
              <w:highlight w:val="none"/>
            </w:rPr>
            <w:instrText xml:space="preserve"> PAGEREF _Toc138771885 \h </w:instrText>
          </w:r>
          <w:r>
            <w:rPr>
              <w:rFonts w:ascii="宋体" w:hAnsi="宋体" w:eastAsia="宋体"/>
              <w:color w:val="auto"/>
              <w:sz w:val="24"/>
              <w:szCs w:val="24"/>
              <w:highlight w:val="none"/>
            </w:rPr>
            <w:fldChar w:fldCharType="separate"/>
          </w:r>
          <w:r>
            <w:rPr>
              <w:rFonts w:ascii="宋体" w:hAnsi="宋体" w:eastAsia="宋体"/>
              <w:color w:val="auto"/>
              <w:sz w:val="24"/>
              <w:szCs w:val="24"/>
              <w:highlight w:val="none"/>
            </w:rPr>
            <w:t>4</w:t>
          </w:r>
          <w:r>
            <w:rPr>
              <w:rFonts w:ascii="宋体" w:hAnsi="宋体" w:eastAsia="宋体"/>
              <w:color w:val="auto"/>
              <w:sz w:val="24"/>
              <w:szCs w:val="24"/>
              <w:highlight w:val="none"/>
            </w:rPr>
            <w:fldChar w:fldCharType="end"/>
          </w:r>
          <w:r>
            <w:rPr>
              <w:rFonts w:ascii="宋体" w:hAnsi="宋体" w:eastAsia="宋体"/>
              <w:color w:val="auto"/>
              <w:sz w:val="24"/>
              <w:szCs w:val="24"/>
              <w:highlight w:val="none"/>
            </w:rPr>
            <w:fldChar w:fldCharType="end"/>
          </w:r>
        </w:p>
        <w:p>
          <w:pPr>
            <w:pStyle w:val="19"/>
            <w:tabs>
              <w:tab w:val="right" w:leader="dot" w:pos="9174"/>
            </w:tabs>
            <w:spacing w:line="480" w:lineRule="auto"/>
            <w:rPr>
              <w:rFonts w:ascii="宋体" w:hAnsi="宋体" w:eastAsia="宋体" w:cstheme="minorBidi"/>
              <w:caps w:val="0"/>
              <w:color w:val="auto"/>
              <w:sz w:val="24"/>
              <w:szCs w:val="24"/>
              <w:highlight w:val="none"/>
              <w14:ligatures w14:val="standardContextual"/>
            </w:rPr>
          </w:pPr>
          <w:r>
            <w:rPr>
              <w:color w:val="auto"/>
              <w:sz w:val="24"/>
              <w:szCs w:val="24"/>
              <w:highlight w:val="none"/>
            </w:rPr>
            <w:fldChar w:fldCharType="begin"/>
          </w:r>
          <w:r>
            <w:rPr>
              <w:color w:val="auto"/>
              <w:sz w:val="24"/>
              <w:szCs w:val="24"/>
              <w:highlight w:val="none"/>
            </w:rPr>
            <w:instrText xml:space="preserve"> HYPERLINK \l "_Toc138771908" </w:instrText>
          </w:r>
          <w:r>
            <w:rPr>
              <w:color w:val="auto"/>
              <w:sz w:val="24"/>
              <w:szCs w:val="24"/>
              <w:highlight w:val="none"/>
            </w:rPr>
            <w:fldChar w:fldCharType="separate"/>
          </w:r>
          <w:r>
            <w:rPr>
              <w:rStyle w:val="31"/>
              <w:rFonts w:ascii="宋体" w:hAnsi="宋体" w:eastAsia="宋体"/>
              <w:color w:val="auto"/>
              <w:sz w:val="24"/>
              <w:szCs w:val="24"/>
              <w:highlight w:val="none"/>
            </w:rPr>
            <w:t>第三章  评标办法及评分标准</w:t>
          </w:r>
          <w:r>
            <w:rPr>
              <w:rFonts w:ascii="宋体" w:hAnsi="宋体" w:eastAsia="宋体"/>
              <w:color w:val="auto"/>
              <w:sz w:val="24"/>
              <w:szCs w:val="24"/>
              <w:highlight w:val="none"/>
            </w:rPr>
            <w:tab/>
          </w:r>
          <w:r>
            <w:rPr>
              <w:rFonts w:ascii="宋体" w:hAnsi="宋体" w:eastAsia="宋体"/>
              <w:color w:val="auto"/>
              <w:sz w:val="24"/>
              <w:szCs w:val="24"/>
              <w:highlight w:val="none"/>
            </w:rPr>
            <w:fldChar w:fldCharType="begin"/>
          </w:r>
          <w:r>
            <w:rPr>
              <w:rFonts w:ascii="宋体" w:hAnsi="宋体" w:eastAsia="宋体"/>
              <w:color w:val="auto"/>
              <w:sz w:val="24"/>
              <w:szCs w:val="24"/>
              <w:highlight w:val="none"/>
            </w:rPr>
            <w:instrText xml:space="preserve"> PAGEREF _Toc138771908 \h </w:instrText>
          </w:r>
          <w:r>
            <w:rPr>
              <w:rFonts w:ascii="宋体" w:hAnsi="宋体" w:eastAsia="宋体"/>
              <w:color w:val="auto"/>
              <w:sz w:val="24"/>
              <w:szCs w:val="24"/>
              <w:highlight w:val="none"/>
            </w:rPr>
            <w:fldChar w:fldCharType="separate"/>
          </w:r>
          <w:r>
            <w:rPr>
              <w:rFonts w:ascii="宋体" w:hAnsi="宋体" w:eastAsia="宋体"/>
              <w:color w:val="auto"/>
              <w:sz w:val="24"/>
              <w:szCs w:val="24"/>
              <w:highlight w:val="none"/>
            </w:rPr>
            <w:t>10</w:t>
          </w:r>
          <w:r>
            <w:rPr>
              <w:rFonts w:ascii="宋体" w:hAnsi="宋体" w:eastAsia="宋体"/>
              <w:color w:val="auto"/>
              <w:sz w:val="24"/>
              <w:szCs w:val="24"/>
              <w:highlight w:val="none"/>
            </w:rPr>
            <w:fldChar w:fldCharType="end"/>
          </w:r>
          <w:r>
            <w:rPr>
              <w:rFonts w:ascii="宋体" w:hAnsi="宋体" w:eastAsia="宋体"/>
              <w:color w:val="auto"/>
              <w:sz w:val="24"/>
              <w:szCs w:val="24"/>
              <w:highlight w:val="none"/>
            </w:rPr>
            <w:fldChar w:fldCharType="end"/>
          </w:r>
        </w:p>
        <w:p>
          <w:pPr>
            <w:pStyle w:val="19"/>
            <w:tabs>
              <w:tab w:val="right" w:leader="dot" w:pos="9174"/>
            </w:tabs>
            <w:spacing w:line="480" w:lineRule="auto"/>
            <w:rPr>
              <w:rFonts w:ascii="宋体" w:hAnsi="宋体" w:eastAsia="宋体" w:cstheme="minorBidi"/>
              <w:caps w:val="0"/>
              <w:color w:val="auto"/>
              <w:sz w:val="24"/>
              <w:szCs w:val="24"/>
              <w:highlight w:val="none"/>
              <w14:ligatures w14:val="standardContextual"/>
            </w:rPr>
          </w:pPr>
          <w:r>
            <w:rPr>
              <w:color w:val="auto"/>
              <w:sz w:val="24"/>
              <w:szCs w:val="24"/>
              <w:highlight w:val="none"/>
            </w:rPr>
            <w:fldChar w:fldCharType="begin"/>
          </w:r>
          <w:r>
            <w:rPr>
              <w:color w:val="auto"/>
              <w:sz w:val="24"/>
              <w:szCs w:val="24"/>
              <w:highlight w:val="none"/>
            </w:rPr>
            <w:instrText xml:space="preserve"> HYPERLINK \l "_Toc138771909" </w:instrText>
          </w:r>
          <w:r>
            <w:rPr>
              <w:color w:val="auto"/>
              <w:sz w:val="24"/>
              <w:szCs w:val="24"/>
              <w:highlight w:val="none"/>
            </w:rPr>
            <w:fldChar w:fldCharType="separate"/>
          </w:r>
          <w:r>
            <w:rPr>
              <w:rStyle w:val="31"/>
              <w:rFonts w:ascii="宋体" w:hAnsi="宋体" w:eastAsia="宋体"/>
              <w:color w:val="auto"/>
              <w:sz w:val="24"/>
              <w:szCs w:val="24"/>
              <w:highlight w:val="none"/>
            </w:rPr>
            <w:t>第四章  招标需求</w:t>
          </w:r>
          <w:r>
            <w:rPr>
              <w:rFonts w:ascii="宋体" w:hAnsi="宋体" w:eastAsia="宋体"/>
              <w:color w:val="auto"/>
              <w:sz w:val="24"/>
              <w:szCs w:val="24"/>
              <w:highlight w:val="none"/>
            </w:rPr>
            <w:tab/>
          </w:r>
          <w:r>
            <w:rPr>
              <w:rFonts w:ascii="宋体" w:hAnsi="宋体" w:eastAsia="宋体"/>
              <w:color w:val="auto"/>
              <w:sz w:val="24"/>
              <w:szCs w:val="24"/>
              <w:highlight w:val="none"/>
            </w:rPr>
            <w:fldChar w:fldCharType="begin"/>
          </w:r>
          <w:r>
            <w:rPr>
              <w:rFonts w:ascii="宋体" w:hAnsi="宋体" w:eastAsia="宋体"/>
              <w:color w:val="auto"/>
              <w:sz w:val="24"/>
              <w:szCs w:val="24"/>
              <w:highlight w:val="none"/>
            </w:rPr>
            <w:instrText xml:space="preserve"> PAGEREF _Toc138771909 \h </w:instrText>
          </w:r>
          <w:r>
            <w:rPr>
              <w:rFonts w:ascii="宋体" w:hAnsi="宋体" w:eastAsia="宋体"/>
              <w:color w:val="auto"/>
              <w:sz w:val="24"/>
              <w:szCs w:val="24"/>
              <w:highlight w:val="none"/>
            </w:rPr>
            <w:fldChar w:fldCharType="separate"/>
          </w:r>
          <w:r>
            <w:rPr>
              <w:rFonts w:ascii="宋体" w:hAnsi="宋体" w:eastAsia="宋体"/>
              <w:color w:val="auto"/>
              <w:sz w:val="24"/>
              <w:szCs w:val="24"/>
              <w:highlight w:val="none"/>
            </w:rPr>
            <w:t>13</w:t>
          </w:r>
          <w:r>
            <w:rPr>
              <w:rFonts w:ascii="宋体" w:hAnsi="宋体" w:eastAsia="宋体"/>
              <w:color w:val="auto"/>
              <w:sz w:val="24"/>
              <w:szCs w:val="24"/>
              <w:highlight w:val="none"/>
            </w:rPr>
            <w:fldChar w:fldCharType="end"/>
          </w:r>
          <w:r>
            <w:rPr>
              <w:rFonts w:ascii="宋体" w:hAnsi="宋体" w:eastAsia="宋体"/>
              <w:color w:val="auto"/>
              <w:sz w:val="24"/>
              <w:szCs w:val="24"/>
              <w:highlight w:val="none"/>
            </w:rPr>
            <w:fldChar w:fldCharType="end"/>
          </w:r>
        </w:p>
        <w:p>
          <w:pPr>
            <w:pStyle w:val="19"/>
            <w:tabs>
              <w:tab w:val="right" w:leader="dot" w:pos="9174"/>
            </w:tabs>
            <w:spacing w:line="480" w:lineRule="auto"/>
            <w:rPr>
              <w:rFonts w:ascii="宋体" w:hAnsi="宋体" w:eastAsia="宋体" w:cstheme="minorBidi"/>
              <w:caps w:val="0"/>
              <w:color w:val="auto"/>
              <w:sz w:val="24"/>
              <w:szCs w:val="24"/>
              <w:highlight w:val="none"/>
              <w14:ligatures w14:val="standardContextual"/>
            </w:rPr>
          </w:pPr>
          <w:r>
            <w:rPr>
              <w:color w:val="auto"/>
              <w:sz w:val="24"/>
              <w:szCs w:val="24"/>
              <w:highlight w:val="none"/>
            </w:rPr>
            <w:fldChar w:fldCharType="begin"/>
          </w:r>
          <w:r>
            <w:rPr>
              <w:color w:val="auto"/>
              <w:sz w:val="24"/>
              <w:szCs w:val="24"/>
              <w:highlight w:val="none"/>
            </w:rPr>
            <w:instrText xml:space="preserve"> HYPERLINK \l "_Toc138771910" </w:instrText>
          </w:r>
          <w:r>
            <w:rPr>
              <w:color w:val="auto"/>
              <w:sz w:val="24"/>
              <w:szCs w:val="24"/>
              <w:highlight w:val="none"/>
            </w:rPr>
            <w:fldChar w:fldCharType="separate"/>
          </w:r>
          <w:r>
            <w:rPr>
              <w:rStyle w:val="31"/>
              <w:rFonts w:ascii="宋体" w:hAnsi="宋体" w:eastAsia="宋体"/>
              <w:color w:val="auto"/>
              <w:sz w:val="24"/>
              <w:szCs w:val="24"/>
              <w:highlight w:val="none"/>
            </w:rPr>
            <w:t>第五章  合同文本</w:t>
          </w:r>
          <w:r>
            <w:rPr>
              <w:rFonts w:ascii="宋体" w:hAnsi="宋体" w:eastAsia="宋体"/>
              <w:color w:val="auto"/>
              <w:sz w:val="24"/>
              <w:szCs w:val="24"/>
              <w:highlight w:val="none"/>
            </w:rPr>
            <w:tab/>
          </w:r>
          <w:r>
            <w:rPr>
              <w:rFonts w:ascii="宋体" w:hAnsi="宋体" w:eastAsia="宋体"/>
              <w:color w:val="auto"/>
              <w:sz w:val="24"/>
              <w:szCs w:val="24"/>
              <w:highlight w:val="none"/>
            </w:rPr>
            <w:fldChar w:fldCharType="begin"/>
          </w:r>
          <w:r>
            <w:rPr>
              <w:rFonts w:ascii="宋体" w:hAnsi="宋体" w:eastAsia="宋体"/>
              <w:color w:val="auto"/>
              <w:sz w:val="24"/>
              <w:szCs w:val="24"/>
              <w:highlight w:val="none"/>
            </w:rPr>
            <w:instrText xml:space="preserve"> PAGEREF _Toc138771910 \h </w:instrText>
          </w:r>
          <w:r>
            <w:rPr>
              <w:rFonts w:ascii="宋体" w:hAnsi="宋体" w:eastAsia="宋体"/>
              <w:color w:val="auto"/>
              <w:sz w:val="24"/>
              <w:szCs w:val="24"/>
              <w:highlight w:val="none"/>
            </w:rPr>
            <w:fldChar w:fldCharType="separate"/>
          </w:r>
          <w:r>
            <w:rPr>
              <w:rFonts w:ascii="宋体" w:hAnsi="宋体" w:eastAsia="宋体"/>
              <w:color w:val="auto"/>
              <w:sz w:val="24"/>
              <w:szCs w:val="24"/>
              <w:highlight w:val="none"/>
            </w:rPr>
            <w:t>15</w:t>
          </w:r>
          <w:r>
            <w:rPr>
              <w:rFonts w:ascii="宋体" w:hAnsi="宋体" w:eastAsia="宋体"/>
              <w:color w:val="auto"/>
              <w:sz w:val="24"/>
              <w:szCs w:val="24"/>
              <w:highlight w:val="none"/>
            </w:rPr>
            <w:fldChar w:fldCharType="end"/>
          </w:r>
          <w:r>
            <w:rPr>
              <w:rFonts w:ascii="宋体" w:hAnsi="宋体" w:eastAsia="宋体"/>
              <w:color w:val="auto"/>
              <w:sz w:val="24"/>
              <w:szCs w:val="24"/>
              <w:highlight w:val="none"/>
            </w:rPr>
            <w:fldChar w:fldCharType="end"/>
          </w:r>
        </w:p>
        <w:p>
          <w:pPr>
            <w:pStyle w:val="19"/>
            <w:tabs>
              <w:tab w:val="right" w:leader="dot" w:pos="9174"/>
            </w:tabs>
            <w:spacing w:line="480" w:lineRule="auto"/>
            <w:rPr>
              <w:rFonts w:ascii="宋体" w:hAnsi="宋体" w:eastAsia="宋体" w:cstheme="minorBidi"/>
              <w:caps w:val="0"/>
              <w:color w:val="auto"/>
              <w:sz w:val="30"/>
              <w:szCs w:val="30"/>
              <w:highlight w:val="none"/>
              <w14:ligatures w14:val="standardContextual"/>
            </w:rPr>
          </w:pPr>
          <w:r>
            <w:rPr>
              <w:color w:val="auto"/>
              <w:sz w:val="24"/>
              <w:szCs w:val="24"/>
              <w:highlight w:val="none"/>
            </w:rPr>
            <w:fldChar w:fldCharType="begin"/>
          </w:r>
          <w:r>
            <w:rPr>
              <w:color w:val="auto"/>
              <w:sz w:val="24"/>
              <w:szCs w:val="24"/>
              <w:highlight w:val="none"/>
            </w:rPr>
            <w:instrText xml:space="preserve"> HYPERLINK \l "_Toc138771911" </w:instrText>
          </w:r>
          <w:r>
            <w:rPr>
              <w:color w:val="auto"/>
              <w:sz w:val="24"/>
              <w:szCs w:val="24"/>
              <w:highlight w:val="none"/>
            </w:rPr>
            <w:fldChar w:fldCharType="separate"/>
          </w:r>
          <w:r>
            <w:rPr>
              <w:rStyle w:val="31"/>
              <w:rFonts w:ascii="宋体" w:hAnsi="宋体" w:eastAsia="宋体"/>
              <w:color w:val="auto"/>
              <w:sz w:val="24"/>
              <w:szCs w:val="24"/>
              <w:highlight w:val="none"/>
            </w:rPr>
            <w:t>第六章  投标文件格式</w:t>
          </w:r>
          <w:r>
            <w:rPr>
              <w:rFonts w:ascii="宋体" w:hAnsi="宋体" w:eastAsia="宋体"/>
              <w:color w:val="auto"/>
              <w:sz w:val="24"/>
              <w:szCs w:val="24"/>
              <w:highlight w:val="none"/>
            </w:rPr>
            <w:tab/>
          </w:r>
          <w:r>
            <w:rPr>
              <w:rFonts w:ascii="宋体" w:hAnsi="宋体" w:eastAsia="宋体"/>
              <w:color w:val="auto"/>
              <w:sz w:val="24"/>
              <w:szCs w:val="24"/>
              <w:highlight w:val="none"/>
            </w:rPr>
            <w:fldChar w:fldCharType="begin"/>
          </w:r>
          <w:r>
            <w:rPr>
              <w:rFonts w:ascii="宋体" w:hAnsi="宋体" w:eastAsia="宋体"/>
              <w:color w:val="auto"/>
              <w:sz w:val="24"/>
              <w:szCs w:val="24"/>
              <w:highlight w:val="none"/>
            </w:rPr>
            <w:instrText xml:space="preserve"> PAGEREF _Toc138771911 \h </w:instrText>
          </w:r>
          <w:r>
            <w:rPr>
              <w:rFonts w:ascii="宋体" w:hAnsi="宋体" w:eastAsia="宋体"/>
              <w:color w:val="auto"/>
              <w:sz w:val="24"/>
              <w:szCs w:val="24"/>
              <w:highlight w:val="none"/>
            </w:rPr>
            <w:fldChar w:fldCharType="separate"/>
          </w:r>
          <w:r>
            <w:rPr>
              <w:rFonts w:ascii="宋体" w:hAnsi="宋体" w:eastAsia="宋体"/>
              <w:color w:val="auto"/>
              <w:sz w:val="24"/>
              <w:szCs w:val="24"/>
              <w:highlight w:val="none"/>
            </w:rPr>
            <w:t>15</w:t>
          </w:r>
          <w:r>
            <w:rPr>
              <w:rFonts w:ascii="宋体" w:hAnsi="宋体" w:eastAsia="宋体"/>
              <w:color w:val="auto"/>
              <w:sz w:val="24"/>
              <w:szCs w:val="24"/>
              <w:highlight w:val="none"/>
            </w:rPr>
            <w:fldChar w:fldCharType="end"/>
          </w:r>
          <w:r>
            <w:rPr>
              <w:rFonts w:ascii="宋体" w:hAnsi="宋体" w:eastAsia="宋体"/>
              <w:color w:val="auto"/>
              <w:sz w:val="24"/>
              <w:szCs w:val="24"/>
              <w:highlight w:val="none"/>
            </w:rPr>
            <w:fldChar w:fldCharType="end"/>
          </w:r>
        </w:p>
        <w:p>
          <w:pPr>
            <w:spacing w:line="480" w:lineRule="auto"/>
            <w:rPr>
              <w:rFonts w:ascii="宋体" w:hAnsi="宋体"/>
              <w:color w:val="auto"/>
              <w:sz w:val="36"/>
              <w:szCs w:val="44"/>
              <w:highlight w:val="none"/>
              <w:lang w:val="zh-CN"/>
            </w:rPr>
          </w:pPr>
          <w:r>
            <w:rPr>
              <w:rFonts w:hint="eastAsia" w:ascii="宋体" w:hAnsi="宋体" w:cs="宋体"/>
              <w:bCs/>
              <w:color w:val="auto"/>
              <w:szCs w:val="44"/>
              <w:highlight w:val="none"/>
              <w:lang w:val="zh-CN"/>
            </w:rPr>
            <w:fldChar w:fldCharType="end"/>
          </w:r>
        </w:p>
      </w:sdtContent>
    </w:sdt>
    <w:p>
      <w:pPr>
        <w:pStyle w:val="3"/>
        <w:spacing w:before="0" w:after="0" w:line="360" w:lineRule="auto"/>
        <w:jc w:val="center"/>
        <w:rPr>
          <w:rFonts w:ascii="宋体" w:hAnsi="宋体"/>
          <w:color w:val="auto"/>
          <w:sz w:val="28"/>
          <w:szCs w:val="32"/>
          <w:highlight w:val="none"/>
        </w:rPr>
        <w:sectPr>
          <w:footerReference r:id="rId3" w:type="default"/>
          <w:pgSz w:w="11906" w:h="16838"/>
          <w:pgMar w:top="1304" w:right="1361" w:bottom="1304" w:left="1361" w:header="851" w:footer="992" w:gutter="0"/>
          <w:pgNumType w:start="1"/>
          <w:cols w:space="720" w:num="1"/>
          <w:docGrid w:type="lines" w:linePitch="312" w:charSpace="0"/>
        </w:sectPr>
      </w:pPr>
    </w:p>
    <w:p>
      <w:pPr>
        <w:pStyle w:val="3"/>
        <w:spacing w:before="0" w:after="0" w:line="360" w:lineRule="auto"/>
        <w:jc w:val="center"/>
        <w:rPr>
          <w:rFonts w:ascii="宋体" w:hAnsi="宋体"/>
          <w:color w:val="auto"/>
          <w:sz w:val="28"/>
          <w:szCs w:val="32"/>
          <w:highlight w:val="none"/>
        </w:rPr>
      </w:pPr>
      <w:bookmarkStart w:id="25" w:name="_Toc138771884"/>
      <w:r>
        <w:rPr>
          <w:rFonts w:hint="eastAsia" w:ascii="宋体" w:hAnsi="宋体"/>
          <w:color w:val="auto"/>
          <w:sz w:val="28"/>
          <w:szCs w:val="32"/>
          <w:highlight w:val="none"/>
        </w:rPr>
        <w:t>第一章  招标公告</w:t>
      </w:r>
      <w:bookmarkEnd w:id="23"/>
      <w:bookmarkEnd w:id="24"/>
      <w:bookmarkEnd w:id="25"/>
    </w:p>
    <w:p>
      <w:pPr>
        <w:spacing w:line="360" w:lineRule="auto"/>
        <w:ind w:firstLine="420"/>
        <w:rPr>
          <w:rFonts w:ascii="宋体" w:hAnsi="宋体" w:cs="宋体"/>
          <w:color w:val="auto"/>
          <w:kern w:val="1"/>
          <w:sz w:val="21"/>
          <w:szCs w:val="21"/>
          <w:highlight w:val="none"/>
        </w:rPr>
      </w:pPr>
      <w:r>
        <w:rPr>
          <w:rFonts w:hint="eastAsia" w:ascii="宋体" w:hAnsi="宋体" w:cs="Arial"/>
          <w:color w:val="auto"/>
          <w:sz w:val="21"/>
          <w:szCs w:val="21"/>
          <w:highlight w:val="none"/>
          <w:u w:val="single"/>
          <w:lang w:val="en-US" w:eastAsia="zh-CN"/>
        </w:rPr>
        <w:t>宁波市盛达工程管理咨询有限公司</w:t>
      </w:r>
      <w:r>
        <w:rPr>
          <w:rFonts w:hint="eastAsia" w:ascii="宋体" w:hAnsi="宋体" w:cs="Arial"/>
          <w:color w:val="auto"/>
          <w:sz w:val="21"/>
          <w:szCs w:val="21"/>
          <w:highlight w:val="none"/>
        </w:rPr>
        <w:t>受</w:t>
      </w:r>
      <w:r>
        <w:rPr>
          <w:rFonts w:hint="eastAsia" w:ascii="宋体" w:hAnsi="宋体" w:cs="宋体"/>
          <w:color w:val="auto"/>
          <w:kern w:val="1"/>
          <w:sz w:val="21"/>
          <w:szCs w:val="21"/>
          <w:highlight w:val="none"/>
          <w:u w:val="single"/>
          <w:lang w:val="en-US" w:eastAsia="zh-CN"/>
        </w:rPr>
        <w:t>宁波市江北区总工会</w:t>
      </w:r>
      <w:r>
        <w:rPr>
          <w:rFonts w:hint="eastAsia" w:ascii="宋体" w:hAnsi="宋体" w:cs="宋体"/>
          <w:color w:val="auto"/>
          <w:kern w:val="1"/>
          <w:sz w:val="21"/>
          <w:szCs w:val="21"/>
          <w:highlight w:val="none"/>
        </w:rPr>
        <w:t>的</w:t>
      </w:r>
      <w:r>
        <w:rPr>
          <w:rFonts w:hint="eastAsia" w:ascii="宋体" w:hAnsi="宋体" w:cs="Arial"/>
          <w:color w:val="auto"/>
          <w:sz w:val="21"/>
          <w:szCs w:val="21"/>
          <w:highlight w:val="none"/>
        </w:rPr>
        <w:t>委托，</w:t>
      </w:r>
      <w:r>
        <w:rPr>
          <w:rFonts w:hint="eastAsia" w:ascii="宋体" w:hAnsi="宋体" w:cs="宋体"/>
          <w:color w:val="auto"/>
          <w:kern w:val="1"/>
          <w:sz w:val="21"/>
          <w:szCs w:val="21"/>
          <w:highlight w:val="none"/>
        </w:rPr>
        <w:t>对</w:t>
      </w:r>
      <w:r>
        <w:rPr>
          <w:rFonts w:hint="eastAsia" w:ascii="宋体" w:hAnsi="宋体" w:cs="宋体"/>
          <w:color w:val="auto"/>
          <w:kern w:val="1"/>
          <w:sz w:val="21"/>
          <w:szCs w:val="21"/>
          <w:highlight w:val="none"/>
          <w:u w:val="single"/>
          <w:lang w:eastAsia="zh-CN"/>
        </w:rPr>
        <w:t>江北区总工会账户开立及公款存放项目</w:t>
      </w:r>
      <w:r>
        <w:rPr>
          <w:rFonts w:hint="eastAsia" w:ascii="宋体" w:hAnsi="宋体" w:cs="宋体"/>
          <w:color w:val="auto"/>
          <w:kern w:val="1"/>
          <w:sz w:val="21"/>
          <w:szCs w:val="21"/>
          <w:highlight w:val="none"/>
        </w:rPr>
        <w:t>（</w:t>
      </w:r>
      <w:r>
        <w:rPr>
          <w:rFonts w:hint="eastAsia" w:ascii="宋体" w:hAnsi="宋体"/>
          <w:color w:val="auto"/>
          <w:sz w:val="21"/>
          <w:szCs w:val="21"/>
          <w:highlight w:val="none"/>
        </w:rPr>
        <w:t>项目编号：</w:t>
      </w:r>
      <w:r>
        <w:rPr>
          <w:rFonts w:hint="eastAsia" w:ascii="宋体" w:hAnsi="宋体"/>
          <w:color w:val="auto"/>
          <w:sz w:val="21"/>
          <w:szCs w:val="21"/>
          <w:highlight w:val="none"/>
          <w:u w:val="single"/>
        </w:rPr>
        <w:t>NBSD2023-077</w:t>
      </w:r>
      <w:r>
        <w:rPr>
          <w:rFonts w:hint="eastAsia" w:ascii="宋体" w:hAnsi="宋体" w:cs="宋体"/>
          <w:color w:val="auto"/>
          <w:kern w:val="1"/>
          <w:sz w:val="21"/>
          <w:szCs w:val="21"/>
          <w:highlight w:val="none"/>
        </w:rPr>
        <w:t>）</w:t>
      </w:r>
      <w:r>
        <w:rPr>
          <w:rFonts w:hint="eastAsia" w:ascii="宋体" w:hAnsi="宋体"/>
          <w:color w:val="auto"/>
          <w:sz w:val="21"/>
          <w:szCs w:val="21"/>
          <w:highlight w:val="none"/>
        </w:rPr>
        <w:t>采用</w:t>
      </w:r>
      <w:r>
        <w:rPr>
          <w:rFonts w:ascii="宋体" w:hAnsi="宋体"/>
          <w:color w:val="auto"/>
          <w:sz w:val="21"/>
          <w:szCs w:val="21"/>
          <w:highlight w:val="none"/>
        </w:rPr>
        <w:t>公开招标</w:t>
      </w:r>
      <w:r>
        <w:rPr>
          <w:rFonts w:hint="eastAsia" w:ascii="宋体" w:hAnsi="宋体"/>
          <w:color w:val="auto"/>
          <w:sz w:val="21"/>
          <w:szCs w:val="21"/>
          <w:highlight w:val="none"/>
        </w:rPr>
        <w:t>的方式进行</w:t>
      </w:r>
      <w:r>
        <w:rPr>
          <w:rFonts w:ascii="宋体" w:hAnsi="宋体"/>
          <w:color w:val="auto"/>
          <w:sz w:val="21"/>
          <w:szCs w:val="21"/>
          <w:highlight w:val="none"/>
        </w:rPr>
        <w:t>采购，</w:t>
      </w:r>
      <w:r>
        <w:rPr>
          <w:rFonts w:hint="eastAsia" w:ascii="宋体" w:hAnsi="宋体"/>
          <w:color w:val="auto"/>
          <w:sz w:val="21"/>
          <w:szCs w:val="21"/>
          <w:highlight w:val="none"/>
        </w:rPr>
        <w:t>欢迎供应商前来投标。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outlineLvl w:val="1"/>
        <w:rPr>
          <w:rFonts w:ascii="宋体" w:hAnsi="宋体" w:cs="Arial"/>
          <w:b/>
          <w:bCs/>
          <w:color w:val="auto"/>
          <w:sz w:val="21"/>
          <w:szCs w:val="21"/>
          <w:highlight w:val="none"/>
        </w:rPr>
      </w:pPr>
      <w:r>
        <w:rPr>
          <w:rFonts w:hint="eastAsia" w:ascii="宋体" w:hAnsi="宋体" w:cs="Arial"/>
          <w:b/>
          <w:bCs/>
          <w:color w:val="auto"/>
          <w:sz w:val="21"/>
          <w:szCs w:val="21"/>
          <w:highlight w:val="none"/>
        </w:rPr>
        <w:t>一、项目概况</w:t>
      </w:r>
    </w:p>
    <w:tbl>
      <w:tblPr>
        <w:tblStyle w:val="26"/>
        <w:tblW w:w="46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3311"/>
        <w:gridCol w:w="1546"/>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22" w:type="pc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1899" w:type="pc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项目内容</w:t>
            </w:r>
          </w:p>
        </w:tc>
        <w:tc>
          <w:tcPr>
            <w:tcW w:w="887" w:type="pc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中标单位数量</w:t>
            </w:r>
          </w:p>
        </w:tc>
        <w:tc>
          <w:tcPr>
            <w:tcW w:w="1790" w:type="pc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422" w:type="pct"/>
            <w:vAlign w:val="center"/>
          </w:tcPr>
          <w:p>
            <w:pPr>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899" w:type="pct"/>
            <w:vAlign w:val="center"/>
          </w:tcPr>
          <w:p>
            <w:pPr>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江北区总工会账户开立（基本账户、专用账户）及公款存放</w:t>
            </w:r>
          </w:p>
        </w:tc>
        <w:tc>
          <w:tcPr>
            <w:tcW w:w="887" w:type="pc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olor w:val="auto"/>
                <w:sz w:val="21"/>
                <w:szCs w:val="21"/>
                <w:highlight w:val="none"/>
              </w:rPr>
              <w:t>家</w:t>
            </w:r>
          </w:p>
        </w:tc>
        <w:tc>
          <w:tcPr>
            <w:tcW w:w="1790" w:type="pct"/>
            <w:vAlign w:val="center"/>
          </w:tcPr>
          <w:p>
            <w:pPr>
              <w:jc w:val="center"/>
              <w:rPr>
                <w:rFonts w:ascii="宋体" w:hAnsi="宋体" w:cs="宋体"/>
                <w:color w:val="auto"/>
                <w:sz w:val="21"/>
                <w:szCs w:val="21"/>
                <w:highlight w:val="none"/>
              </w:rPr>
            </w:pPr>
            <w:r>
              <w:rPr>
                <w:rFonts w:hint="eastAsia" w:ascii="宋体" w:hAnsi="宋体"/>
                <w:color w:val="auto"/>
                <w:kern w:val="1"/>
                <w:sz w:val="21"/>
                <w:szCs w:val="21"/>
                <w:highlight w:val="none"/>
              </w:rPr>
              <w:t>按照要求提供相关服务，具体要求详见《第四章招标需求》</w:t>
            </w: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outlineLvl w:val="1"/>
        <w:rPr>
          <w:rFonts w:ascii="宋体" w:hAnsi="宋体" w:cs="宋体"/>
          <w:color w:val="auto"/>
          <w:kern w:val="1"/>
          <w:sz w:val="21"/>
          <w:szCs w:val="21"/>
          <w:highlight w:val="none"/>
        </w:rPr>
      </w:pPr>
      <w:r>
        <w:rPr>
          <w:rFonts w:hint="eastAsia" w:ascii="宋体" w:hAnsi="宋体" w:cs="宋体"/>
          <w:b/>
          <w:bCs/>
          <w:color w:val="auto"/>
          <w:sz w:val="21"/>
          <w:szCs w:val="21"/>
          <w:highlight w:val="none"/>
        </w:rPr>
        <w:t>二、投标人的资格要求</w:t>
      </w:r>
    </w:p>
    <w:p>
      <w:pPr>
        <w:spacing w:line="360" w:lineRule="auto"/>
        <w:ind w:firstLine="420" w:firstLineChars="200"/>
        <w:jc w:val="left"/>
        <w:rPr>
          <w:rFonts w:hint="eastAsia" w:ascii="宋体" w:hAnsi="宋体" w:eastAsia="宋体" w:cs="宋体"/>
          <w:bCs/>
          <w:color w:val="auto"/>
          <w:kern w:val="1"/>
          <w:sz w:val="21"/>
          <w:szCs w:val="21"/>
          <w:highlight w:val="none"/>
        </w:rPr>
      </w:pPr>
      <w:r>
        <w:rPr>
          <w:rFonts w:hint="eastAsia" w:ascii="宋体" w:hAnsi="宋体" w:cs="宋体"/>
          <w:bCs/>
          <w:color w:val="auto"/>
          <w:kern w:val="1"/>
          <w:sz w:val="21"/>
          <w:szCs w:val="21"/>
          <w:highlight w:val="none"/>
        </w:rPr>
        <w:t>1）投标人必须为在中华人民共和国境内依法设立且在宁波市江北区设有分支机构的国有商业银行、股份制商业银行、邮政储蓄银行、城市商业银行、农村信用合作联社、农村商业银行、农村合作银行及政策性银行等银行机构的总行（总机构在甬）、宁波市市级分行（总机构不在甬）或其在江北区设置的一级支行。如属于同一家总行的分支机构有2家及以上参加投标的，投标文件中需提供总行（总机构在甬）或宁</w:t>
      </w:r>
      <w:r>
        <w:rPr>
          <w:rFonts w:hint="eastAsia" w:ascii="宋体" w:hAnsi="宋体" w:eastAsia="宋体" w:cs="宋体"/>
          <w:bCs/>
          <w:color w:val="auto"/>
          <w:kern w:val="1"/>
          <w:sz w:val="21"/>
          <w:szCs w:val="21"/>
          <w:highlight w:val="none"/>
        </w:rPr>
        <w:t>波市市级分行（总机构不在甬）针对本项目的唯一授权书（格式自拟），否则作无效标处理。</w:t>
      </w:r>
    </w:p>
    <w:p>
      <w:pPr>
        <w:spacing w:line="360" w:lineRule="auto"/>
        <w:ind w:firstLine="420" w:firstLineChars="200"/>
        <w:jc w:val="left"/>
        <w:rPr>
          <w:rFonts w:hint="eastAsia" w:ascii="宋体" w:hAnsi="宋体" w:eastAsia="宋体" w:cs="宋体"/>
          <w:bCs/>
          <w:color w:val="auto"/>
          <w:kern w:val="1"/>
          <w:sz w:val="21"/>
          <w:szCs w:val="21"/>
          <w:highlight w:val="none"/>
        </w:rPr>
      </w:pPr>
      <w:r>
        <w:rPr>
          <w:rFonts w:hint="eastAsia" w:ascii="宋体" w:hAnsi="宋体" w:eastAsia="宋体" w:cs="宋体"/>
          <w:bCs/>
          <w:color w:val="auto"/>
          <w:kern w:val="1"/>
          <w:sz w:val="21"/>
          <w:szCs w:val="21"/>
          <w:highlight w:val="none"/>
        </w:rPr>
        <w:t>2）依法开展经营活动，近三年内在经营活动中无重大违法违规记录及重大违约事件。</w:t>
      </w:r>
    </w:p>
    <w:p>
      <w:pPr>
        <w:spacing w:line="360" w:lineRule="auto"/>
        <w:ind w:firstLine="420" w:firstLineChars="200"/>
        <w:jc w:val="left"/>
        <w:rPr>
          <w:rFonts w:hint="eastAsia" w:ascii="宋体" w:hAnsi="宋体" w:eastAsia="宋体" w:cs="宋体"/>
          <w:bCs/>
          <w:color w:val="auto"/>
          <w:kern w:val="1"/>
          <w:sz w:val="21"/>
          <w:szCs w:val="21"/>
          <w:highlight w:val="none"/>
        </w:rPr>
      </w:pPr>
      <w:r>
        <w:rPr>
          <w:rFonts w:hint="eastAsia" w:ascii="宋体" w:hAnsi="宋体" w:eastAsia="宋体" w:cs="宋体"/>
          <w:bCs/>
          <w:color w:val="auto"/>
          <w:kern w:val="1"/>
          <w:sz w:val="21"/>
          <w:szCs w:val="21"/>
          <w:highlight w:val="none"/>
        </w:rPr>
        <w:t>3）未被信用中国网站（www.creditchina.gov.cn）列入失信被执行人、重大税收违法失信主体（以采购代理机构于投标截止日当天在信用中国网站查询结果为准，如相关失信记录已失效，投标人需提供相关证明资料；投标人如被发现列入“记录失信被执行人或重大税收违法案件当事人名单”的，则将取消其中标资格）。</w:t>
      </w:r>
    </w:p>
    <w:p>
      <w:pPr>
        <w:spacing w:line="360" w:lineRule="auto"/>
        <w:ind w:firstLine="420" w:firstLineChars="200"/>
        <w:jc w:val="left"/>
        <w:rPr>
          <w:rFonts w:hint="eastAsia" w:ascii="宋体" w:hAnsi="宋体" w:eastAsia="宋体" w:cs="宋体"/>
          <w:bCs/>
          <w:color w:val="auto"/>
          <w:kern w:val="1"/>
          <w:sz w:val="21"/>
          <w:szCs w:val="21"/>
          <w:highlight w:val="none"/>
        </w:rPr>
      </w:pPr>
      <w:r>
        <w:rPr>
          <w:rFonts w:hint="eastAsia" w:ascii="宋体" w:hAnsi="宋体" w:eastAsia="宋体" w:cs="宋体"/>
          <w:color w:val="auto"/>
          <w:sz w:val="21"/>
          <w:szCs w:val="21"/>
          <w:highlight w:val="none"/>
        </w:rPr>
        <w:t>4）纳入监管评级的银行，人民银行2022年度综合评价应达到B级及以上，不纳入人民银行评级范围的银行不受此限制（投标人须提供证明材料）。</w:t>
      </w:r>
    </w:p>
    <w:p>
      <w:pPr>
        <w:spacing w:line="360" w:lineRule="auto"/>
        <w:ind w:firstLine="420" w:firstLineChars="200"/>
        <w:jc w:val="left"/>
        <w:rPr>
          <w:rFonts w:hint="eastAsia" w:ascii="宋体" w:hAnsi="宋体" w:eastAsia="宋体" w:cs="宋体"/>
          <w:bCs/>
          <w:color w:val="auto"/>
          <w:kern w:val="1"/>
          <w:sz w:val="21"/>
          <w:szCs w:val="21"/>
          <w:highlight w:val="none"/>
        </w:rPr>
      </w:pPr>
      <w:r>
        <w:rPr>
          <w:rFonts w:hint="eastAsia" w:ascii="宋体" w:hAnsi="宋体" w:eastAsia="宋体" w:cs="宋体"/>
          <w:bCs/>
          <w:color w:val="auto"/>
          <w:kern w:val="1"/>
          <w:sz w:val="21"/>
          <w:szCs w:val="21"/>
          <w:highlight w:val="none"/>
        </w:rPr>
        <w:t>5）本项目</w:t>
      </w:r>
      <w:r>
        <w:rPr>
          <w:rFonts w:hint="eastAsia" w:ascii="宋体" w:hAnsi="宋体" w:eastAsia="宋体" w:cs="宋体"/>
          <w:bCs/>
          <w:color w:val="auto"/>
          <w:kern w:val="1"/>
          <w:sz w:val="21"/>
          <w:szCs w:val="21"/>
          <w:highlight w:val="none"/>
          <w:u w:val="single"/>
        </w:rPr>
        <w:t>不接受</w:t>
      </w:r>
      <w:r>
        <w:rPr>
          <w:rFonts w:hint="eastAsia" w:ascii="宋体" w:hAnsi="宋体" w:eastAsia="宋体" w:cs="宋体"/>
          <w:bCs/>
          <w:color w:val="auto"/>
          <w:kern w:val="1"/>
          <w:sz w:val="21"/>
          <w:szCs w:val="21"/>
          <w:highlight w:val="none"/>
        </w:rPr>
        <w:t>联合体投标。</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outlineLvl w:val="1"/>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三、资格审查方式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1"/>
        <w:rPr>
          <w:rFonts w:ascii="宋体" w:hAnsi="宋体" w:cs="宋体"/>
          <w:color w:val="auto"/>
          <w:sz w:val="21"/>
          <w:szCs w:val="21"/>
          <w:highlight w:val="none"/>
        </w:rPr>
      </w:pPr>
      <w:r>
        <w:rPr>
          <w:rFonts w:hint="eastAsia" w:ascii="宋体" w:hAnsi="宋体" w:cs="宋体"/>
          <w:bCs/>
          <w:color w:val="auto"/>
          <w:sz w:val="21"/>
          <w:szCs w:val="21"/>
          <w:highlight w:val="none"/>
        </w:rPr>
        <w:t>采用资格后审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outlineLvl w:val="1"/>
        <w:rPr>
          <w:rFonts w:ascii="宋体" w:hAnsi="宋体" w:cs="宋体"/>
          <w:b/>
          <w:color w:val="auto"/>
          <w:sz w:val="21"/>
          <w:szCs w:val="21"/>
          <w:highlight w:val="none"/>
        </w:rPr>
      </w:pPr>
      <w:r>
        <w:rPr>
          <w:rFonts w:hint="eastAsia" w:ascii="宋体" w:hAnsi="宋体" w:cs="宋体"/>
          <w:b/>
          <w:bCs/>
          <w:color w:val="auto"/>
          <w:sz w:val="21"/>
          <w:szCs w:val="21"/>
          <w:highlight w:val="none"/>
        </w:rPr>
        <w:t>四、获取招标文件的时间期限、地点、方式</w:t>
      </w:r>
    </w:p>
    <w:p>
      <w:pPr>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bCs/>
          <w:color w:val="auto"/>
          <w:sz w:val="21"/>
          <w:szCs w:val="21"/>
          <w:highlight w:val="none"/>
        </w:rPr>
        <w:t>获取招标文件的</w:t>
      </w:r>
      <w:r>
        <w:rPr>
          <w:rFonts w:hint="eastAsia" w:ascii="宋体" w:hAnsi="宋体" w:cs="宋体"/>
          <w:color w:val="auto"/>
          <w:sz w:val="21"/>
          <w:szCs w:val="21"/>
          <w:highlight w:val="none"/>
        </w:rPr>
        <w:t>时间期限：自招标公告发出之日起至</w:t>
      </w:r>
      <w:r>
        <w:rPr>
          <w:rFonts w:hint="eastAsia" w:ascii="宋体" w:hAnsi="宋体" w:eastAsia="宋体" w:cs="宋体"/>
          <w:color w:val="auto"/>
          <w:kern w:val="0"/>
          <w:sz w:val="21"/>
          <w:szCs w:val="21"/>
          <w:highlight w:val="none"/>
          <w:u w:val="single"/>
        </w:rPr>
        <w:t>202</w:t>
      </w:r>
      <w:r>
        <w:rPr>
          <w:rFonts w:hint="eastAsia" w:ascii="宋体" w:hAnsi="宋体" w:eastAsia="宋体" w:cs="宋体"/>
          <w:color w:val="auto"/>
          <w:kern w:val="0"/>
          <w:sz w:val="21"/>
          <w:szCs w:val="21"/>
          <w:highlight w:val="none"/>
          <w:u w:val="single"/>
          <w:lang w:val="en-US" w:eastAsia="zh-CN"/>
        </w:rPr>
        <w:t>3</w:t>
      </w:r>
      <w:r>
        <w:rPr>
          <w:rFonts w:hint="eastAsia" w:ascii="宋体" w:hAnsi="宋体" w:eastAsia="宋体" w:cs="宋体"/>
          <w:color w:val="auto"/>
          <w:kern w:val="0"/>
          <w:sz w:val="21"/>
          <w:szCs w:val="21"/>
          <w:highlight w:val="none"/>
        </w:rPr>
        <w:t>年</w:t>
      </w:r>
      <w:r>
        <w:rPr>
          <w:rFonts w:hint="eastAsia" w:ascii="宋体" w:hAnsi="宋体" w:cs="宋体"/>
          <w:color w:val="auto"/>
          <w:kern w:val="0"/>
          <w:sz w:val="21"/>
          <w:szCs w:val="21"/>
          <w:highlight w:val="none"/>
          <w:u w:val="single"/>
          <w:lang w:val="en-US" w:eastAsia="zh-CN"/>
        </w:rPr>
        <w:t xml:space="preserve"> 11 </w:t>
      </w:r>
      <w:r>
        <w:rPr>
          <w:rFonts w:hint="eastAsia" w:ascii="宋体" w:hAnsi="宋体" w:eastAsia="宋体" w:cs="宋体"/>
          <w:color w:val="auto"/>
          <w:kern w:val="0"/>
          <w:sz w:val="21"/>
          <w:szCs w:val="21"/>
          <w:highlight w:val="none"/>
        </w:rPr>
        <w:t>月</w:t>
      </w:r>
      <w:r>
        <w:rPr>
          <w:rFonts w:hint="eastAsia" w:ascii="宋体" w:hAnsi="宋体" w:cs="宋体"/>
          <w:color w:val="auto"/>
          <w:kern w:val="0"/>
          <w:sz w:val="21"/>
          <w:szCs w:val="21"/>
          <w:highlight w:val="none"/>
          <w:u w:val="single"/>
          <w:lang w:val="en-US" w:eastAsia="zh-CN"/>
        </w:rPr>
        <w:t xml:space="preserve"> 16 </w:t>
      </w:r>
      <w:r>
        <w:rPr>
          <w:rFonts w:hint="eastAsia" w:ascii="宋体" w:hAnsi="宋体" w:eastAsia="宋体" w:cs="宋体"/>
          <w:color w:val="auto"/>
          <w:kern w:val="0"/>
          <w:sz w:val="21"/>
          <w:szCs w:val="21"/>
          <w:highlight w:val="none"/>
        </w:rPr>
        <w:t>日</w:t>
      </w:r>
      <w:r>
        <w:rPr>
          <w:rFonts w:hint="eastAsia" w:ascii="宋体" w:hAnsi="宋体" w:cs="宋体"/>
          <w:color w:val="auto"/>
          <w:sz w:val="21"/>
          <w:szCs w:val="21"/>
          <w:highlight w:val="none"/>
        </w:rPr>
        <w:t>止（节假日及法定假日除外），每天上午00:00至12:00，下午12:00至23:59（北京时间）。</w:t>
      </w:r>
    </w:p>
    <w:p>
      <w:pPr>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2.获取招标文件的地点：</w:t>
      </w:r>
      <w:r>
        <w:rPr>
          <w:rFonts w:hint="eastAsia" w:ascii="宋体" w:hAnsi="宋体" w:cs="宋体"/>
          <w:bCs/>
          <w:color w:val="auto"/>
          <w:kern w:val="0"/>
          <w:sz w:val="21"/>
          <w:szCs w:val="21"/>
          <w:highlight w:val="none"/>
        </w:rPr>
        <w:t>（网址）https://www.zcygov.cn</w:t>
      </w:r>
      <w:r>
        <w:rPr>
          <w:rFonts w:hint="eastAsia" w:ascii="宋体" w:hAnsi="宋体" w:cs="宋体"/>
          <w:color w:val="auto"/>
          <w:sz w:val="21"/>
          <w:szCs w:val="21"/>
          <w:highlight w:val="none"/>
        </w:rPr>
        <w:t>。</w:t>
      </w:r>
    </w:p>
    <w:p>
      <w:pPr>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报名方式：本项目实行网上报名，不接受现场报名。投标银行登录政采云平台（https://www.zcygov.cn）,进入公款竞争性存放招标系统（以下简称“招标系统”），在竞标项目内按规定进行报名。第一步：选择本期招标项目，第二步：填写报名信息。报名成功后联系人会收到短信通知，逾期报名视为未报名。</w:t>
      </w:r>
    </w:p>
    <w:p>
      <w:pPr>
        <w:spacing w:line="360" w:lineRule="auto"/>
        <w:ind w:firstLine="472" w:firstLineChars="225"/>
        <w:rPr>
          <w:rFonts w:ascii="宋体" w:hAnsi="宋体" w:cs="宋体"/>
          <w:bCs/>
          <w:color w:val="auto"/>
          <w:sz w:val="21"/>
          <w:szCs w:val="21"/>
          <w:highlight w:val="none"/>
        </w:rPr>
      </w:pPr>
      <w:r>
        <w:rPr>
          <w:rFonts w:hint="eastAsia" w:ascii="宋体" w:hAnsi="宋体" w:cs="宋体"/>
          <w:bCs/>
          <w:color w:val="auto"/>
          <w:sz w:val="21"/>
          <w:szCs w:val="21"/>
          <w:highlight w:val="none"/>
        </w:rPr>
        <w:t>4.投标人只有在政府采购云平台完成获取招标文件申请并下载了招标文件后才视作依法获取招标文件（法律法规所指的投标人获取招标文件时间以投标人完成获取招标文件申请后下载招标文件的时间为准）。</w:t>
      </w:r>
    </w:p>
    <w:p>
      <w:pPr>
        <w:spacing w:line="360" w:lineRule="auto"/>
        <w:ind w:firstLine="472" w:firstLineChars="225"/>
        <w:rPr>
          <w:rFonts w:ascii="宋体" w:hAnsi="宋体" w:cs="宋体"/>
          <w:bCs/>
          <w:color w:val="auto"/>
          <w:sz w:val="21"/>
          <w:szCs w:val="21"/>
          <w:highlight w:val="none"/>
        </w:rPr>
      </w:pPr>
      <w:r>
        <w:rPr>
          <w:rFonts w:hint="eastAsia" w:ascii="宋体" w:hAnsi="宋体" w:cs="宋体"/>
          <w:bCs/>
          <w:color w:val="auto"/>
          <w:sz w:val="21"/>
          <w:szCs w:val="21"/>
          <w:highlight w:val="none"/>
        </w:rPr>
        <w:t>注意事项：还未在政府采购云平台完成帐号注册的投标人，请参照《银行入驻手册--公款竞争性存放平台》完成入驻。入驻审核通过后方能参与线上报名、投标等操作。</w:t>
      </w:r>
    </w:p>
    <w:p>
      <w:pPr>
        <w:keepNext w:val="0"/>
        <w:keepLines w:val="0"/>
        <w:pageBreakBefore w:val="0"/>
        <w:widowControl w:val="0"/>
        <w:kinsoku/>
        <w:wordWrap/>
        <w:overflowPunct/>
        <w:topLinePunct w:val="0"/>
        <w:autoSpaceDE/>
        <w:autoSpaceDN/>
        <w:bidi w:val="0"/>
        <w:adjustRightInd/>
        <w:snapToGrid/>
        <w:spacing w:line="360" w:lineRule="auto"/>
        <w:ind w:firstLine="474" w:firstLineChars="225"/>
        <w:jc w:val="both"/>
        <w:textAlignment w:val="auto"/>
        <w:outlineLvl w:val="1"/>
        <w:rPr>
          <w:rFonts w:ascii="宋体" w:hAnsi="宋体" w:cs="宋体"/>
          <w:color w:val="auto"/>
          <w:sz w:val="21"/>
          <w:szCs w:val="21"/>
          <w:highlight w:val="none"/>
        </w:rPr>
      </w:pPr>
      <w:r>
        <w:rPr>
          <w:rFonts w:hint="eastAsia" w:ascii="宋体" w:hAnsi="宋体" w:cs="宋体"/>
          <w:b/>
          <w:bCs/>
          <w:color w:val="auto"/>
          <w:sz w:val="21"/>
          <w:szCs w:val="21"/>
          <w:highlight w:val="none"/>
        </w:rPr>
        <w:t>五、投标截止时间、开标时间和地点</w:t>
      </w:r>
    </w:p>
    <w:p>
      <w:pPr>
        <w:tabs>
          <w:tab w:val="left" w:pos="315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提交投标文件截止时间：</w:t>
      </w:r>
      <w:r>
        <w:rPr>
          <w:rFonts w:hint="eastAsia" w:ascii="宋体" w:hAnsi="宋体" w:eastAsia="宋体" w:cs="宋体"/>
          <w:color w:val="auto"/>
          <w:kern w:val="0"/>
          <w:sz w:val="21"/>
          <w:szCs w:val="21"/>
          <w:highlight w:val="none"/>
          <w:u w:val="single"/>
        </w:rPr>
        <w:t>202</w:t>
      </w:r>
      <w:r>
        <w:rPr>
          <w:rFonts w:hint="eastAsia" w:ascii="宋体" w:hAnsi="宋体" w:eastAsia="宋体" w:cs="宋体"/>
          <w:color w:val="auto"/>
          <w:kern w:val="0"/>
          <w:sz w:val="21"/>
          <w:szCs w:val="21"/>
          <w:highlight w:val="none"/>
          <w:u w:val="single"/>
          <w:lang w:val="en-US" w:eastAsia="zh-CN"/>
        </w:rPr>
        <w:t>3</w:t>
      </w:r>
      <w:r>
        <w:rPr>
          <w:rFonts w:hint="eastAsia" w:ascii="宋体" w:hAnsi="宋体" w:eastAsia="宋体" w:cs="宋体"/>
          <w:color w:val="auto"/>
          <w:kern w:val="0"/>
          <w:sz w:val="21"/>
          <w:szCs w:val="21"/>
          <w:highlight w:val="none"/>
        </w:rPr>
        <w:t>年</w:t>
      </w:r>
      <w:r>
        <w:rPr>
          <w:rFonts w:hint="eastAsia" w:ascii="宋体" w:hAnsi="宋体" w:cs="宋体"/>
          <w:color w:val="auto"/>
          <w:kern w:val="0"/>
          <w:sz w:val="21"/>
          <w:szCs w:val="21"/>
          <w:highlight w:val="none"/>
          <w:u w:val="single"/>
          <w:lang w:val="en-US" w:eastAsia="zh-CN"/>
        </w:rPr>
        <w:t xml:space="preserve"> 11 </w:t>
      </w:r>
      <w:r>
        <w:rPr>
          <w:rFonts w:hint="eastAsia" w:ascii="宋体" w:hAnsi="宋体" w:eastAsia="宋体" w:cs="宋体"/>
          <w:color w:val="auto"/>
          <w:kern w:val="0"/>
          <w:sz w:val="21"/>
          <w:szCs w:val="21"/>
          <w:highlight w:val="none"/>
        </w:rPr>
        <w:t>月</w:t>
      </w:r>
      <w:r>
        <w:rPr>
          <w:rFonts w:hint="eastAsia" w:ascii="宋体" w:hAnsi="宋体" w:cs="宋体"/>
          <w:color w:val="auto"/>
          <w:kern w:val="0"/>
          <w:sz w:val="21"/>
          <w:szCs w:val="21"/>
          <w:highlight w:val="none"/>
          <w:u w:val="single"/>
          <w:lang w:val="en-US" w:eastAsia="zh-CN"/>
        </w:rPr>
        <w:t xml:space="preserve"> 30 </w:t>
      </w:r>
      <w:r>
        <w:rPr>
          <w:rFonts w:hint="eastAsia" w:ascii="宋体" w:hAnsi="宋体" w:eastAsia="宋体" w:cs="宋体"/>
          <w:color w:val="auto"/>
          <w:kern w:val="0"/>
          <w:sz w:val="21"/>
          <w:szCs w:val="21"/>
          <w:highlight w:val="none"/>
        </w:rPr>
        <w:t>日</w:t>
      </w:r>
      <w:r>
        <w:rPr>
          <w:rFonts w:hint="eastAsia" w:ascii="宋体" w:hAnsi="宋体" w:cs="宋体"/>
          <w:color w:val="auto"/>
          <w:kern w:val="0"/>
          <w:sz w:val="21"/>
          <w:szCs w:val="21"/>
          <w:highlight w:val="none"/>
          <w:u w:val="single"/>
          <w:lang w:val="en-US" w:eastAsia="zh-CN"/>
        </w:rPr>
        <w:t xml:space="preserve"> 9:00 </w:t>
      </w:r>
      <w:r>
        <w:rPr>
          <w:rFonts w:hint="eastAsia" w:ascii="宋体" w:hAnsi="宋体" w:eastAsia="宋体" w:cs="宋体"/>
          <w:color w:val="auto"/>
          <w:kern w:val="0"/>
          <w:sz w:val="21"/>
          <w:szCs w:val="21"/>
          <w:highlight w:val="none"/>
          <w:u w:val="none"/>
          <w:lang w:val="en-US" w:eastAsia="zh-CN"/>
        </w:rPr>
        <w:t>时</w:t>
      </w:r>
      <w:r>
        <w:rPr>
          <w:rFonts w:hint="eastAsia" w:ascii="宋体" w:hAnsi="宋体" w:eastAsia="宋体" w:cs="宋体"/>
          <w:color w:val="auto"/>
          <w:sz w:val="21"/>
          <w:szCs w:val="21"/>
          <w:highlight w:val="none"/>
        </w:rPr>
        <w:t>（北京时间）</w:t>
      </w:r>
    </w:p>
    <w:p>
      <w:pPr>
        <w:tabs>
          <w:tab w:val="left" w:pos="315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地点（网址）：宁波市江北区公共资源交易中心开标室（江北区育才路138号北投大厦南楼7楼）。供应商应于上述时间前将电子投标文件上传到政府采购云平台www.zcygov.cn，未上传电子投标文件，视为供应商放弃投标。</w:t>
      </w:r>
    </w:p>
    <w:p>
      <w:pPr>
        <w:tabs>
          <w:tab w:val="left" w:pos="315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开标时间：</w:t>
      </w:r>
      <w:r>
        <w:rPr>
          <w:rFonts w:hint="eastAsia" w:ascii="宋体" w:hAnsi="宋体" w:eastAsia="宋体" w:cs="宋体"/>
          <w:color w:val="auto"/>
          <w:kern w:val="0"/>
          <w:sz w:val="21"/>
          <w:szCs w:val="21"/>
          <w:highlight w:val="none"/>
          <w:u w:val="single"/>
        </w:rPr>
        <w:t>202</w:t>
      </w:r>
      <w:r>
        <w:rPr>
          <w:rFonts w:hint="eastAsia" w:ascii="宋体" w:hAnsi="宋体" w:eastAsia="宋体" w:cs="宋体"/>
          <w:color w:val="auto"/>
          <w:kern w:val="0"/>
          <w:sz w:val="21"/>
          <w:szCs w:val="21"/>
          <w:highlight w:val="none"/>
          <w:u w:val="single"/>
          <w:lang w:val="en-US" w:eastAsia="zh-CN"/>
        </w:rPr>
        <w:t>3</w:t>
      </w:r>
      <w:r>
        <w:rPr>
          <w:rFonts w:hint="eastAsia" w:ascii="宋体" w:hAnsi="宋体" w:eastAsia="宋体" w:cs="宋体"/>
          <w:color w:val="auto"/>
          <w:kern w:val="0"/>
          <w:sz w:val="21"/>
          <w:szCs w:val="21"/>
          <w:highlight w:val="none"/>
        </w:rPr>
        <w:t>年</w:t>
      </w:r>
      <w:r>
        <w:rPr>
          <w:rFonts w:hint="eastAsia" w:ascii="宋体" w:hAnsi="宋体" w:cs="宋体"/>
          <w:color w:val="auto"/>
          <w:kern w:val="0"/>
          <w:sz w:val="21"/>
          <w:szCs w:val="21"/>
          <w:highlight w:val="none"/>
          <w:u w:val="single"/>
          <w:lang w:val="en-US" w:eastAsia="zh-CN"/>
        </w:rPr>
        <w:t xml:space="preserve"> 11 </w:t>
      </w:r>
      <w:r>
        <w:rPr>
          <w:rFonts w:hint="eastAsia" w:ascii="宋体" w:hAnsi="宋体" w:eastAsia="宋体" w:cs="宋体"/>
          <w:color w:val="auto"/>
          <w:kern w:val="0"/>
          <w:sz w:val="21"/>
          <w:szCs w:val="21"/>
          <w:highlight w:val="none"/>
        </w:rPr>
        <w:t>月</w:t>
      </w:r>
      <w:r>
        <w:rPr>
          <w:rFonts w:hint="eastAsia" w:ascii="宋体" w:hAnsi="宋体" w:cs="宋体"/>
          <w:color w:val="auto"/>
          <w:kern w:val="0"/>
          <w:sz w:val="21"/>
          <w:szCs w:val="21"/>
          <w:highlight w:val="none"/>
          <w:u w:val="single"/>
          <w:lang w:val="en-US" w:eastAsia="zh-CN"/>
        </w:rPr>
        <w:t xml:space="preserve"> 30 </w:t>
      </w:r>
      <w:r>
        <w:rPr>
          <w:rFonts w:hint="eastAsia" w:ascii="宋体" w:hAnsi="宋体" w:eastAsia="宋体" w:cs="宋体"/>
          <w:color w:val="auto"/>
          <w:kern w:val="0"/>
          <w:sz w:val="21"/>
          <w:szCs w:val="21"/>
          <w:highlight w:val="none"/>
        </w:rPr>
        <w:t>日</w:t>
      </w:r>
      <w:r>
        <w:rPr>
          <w:rFonts w:hint="eastAsia" w:ascii="宋体" w:hAnsi="宋体" w:cs="宋体"/>
          <w:color w:val="auto"/>
          <w:kern w:val="0"/>
          <w:sz w:val="21"/>
          <w:szCs w:val="21"/>
          <w:highlight w:val="none"/>
          <w:u w:val="single"/>
          <w:lang w:val="en-US" w:eastAsia="zh-CN"/>
        </w:rPr>
        <w:t xml:space="preserve"> 9:00 </w:t>
      </w:r>
      <w:r>
        <w:rPr>
          <w:rFonts w:hint="eastAsia" w:ascii="宋体" w:hAnsi="宋体" w:eastAsia="宋体" w:cs="宋体"/>
          <w:color w:val="auto"/>
          <w:kern w:val="0"/>
          <w:sz w:val="21"/>
          <w:szCs w:val="21"/>
          <w:highlight w:val="none"/>
          <w:u w:val="none"/>
          <w:lang w:val="en-US" w:eastAsia="zh-CN"/>
        </w:rPr>
        <w:t>时</w:t>
      </w:r>
      <w:r>
        <w:rPr>
          <w:rFonts w:hint="eastAsia" w:ascii="宋体" w:hAnsi="宋体" w:eastAsia="宋体" w:cs="宋体"/>
          <w:color w:val="auto"/>
          <w:sz w:val="21"/>
          <w:szCs w:val="21"/>
          <w:highlight w:val="none"/>
        </w:rPr>
        <w:t>（北京时间）</w:t>
      </w:r>
    </w:p>
    <w:p>
      <w:pPr>
        <w:tabs>
          <w:tab w:val="left" w:pos="315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开标地点（网址）：宁波市江北区公共资源交易中心开标室（江北区育才路138号北投大厦南楼7楼）。</w:t>
      </w:r>
    </w:p>
    <w:p>
      <w:pPr>
        <w:keepNext w:val="0"/>
        <w:keepLines w:val="0"/>
        <w:pageBreakBefore w:val="0"/>
        <w:widowControl w:val="0"/>
        <w:tabs>
          <w:tab w:val="left" w:pos="3150"/>
        </w:tabs>
        <w:kinsoku/>
        <w:wordWrap/>
        <w:overflowPunct/>
        <w:topLinePunct w:val="0"/>
        <w:autoSpaceDE/>
        <w:autoSpaceDN/>
        <w:bidi w:val="0"/>
        <w:adjustRightInd/>
        <w:snapToGrid/>
        <w:spacing w:line="360" w:lineRule="auto"/>
        <w:ind w:firstLine="422" w:firstLineChars="200"/>
        <w:jc w:val="both"/>
        <w:textAlignment w:val="auto"/>
        <w:outlineLvl w:val="1"/>
        <w:rPr>
          <w:rFonts w:ascii="宋体" w:hAnsi="宋体" w:cs="宋体"/>
          <w:b/>
          <w:color w:val="auto"/>
          <w:sz w:val="21"/>
          <w:szCs w:val="21"/>
          <w:highlight w:val="none"/>
          <w:lang w:bidi="ar"/>
        </w:rPr>
      </w:pPr>
      <w:r>
        <w:rPr>
          <w:rFonts w:hint="eastAsia" w:ascii="宋体" w:hAnsi="宋体" w:cs="宋体"/>
          <w:b/>
          <w:color w:val="auto"/>
          <w:sz w:val="21"/>
          <w:szCs w:val="21"/>
          <w:highlight w:val="none"/>
          <w:lang w:bidi="ar"/>
        </w:rPr>
        <w:t>六、公告期限</w:t>
      </w:r>
    </w:p>
    <w:p>
      <w:pPr>
        <w:tabs>
          <w:tab w:val="left" w:pos="3150"/>
        </w:tabs>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bidi="ar"/>
        </w:rPr>
        <w:t>自本公告发布之日起5个工作日。</w:t>
      </w:r>
    </w:p>
    <w:p>
      <w:pPr>
        <w:keepNext w:val="0"/>
        <w:keepLines w:val="0"/>
        <w:pageBreakBefore w:val="0"/>
        <w:widowControl w:val="0"/>
        <w:tabs>
          <w:tab w:val="left" w:pos="3150"/>
        </w:tabs>
        <w:kinsoku/>
        <w:wordWrap/>
        <w:overflowPunct/>
        <w:topLinePunct w:val="0"/>
        <w:autoSpaceDE/>
        <w:autoSpaceDN/>
        <w:bidi w:val="0"/>
        <w:adjustRightInd/>
        <w:snapToGrid/>
        <w:spacing w:line="360" w:lineRule="auto"/>
        <w:ind w:firstLine="422" w:firstLineChars="200"/>
        <w:jc w:val="both"/>
        <w:textAlignment w:val="auto"/>
        <w:outlineLvl w:val="1"/>
        <w:rPr>
          <w:rFonts w:ascii="宋体" w:hAnsi="宋体" w:cs="宋体"/>
          <w:b/>
          <w:bCs/>
          <w:color w:val="auto"/>
          <w:kern w:val="0"/>
          <w:sz w:val="21"/>
          <w:szCs w:val="21"/>
          <w:highlight w:val="none"/>
        </w:rPr>
      </w:pPr>
      <w:r>
        <w:rPr>
          <w:rFonts w:hint="eastAsia" w:ascii="宋体" w:hAnsi="宋体" w:cs="宋体"/>
          <w:b/>
          <w:color w:val="auto"/>
          <w:sz w:val="21"/>
          <w:szCs w:val="21"/>
          <w:highlight w:val="none"/>
        </w:rPr>
        <w:t>七、</w:t>
      </w:r>
      <w:r>
        <w:rPr>
          <w:rFonts w:hint="eastAsia" w:ascii="宋体" w:hAnsi="宋体" w:cs="宋体"/>
          <w:b/>
          <w:bCs/>
          <w:color w:val="auto"/>
          <w:kern w:val="0"/>
          <w:sz w:val="21"/>
          <w:szCs w:val="21"/>
          <w:highlight w:val="none"/>
        </w:rPr>
        <w:t>注意事项</w:t>
      </w:r>
    </w:p>
    <w:p>
      <w:pPr>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1.为依法获取本项目招标文件及投标响应，潜在投标人应当按照《浙江省政府采购供应商注册及诚信管理暂行办法》的规定在“浙江政府采购网(http://zfcg.czt.zj.gov.cn/)”政采云平台注册登记,应在投标报名前提交政府采购云平台（https://www.zcygov.cn/）银行入驻申请并成为公款存放正式供应商，否则无法参与线上公款竞争性存放业务。如未进行银行入驻，请登录以下网址https://middle.zcygov.cn/v-settle-front/registry?settleCategory=1&amp;entranceType=50（银行入驻注册页面）完成入驻,并通过身份认证（CA数字证书申领）。</w:t>
      </w:r>
    </w:p>
    <w:p>
      <w:pPr>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2.网上电子投标具体流程详见操作指南：登录政府采购云平台（https://www.zcygov.cn/），从首页-服务中心-帮助文档-公款竞争性存放-操作流程，查看文档。</w:t>
      </w:r>
    </w:p>
    <w:p>
      <w:pPr>
        <w:spacing w:line="360" w:lineRule="auto"/>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3.若对项目采购电子交易系统操作有疑问，可登录政采云（https://www.zcygov.cn/），点击右侧咨询小采，获取采小蜜智能服务管家帮助，或拨打政采云服务热线400-881-7190获取热线服务帮助。</w:t>
      </w:r>
    </w:p>
    <w:p>
      <w:pPr>
        <w:pStyle w:val="21"/>
        <w:widowControl w:val="0"/>
        <w:spacing w:before="0" w:beforeAutospacing="0" w:after="0" w:afterAutospacing="0" w:line="360" w:lineRule="auto"/>
        <w:ind w:firstLine="420" w:firstLineChars="200"/>
        <w:rPr>
          <w:color w:val="auto"/>
          <w:kern w:val="2"/>
          <w:sz w:val="21"/>
          <w:szCs w:val="21"/>
          <w:highlight w:val="none"/>
        </w:rPr>
      </w:pPr>
      <w:r>
        <w:rPr>
          <w:rFonts w:hint="eastAsia"/>
          <w:color w:val="auto"/>
          <w:kern w:val="2"/>
          <w:sz w:val="21"/>
          <w:szCs w:val="21"/>
          <w:highlight w:val="none"/>
        </w:rPr>
        <w:t>4.本公告发布媒体：</w:t>
      </w:r>
      <w:bookmarkStart w:id="26" w:name="_Hlk109980689"/>
      <w:r>
        <w:rPr>
          <w:rFonts w:hint="eastAsia"/>
          <w:color w:val="auto"/>
          <w:kern w:val="2"/>
          <w:sz w:val="21"/>
          <w:szCs w:val="21"/>
          <w:highlight w:val="none"/>
        </w:rPr>
        <w:t>浙江政府采购网、宁波政府采购网、宁波市公共资源交易电子服务系统（江北）。</w:t>
      </w:r>
    </w:p>
    <w:bookmarkEnd w:id="26"/>
    <w:p>
      <w:pPr>
        <w:keepNext w:val="0"/>
        <w:keepLines w:val="0"/>
        <w:pageBreakBefore w:val="0"/>
        <w:widowControl w:val="0"/>
        <w:kinsoku/>
        <w:wordWrap/>
        <w:overflowPunct/>
        <w:topLinePunct w:val="0"/>
        <w:autoSpaceDE/>
        <w:autoSpaceDN/>
        <w:bidi w:val="0"/>
        <w:adjustRightInd/>
        <w:snapToGrid/>
        <w:spacing w:line="360" w:lineRule="auto"/>
        <w:ind w:firstLine="420"/>
        <w:jc w:val="both"/>
        <w:textAlignment w:val="auto"/>
        <w:outlineLvl w:val="1"/>
        <w:rPr>
          <w:rFonts w:ascii="宋体" w:hAnsi="宋体" w:cs="宋体"/>
          <w:color w:val="auto"/>
          <w:sz w:val="21"/>
          <w:szCs w:val="21"/>
          <w:highlight w:val="none"/>
        </w:rPr>
      </w:pPr>
      <w:r>
        <w:rPr>
          <w:rFonts w:hint="eastAsia" w:ascii="宋体" w:hAnsi="宋体" w:cs="宋体"/>
          <w:b/>
          <w:color w:val="auto"/>
          <w:sz w:val="21"/>
          <w:szCs w:val="21"/>
          <w:highlight w:val="none"/>
        </w:rPr>
        <w:t>八、招标人及招标代理机构的名称、地址和联系方法</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1.招标人信息</w:t>
      </w:r>
    </w:p>
    <w:bookmarkEnd w:id="0"/>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名称： 宁波市江北区总工会</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地址：宁波市江北区育才路118号北投大厦南楼14楼</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项目联系人（询问）：</w:t>
      </w:r>
      <w:r>
        <w:rPr>
          <w:rFonts w:hint="eastAsia" w:ascii="宋体" w:hAnsi="宋体" w:cs="宋体"/>
          <w:color w:val="auto"/>
          <w:sz w:val="21"/>
          <w:szCs w:val="21"/>
          <w:highlight w:val="none"/>
          <w:lang w:val="en-US" w:eastAsia="zh-CN"/>
        </w:rPr>
        <w:t>张老师</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项目联系方式（询问）</w:t>
      </w:r>
      <w:bookmarkStart w:id="27" w:name="_Hlk138834409"/>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0574-</w:t>
      </w:r>
      <w:r>
        <w:rPr>
          <w:rFonts w:hint="eastAsia" w:ascii="宋体" w:hAnsi="宋体" w:cs="宋体"/>
          <w:color w:val="auto"/>
          <w:sz w:val="21"/>
          <w:szCs w:val="21"/>
          <w:highlight w:val="none"/>
          <w:lang w:eastAsia="zh-CN"/>
        </w:rPr>
        <w:t>87355126</w:t>
      </w:r>
    </w:p>
    <w:p>
      <w:pPr>
        <w:pStyle w:val="25"/>
        <w:rPr>
          <w:color w:val="auto"/>
          <w:sz w:val="21"/>
          <w:szCs w:val="21"/>
          <w:highlight w:val="none"/>
        </w:rPr>
      </w:pPr>
    </w:p>
    <w:bookmarkEnd w:id="27"/>
    <w:p>
      <w:pPr>
        <w:pageBreakBefore w:val="0"/>
        <w:kinsoku/>
        <w:overflowPunct/>
        <w:topLinePunct w:val="0"/>
        <w:autoSpaceDE/>
        <w:autoSpaceDN/>
        <w:bidi w:val="0"/>
        <w:spacing w:line="360" w:lineRule="auto"/>
        <w:ind w:left="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2.采购代理机构信息：宁波市盛达工程管理咨询有限公司  </w:t>
      </w:r>
    </w:p>
    <w:p>
      <w:pPr>
        <w:pageBreakBefore w:val="0"/>
        <w:kinsoku/>
        <w:overflowPunct/>
        <w:topLinePunct w:val="0"/>
        <w:autoSpaceDE/>
        <w:autoSpaceDN/>
        <w:bidi w:val="0"/>
        <w:spacing w:line="360" w:lineRule="auto"/>
        <w:ind w:left="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地址：宁波市江北区唐虞路319号（创富商业中心） 5楼</w:t>
      </w:r>
    </w:p>
    <w:p>
      <w:pPr>
        <w:pStyle w:val="21"/>
        <w:pageBreakBefore w:val="0"/>
        <w:kinsoku/>
        <w:overflowPunct/>
        <w:topLinePunct w:val="0"/>
        <w:autoSpaceDE/>
        <w:autoSpaceDN/>
        <w:bidi w:val="0"/>
        <w:spacing w:before="0" w:beforeAutospacing="0" w:after="0" w:afterAutospacing="0" w:line="360" w:lineRule="auto"/>
        <w:ind w:left="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项目联系人（询问）：张琳玲、王瑶红、方海杰          </w:t>
      </w:r>
    </w:p>
    <w:p>
      <w:pPr>
        <w:pStyle w:val="21"/>
        <w:pageBreakBefore w:val="0"/>
        <w:kinsoku/>
        <w:overflowPunct/>
        <w:topLinePunct w:val="0"/>
        <w:autoSpaceDE/>
        <w:autoSpaceDN/>
        <w:bidi w:val="0"/>
        <w:spacing w:before="0" w:beforeAutospacing="0" w:after="0" w:afterAutospacing="0" w:line="360" w:lineRule="auto"/>
        <w:ind w:left="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项目联系方式（询问）：0574-87636525</w:t>
      </w:r>
    </w:p>
    <w:p>
      <w:pPr>
        <w:pStyle w:val="21"/>
        <w:pageBreakBefore w:val="0"/>
        <w:kinsoku/>
        <w:overflowPunct/>
        <w:topLinePunct w:val="0"/>
        <w:autoSpaceDE/>
        <w:autoSpaceDN/>
        <w:bidi w:val="0"/>
        <w:spacing w:before="0" w:beforeAutospacing="0" w:after="0" w:afterAutospacing="0" w:line="360" w:lineRule="auto"/>
        <w:ind w:left="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质疑联系人：方海杰           </w:t>
      </w:r>
    </w:p>
    <w:p>
      <w:pPr>
        <w:pStyle w:val="21"/>
        <w:pageBreakBefore w:val="0"/>
        <w:kinsoku/>
        <w:overflowPunct/>
        <w:topLinePunct w:val="0"/>
        <w:autoSpaceDE/>
        <w:autoSpaceDN/>
        <w:bidi w:val="0"/>
        <w:spacing w:before="0" w:beforeAutospacing="0" w:after="0" w:afterAutospacing="0" w:line="360" w:lineRule="auto"/>
        <w:ind w:left="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质疑联系方式：0574-87636525</w:t>
      </w:r>
    </w:p>
    <w:p>
      <w:pPr>
        <w:wordWrap w:val="0"/>
        <w:spacing w:line="360" w:lineRule="auto"/>
        <w:ind w:firstLine="315" w:firstLineChars="150"/>
        <w:jc w:val="right"/>
        <w:rPr>
          <w:rFonts w:ascii="宋体" w:hAnsi="宋体" w:cs="宋体"/>
          <w:color w:val="auto"/>
          <w:kern w:val="1"/>
          <w:highlight w:val="none"/>
        </w:rPr>
      </w:pPr>
    </w:p>
    <w:p>
      <w:pPr>
        <w:pStyle w:val="35"/>
        <w:rPr>
          <w:rFonts w:ascii="宋体" w:hAnsi="宋体"/>
          <w:color w:val="auto"/>
          <w:highlight w:val="none"/>
        </w:rPr>
      </w:pPr>
    </w:p>
    <w:p>
      <w:pPr>
        <w:pStyle w:val="35"/>
        <w:rPr>
          <w:rFonts w:ascii="宋体" w:hAnsi="宋体"/>
          <w:color w:val="auto"/>
          <w:highlight w:val="none"/>
        </w:rPr>
      </w:pPr>
    </w:p>
    <w:p>
      <w:pPr>
        <w:pStyle w:val="35"/>
        <w:rPr>
          <w:rFonts w:ascii="宋体" w:hAnsi="宋体"/>
          <w:color w:val="auto"/>
          <w:highlight w:val="none"/>
        </w:rPr>
      </w:pPr>
    </w:p>
    <w:p>
      <w:pPr>
        <w:pStyle w:val="35"/>
        <w:rPr>
          <w:rFonts w:ascii="宋体" w:hAnsi="宋体"/>
          <w:color w:val="auto"/>
          <w:highlight w:val="none"/>
        </w:rPr>
      </w:pPr>
      <w:r>
        <w:rPr>
          <w:rFonts w:ascii="宋体" w:hAnsi="宋体"/>
          <w:color w:val="auto"/>
          <w:highlight w:val="none"/>
        </w:rPr>
        <w:br w:type="page"/>
      </w:r>
    </w:p>
    <w:p>
      <w:pPr>
        <w:pStyle w:val="3"/>
        <w:spacing w:before="0" w:after="0" w:line="360" w:lineRule="auto"/>
        <w:jc w:val="center"/>
        <w:rPr>
          <w:rFonts w:ascii="宋体" w:hAnsi="宋体"/>
          <w:color w:val="auto"/>
          <w:sz w:val="28"/>
          <w:szCs w:val="32"/>
          <w:highlight w:val="none"/>
        </w:rPr>
      </w:pPr>
      <w:bookmarkStart w:id="28" w:name="_Toc138771885"/>
      <w:r>
        <w:rPr>
          <w:rFonts w:hint="eastAsia" w:ascii="宋体" w:hAnsi="宋体"/>
          <w:color w:val="auto"/>
          <w:sz w:val="28"/>
          <w:szCs w:val="32"/>
          <w:highlight w:val="none"/>
        </w:rPr>
        <w:t>第二章  投标人须知</w:t>
      </w:r>
      <w:bookmarkEnd w:id="28"/>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1"/>
        <w:rPr>
          <w:rFonts w:ascii="宋体" w:hAnsi="宋体"/>
          <w:color w:val="auto"/>
          <w:szCs w:val="21"/>
          <w:highlight w:val="none"/>
        </w:rPr>
      </w:pPr>
      <w:r>
        <w:rPr>
          <w:rFonts w:hint="eastAsia" w:ascii="宋体" w:hAnsi="宋体"/>
          <w:color w:val="auto"/>
          <w:szCs w:val="21"/>
          <w:highlight w:val="none"/>
        </w:rPr>
        <w:t>前附表</w:t>
      </w:r>
    </w:p>
    <w:tbl>
      <w:tblPr>
        <w:tblStyle w:val="26"/>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9"/>
        <w:gridCol w:w="8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Cs w:val="21"/>
                <w:highlight w:val="none"/>
              </w:rPr>
            </w:pPr>
            <w:r>
              <w:rPr>
                <w:rFonts w:hint="eastAsia" w:ascii="宋体" w:hAnsi="宋体" w:cs="宋体"/>
                <w:color w:val="auto"/>
                <w:szCs w:val="21"/>
                <w:highlight w:val="none"/>
              </w:rPr>
              <w:t>项目名称及数量：详见《招标公告》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Cs w:val="21"/>
                <w:highlight w:val="none"/>
              </w:rPr>
            </w:pPr>
            <w:r>
              <w:rPr>
                <w:rFonts w:hint="eastAsia" w:ascii="宋体" w:hAnsi="宋体" w:cs="宋体"/>
                <w:color w:val="auto"/>
                <w:szCs w:val="21"/>
                <w:highlight w:val="none"/>
              </w:rPr>
              <w:t>是否接受转包与分包：否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Cs w:val="21"/>
                <w:highlight w:val="none"/>
              </w:rPr>
            </w:pPr>
            <w:r>
              <w:rPr>
                <w:rFonts w:hint="eastAsia" w:ascii="宋体" w:hAnsi="宋体" w:cs="宋体"/>
                <w:color w:val="auto"/>
                <w:szCs w:val="21"/>
                <w:highlight w:val="none"/>
              </w:rPr>
              <w:t>是否接受联合体投标：否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Cs w:val="21"/>
                <w:highlight w:val="none"/>
              </w:rPr>
            </w:pPr>
            <w:r>
              <w:rPr>
                <w:rFonts w:hint="eastAsia" w:ascii="宋体" w:hAnsi="宋体" w:cs="宋体"/>
                <w:color w:val="auto"/>
                <w:szCs w:val="21"/>
                <w:highlight w:val="none"/>
              </w:rPr>
              <w:t>是否演示：否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Cs w:val="21"/>
                <w:highlight w:val="none"/>
              </w:rPr>
            </w:pPr>
            <w:r>
              <w:rPr>
                <w:rFonts w:hint="eastAsia" w:ascii="宋体" w:hAnsi="宋体" w:cs="宋体"/>
                <w:color w:val="auto"/>
                <w:szCs w:val="21"/>
                <w:highlight w:val="none"/>
              </w:rPr>
              <w:t>开标时间：详见《招标公告》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Cs w:val="21"/>
                <w:highlight w:val="none"/>
              </w:rPr>
            </w:pPr>
            <w:r>
              <w:rPr>
                <w:rFonts w:hint="eastAsia" w:ascii="宋体" w:hAnsi="宋体" w:cs="宋体"/>
                <w:color w:val="auto"/>
                <w:szCs w:val="21"/>
                <w:highlight w:val="none"/>
              </w:rPr>
              <w:t>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right w:val="single" w:color="auto" w:sz="4" w:space="0"/>
            </w:tcBorders>
            <w:vAlign w:val="center"/>
          </w:tcPr>
          <w:p>
            <w:pPr>
              <w:snapToGrid w:val="0"/>
              <w:spacing w:line="46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4542" w:type="pct"/>
            <w:tcBorders>
              <w:top w:val="single" w:color="auto" w:sz="4" w:space="0"/>
              <w:left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hAnsi="宋体" w:cs="宋体"/>
                <w:color w:val="auto"/>
                <w:szCs w:val="21"/>
                <w:highlight w:val="none"/>
                <w:lang w:val="en-US" w:eastAsia="zh-CN"/>
              </w:rPr>
              <w:t>1.</w:t>
            </w:r>
            <w:r>
              <w:rPr>
                <w:rFonts w:hint="eastAsia" w:ascii="宋体" w:hAnsi="宋体" w:cs="宋体"/>
                <w:color w:val="auto"/>
                <w:szCs w:val="21"/>
                <w:highlight w:val="none"/>
              </w:rPr>
              <w:t>投标文件</w:t>
            </w:r>
            <w:r>
              <w:rPr>
                <w:rFonts w:hint="eastAsia" w:hAnsi="宋体" w:cs="宋体"/>
                <w:color w:val="auto"/>
                <w:szCs w:val="21"/>
                <w:highlight w:val="none"/>
                <w:lang w:eastAsia="zh-CN"/>
              </w:rPr>
              <w:t>的</w:t>
            </w:r>
            <w:r>
              <w:rPr>
                <w:rFonts w:hint="eastAsia" w:ascii="宋体" w:hAnsi="宋体" w:cs="宋体"/>
                <w:color w:val="auto"/>
                <w:szCs w:val="21"/>
                <w:highlight w:val="none"/>
              </w:rPr>
              <w:t>组成：</w:t>
            </w:r>
            <w:r>
              <w:rPr>
                <w:rFonts w:hint="eastAsia" w:ascii="宋体" w:hAnsi="宋体" w:cs="宋体"/>
                <w:color w:val="auto"/>
                <w:szCs w:val="21"/>
                <w:highlight w:val="none"/>
              </w:rPr>
              <w:br w:type="textWrapping"/>
            </w:r>
            <w:r>
              <w:rPr>
                <w:rFonts w:hint="eastAsia" w:ascii="宋体" w:hAnsi="宋体" w:eastAsia="宋体" w:cs="宋体"/>
                <w:bCs/>
                <w:color w:val="auto"/>
                <w:szCs w:val="21"/>
                <w:highlight w:val="none"/>
              </w:rPr>
              <w:t>（1）投标函；</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法定代表人（或分行负责人或支行负责人）身份证明书</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bCs/>
                <w:color w:val="auto"/>
                <w:szCs w:val="21"/>
                <w:highlight w:val="none"/>
              </w:rPr>
            </w:pPr>
            <w:r>
              <w:rPr>
                <w:rFonts w:hint="eastAsia" w:hAnsi="宋体" w:cs="宋体"/>
                <w:bCs/>
                <w:color w:val="auto"/>
                <w:szCs w:val="21"/>
                <w:highlight w:val="none"/>
                <w:lang w:eastAsia="zh-CN"/>
              </w:rPr>
              <w:t>（</w:t>
            </w:r>
            <w:r>
              <w:rPr>
                <w:rFonts w:hint="eastAsia" w:hAnsi="宋体" w:cs="宋体"/>
                <w:bCs/>
                <w:color w:val="auto"/>
                <w:szCs w:val="21"/>
                <w:highlight w:val="none"/>
                <w:lang w:val="en-US" w:eastAsia="zh-CN"/>
              </w:rPr>
              <w:t>3</w:t>
            </w:r>
            <w:r>
              <w:rPr>
                <w:rFonts w:hint="eastAsia" w:hAnsi="宋体" w:cs="宋体"/>
                <w:bCs/>
                <w:color w:val="auto"/>
                <w:szCs w:val="21"/>
                <w:highlight w:val="none"/>
                <w:lang w:eastAsia="zh-CN"/>
              </w:rPr>
              <w:t>）</w:t>
            </w:r>
            <w:r>
              <w:rPr>
                <w:rFonts w:hint="eastAsia" w:ascii="宋体" w:hAnsi="宋体" w:eastAsia="宋体" w:cs="宋体"/>
                <w:bCs/>
                <w:color w:val="auto"/>
                <w:szCs w:val="21"/>
                <w:highlight w:val="none"/>
              </w:rPr>
              <w:t>法定代表人（或分行负责人或支行负责人）授权委托书；</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hAnsi="宋体" w:cs="宋体"/>
                <w:bCs/>
                <w:color w:val="auto"/>
                <w:szCs w:val="21"/>
                <w:highlight w:val="none"/>
                <w:lang w:val="en-US" w:eastAsia="zh-CN"/>
              </w:rPr>
              <w:t>4</w:t>
            </w:r>
            <w:r>
              <w:rPr>
                <w:rFonts w:hint="eastAsia" w:ascii="宋体" w:hAnsi="宋体" w:eastAsia="宋体" w:cs="宋体"/>
                <w:bCs/>
                <w:color w:val="auto"/>
                <w:szCs w:val="21"/>
                <w:highlight w:val="none"/>
              </w:rPr>
              <w:t>）投标人资格声明函；</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hAnsi="宋体" w:cs="宋体"/>
                <w:bCs/>
                <w:color w:val="auto"/>
                <w:szCs w:val="21"/>
                <w:highlight w:val="none"/>
                <w:lang w:val="en-US" w:eastAsia="zh-CN"/>
              </w:rPr>
              <w:t>5</w:t>
            </w:r>
            <w:r>
              <w:rPr>
                <w:rFonts w:hint="eastAsia" w:ascii="宋体" w:hAnsi="宋体" w:eastAsia="宋体" w:cs="宋体"/>
                <w:bCs/>
                <w:color w:val="auto"/>
                <w:szCs w:val="21"/>
                <w:highlight w:val="none"/>
              </w:rPr>
              <w:t>）投标人营业执照、金融许可证；</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hAnsi="宋体" w:cs="宋体"/>
                <w:bCs/>
                <w:color w:val="auto"/>
                <w:szCs w:val="21"/>
                <w:highlight w:val="none"/>
                <w:lang w:val="en-US" w:eastAsia="zh-CN"/>
              </w:rPr>
              <w:t>6</w:t>
            </w:r>
            <w:r>
              <w:rPr>
                <w:rFonts w:hint="eastAsia" w:ascii="宋体" w:hAnsi="宋体" w:eastAsia="宋体" w:cs="宋体"/>
                <w:bCs/>
                <w:color w:val="auto"/>
                <w:szCs w:val="21"/>
                <w:highlight w:val="none"/>
              </w:rPr>
              <w:t>）投标人江北分支机构营业执照件；</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hAnsi="宋体" w:cs="宋体"/>
                <w:bCs/>
                <w:color w:val="auto"/>
                <w:szCs w:val="21"/>
                <w:highlight w:val="none"/>
                <w:lang w:val="en-US" w:eastAsia="zh-CN"/>
              </w:rPr>
              <w:t>7</w:t>
            </w:r>
            <w:r>
              <w:rPr>
                <w:rFonts w:hint="eastAsia" w:ascii="宋体" w:hAnsi="宋体" w:eastAsia="宋体" w:cs="宋体"/>
                <w:bCs/>
                <w:color w:val="auto"/>
                <w:szCs w:val="21"/>
                <w:highlight w:val="none"/>
              </w:rPr>
              <w:t>）开标一览表；</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hAnsi="宋体" w:cs="宋体"/>
                <w:bCs/>
                <w:color w:val="auto"/>
                <w:szCs w:val="21"/>
                <w:highlight w:val="none"/>
                <w:lang w:val="en-US" w:eastAsia="zh-CN"/>
              </w:rPr>
              <w:t>8</w:t>
            </w:r>
            <w:r>
              <w:rPr>
                <w:rFonts w:hint="eastAsia" w:ascii="宋体" w:hAnsi="宋体" w:eastAsia="宋体" w:cs="宋体"/>
                <w:bCs/>
                <w:color w:val="auto"/>
                <w:szCs w:val="21"/>
                <w:highlight w:val="none"/>
              </w:rPr>
              <w:t>）评分标准涉及的数据表；</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hAnsi="宋体" w:cs="宋体"/>
                <w:bCs/>
                <w:color w:val="auto"/>
                <w:szCs w:val="21"/>
                <w:highlight w:val="none"/>
                <w:lang w:val="en-US" w:eastAsia="zh-CN"/>
              </w:rPr>
              <w:t>9</w:t>
            </w:r>
            <w:r>
              <w:rPr>
                <w:rFonts w:hint="eastAsia" w:ascii="宋体" w:hAnsi="宋体" w:eastAsia="宋体" w:cs="宋体"/>
                <w:bCs/>
                <w:color w:val="auto"/>
                <w:szCs w:val="21"/>
                <w:highlight w:val="none"/>
              </w:rPr>
              <w:t>）服务承诺对照表；</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w:t>
            </w:r>
            <w:r>
              <w:rPr>
                <w:rFonts w:hint="eastAsia" w:hAnsi="宋体" w:cs="宋体"/>
                <w:bCs/>
                <w:color w:val="auto"/>
                <w:szCs w:val="21"/>
                <w:highlight w:val="none"/>
                <w:lang w:val="en-US" w:eastAsia="zh-CN"/>
              </w:rPr>
              <w:t>10</w:t>
            </w:r>
            <w:r>
              <w:rPr>
                <w:rFonts w:hint="eastAsia" w:ascii="宋体" w:hAnsi="宋体" w:eastAsia="宋体" w:cs="宋体"/>
                <w:bCs/>
                <w:color w:val="auto"/>
                <w:szCs w:val="21"/>
                <w:highlight w:val="none"/>
              </w:rPr>
              <w:t>）项目负责人及服务小组人员情况一览表；</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r>
              <w:rPr>
                <w:rFonts w:hint="eastAsia" w:hAnsi="宋体" w:cs="宋体"/>
                <w:bCs/>
                <w:color w:val="auto"/>
                <w:szCs w:val="21"/>
                <w:highlight w:val="none"/>
                <w:lang w:val="en-US" w:eastAsia="zh-CN"/>
              </w:rPr>
              <w:t>1</w:t>
            </w:r>
            <w:r>
              <w:rPr>
                <w:rFonts w:hint="eastAsia" w:ascii="宋体" w:hAnsi="宋体" w:eastAsia="宋体" w:cs="宋体"/>
                <w:bCs/>
                <w:color w:val="auto"/>
                <w:szCs w:val="21"/>
                <w:highlight w:val="none"/>
              </w:rPr>
              <w:t>）廉政承诺书；</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r>
              <w:rPr>
                <w:rFonts w:hint="eastAsia" w:hAnsi="宋体" w:cs="宋体"/>
                <w:bCs/>
                <w:color w:val="auto"/>
                <w:szCs w:val="21"/>
                <w:highlight w:val="none"/>
                <w:lang w:val="en-US" w:eastAsia="zh-CN"/>
              </w:rPr>
              <w:t>2</w:t>
            </w:r>
            <w:r>
              <w:rPr>
                <w:rFonts w:hint="eastAsia" w:ascii="宋体" w:hAnsi="宋体" w:eastAsia="宋体" w:cs="宋体"/>
                <w:bCs/>
                <w:color w:val="auto"/>
                <w:szCs w:val="21"/>
                <w:highlight w:val="none"/>
              </w:rPr>
              <w:t>）自评分表</w:t>
            </w:r>
            <w:r>
              <w:rPr>
                <w:rFonts w:hint="eastAsia" w:ascii="宋体" w:hAnsi="宋体" w:eastAsia="宋体" w:cs="宋体"/>
                <w:bCs/>
                <w:color w:val="auto"/>
                <w:szCs w:val="21"/>
                <w:highlight w:val="none"/>
              </w:rPr>
              <w:br w:type="textWrapping"/>
            </w:r>
            <w:r>
              <w:rPr>
                <w:rFonts w:hint="eastAsia" w:hAnsi="宋体" w:cs="宋体"/>
                <w:bCs/>
                <w:color w:val="auto"/>
                <w:szCs w:val="21"/>
                <w:highlight w:val="none"/>
                <w:lang w:eastAsia="zh-CN"/>
              </w:rPr>
              <w:t>（</w:t>
            </w:r>
            <w:r>
              <w:rPr>
                <w:rFonts w:hint="eastAsia" w:hAnsi="宋体" w:cs="宋体"/>
                <w:bCs/>
                <w:color w:val="auto"/>
                <w:szCs w:val="21"/>
                <w:highlight w:val="none"/>
                <w:lang w:val="en-US" w:eastAsia="zh-CN"/>
              </w:rPr>
              <w:t>13</w:t>
            </w:r>
            <w:r>
              <w:rPr>
                <w:rFonts w:hint="eastAsia" w:hAnsi="宋体" w:cs="宋体"/>
                <w:bCs/>
                <w:color w:val="auto"/>
                <w:szCs w:val="21"/>
                <w:highlight w:val="none"/>
                <w:lang w:eastAsia="zh-CN"/>
              </w:rPr>
              <w:t>）</w:t>
            </w:r>
            <w:r>
              <w:rPr>
                <w:rFonts w:hint="eastAsia" w:ascii="宋体" w:hAnsi="宋体" w:eastAsia="宋体" w:cs="宋体"/>
                <w:bCs/>
                <w:color w:val="auto"/>
                <w:szCs w:val="21"/>
                <w:highlight w:val="none"/>
              </w:rPr>
              <w:t>投标人认为需提供的其他资料。</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hAnsi="宋体" w:cs="宋体"/>
                <w:b/>
                <w:color w:val="auto"/>
                <w:szCs w:val="21"/>
                <w:highlight w:val="none"/>
                <w:lang w:eastAsia="zh-CN"/>
              </w:rPr>
            </w:pPr>
            <w:r>
              <w:rPr>
                <w:rFonts w:hint="eastAsia" w:hAnsi="宋体" w:cs="宋体"/>
                <w:b/>
                <w:color w:val="auto"/>
                <w:szCs w:val="21"/>
                <w:highlight w:val="none"/>
                <w:lang w:val="en-US" w:eastAsia="zh-CN"/>
              </w:rPr>
              <w:t>注意：1.</w:t>
            </w:r>
            <w:r>
              <w:rPr>
                <w:rFonts w:hint="eastAsia" w:ascii="宋体" w:hAnsi="宋体" w:eastAsia="宋体" w:cs="宋体"/>
                <w:b/>
                <w:color w:val="auto"/>
                <w:szCs w:val="21"/>
                <w:highlight w:val="none"/>
              </w:rPr>
              <w:t>所有的复印件，在提供时请仔细检查当期是否有效，并请加盖投标人公章</w:t>
            </w:r>
            <w:r>
              <w:rPr>
                <w:rFonts w:hint="eastAsia" w:hAnsi="宋体" w:cs="宋体"/>
                <w:b/>
                <w:color w:val="auto"/>
                <w:szCs w:val="21"/>
                <w:highlight w:val="none"/>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632" w:firstLineChars="300"/>
              <w:textAlignment w:val="auto"/>
              <w:outlineLvl w:val="9"/>
              <w:rPr>
                <w:rFonts w:hint="default" w:ascii="宋体" w:hAnsi="宋体" w:eastAsia="宋体" w:cs="宋体"/>
                <w:b/>
                <w:color w:val="auto"/>
                <w:szCs w:val="21"/>
                <w:highlight w:val="none"/>
                <w:lang w:val="en-US" w:eastAsia="zh-CN"/>
              </w:rPr>
            </w:pPr>
            <w:r>
              <w:rPr>
                <w:rFonts w:hint="eastAsia" w:hAnsi="宋体" w:cs="宋体"/>
                <w:b/>
                <w:color w:val="auto"/>
                <w:szCs w:val="21"/>
                <w:highlight w:val="none"/>
                <w:lang w:val="en-US" w:eastAsia="zh-CN"/>
              </w:rPr>
              <w:t>2.第六章《投标文件格式》中没有提供格式的，均由投标人自拟格式。</w:t>
            </w:r>
          </w:p>
          <w:p>
            <w:pPr>
              <w:spacing w:line="460" w:lineRule="exact"/>
              <w:jc w:val="left"/>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供应商须于投标截止时间前于“政采云”上传电子投标文件。</w:t>
            </w:r>
          </w:p>
          <w:p>
            <w:pPr>
              <w:spacing w:line="460" w:lineRule="exact"/>
              <w:jc w:val="left"/>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纸质投标文件：中标人须在中标后提供投标文件正本1份，副本4份。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4542" w:type="pct"/>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宋体" w:hAnsi="宋体" w:cs="宋体"/>
                <w:color w:val="auto"/>
                <w:szCs w:val="21"/>
                <w:highlight w:val="none"/>
              </w:rPr>
            </w:pPr>
            <w:r>
              <w:rPr>
                <w:rFonts w:hint="eastAsia" w:ascii="宋体" w:hAnsi="宋体" w:cs="宋体"/>
                <w:color w:val="auto"/>
                <w:szCs w:val="21"/>
                <w:highlight w:val="none"/>
              </w:rPr>
              <w:t>评标结果公示：公示于浙江政府采购网、宁波政府采购网、宁波市公共资源交易电子服务系统（江北）并发布中标通知书。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454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jc w:val="left"/>
              <w:textAlignment w:val="bottom"/>
              <w:rPr>
                <w:rFonts w:ascii="宋体" w:hAnsi="宋体" w:cs="宋体"/>
                <w:color w:val="auto"/>
                <w:szCs w:val="21"/>
                <w:highlight w:val="none"/>
              </w:rPr>
            </w:pPr>
            <w:r>
              <w:rPr>
                <w:rFonts w:hint="eastAsia" w:ascii="宋体" w:hAnsi="宋体" w:cs="宋体"/>
                <w:color w:val="auto"/>
                <w:szCs w:val="21"/>
                <w:highlight w:val="none"/>
              </w:rPr>
              <w:t>签订协议时间：中标通知书发出后30日内。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Cs w:val="21"/>
                <w:highlight w:val="none"/>
              </w:rPr>
            </w:pPr>
            <w:r>
              <w:rPr>
                <w:rFonts w:hint="eastAsia" w:ascii="宋体" w:hAnsi="宋体" w:cs="宋体"/>
                <w:color w:val="auto"/>
                <w:szCs w:val="21"/>
                <w:highlight w:val="none"/>
              </w:rPr>
              <w:t>投标文件有效期为90</w:t>
            </w:r>
            <w:r>
              <w:rPr>
                <w:rFonts w:hint="eastAsia" w:ascii="宋体" w:hAnsi="宋体"/>
                <w:color w:val="auto"/>
                <w:szCs w:val="21"/>
                <w:highlight w:val="none"/>
              </w:rPr>
              <w:t>日历天</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Cs w:val="21"/>
                <w:highlight w:val="none"/>
              </w:rPr>
            </w:pPr>
            <w:r>
              <w:rPr>
                <w:rFonts w:hint="eastAsia" w:ascii="宋体" w:hAnsi="宋体" w:cs="宋体"/>
                <w:color w:val="auto"/>
                <w:szCs w:val="21"/>
                <w:highlight w:val="none"/>
              </w:rPr>
              <w:t>投标保证金金额：本项目无保证金。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left"/>
              <w:rPr>
                <w:rFonts w:ascii="宋体" w:hAnsi="宋体" w:cs="宋体"/>
                <w:color w:val="auto"/>
                <w:sz w:val="21"/>
                <w:szCs w:val="21"/>
                <w:highlight w:val="none"/>
              </w:rPr>
            </w:pPr>
            <w:r>
              <w:rPr>
                <w:rFonts w:hint="eastAsia" w:ascii="宋体" w:hAnsi="宋体" w:eastAsia="宋体" w:cs="宋体"/>
                <w:color w:val="auto"/>
                <w:sz w:val="21"/>
                <w:szCs w:val="21"/>
                <w:highlight w:val="none"/>
              </w:rPr>
              <w:t>中标服务费：</w:t>
            </w:r>
            <w:r>
              <w:rPr>
                <w:rFonts w:hint="eastAsia" w:ascii="宋体" w:hAnsi="宋体" w:eastAsia="宋体" w:cs="宋体"/>
                <w:color w:val="auto"/>
                <w:szCs w:val="21"/>
                <w:highlight w:val="none"/>
              </w:rPr>
              <w:t>招标代理机构按照一年的收费标准计算</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即</w:t>
            </w:r>
            <w:r>
              <w:rPr>
                <w:rFonts w:hint="eastAsia" w:ascii="宋体" w:hAnsi="宋体" w:eastAsia="宋体" w:cs="宋体"/>
                <w:color w:val="auto"/>
                <w:szCs w:val="21"/>
                <w:highlight w:val="none"/>
              </w:rPr>
              <w:t>固定金额</w:t>
            </w:r>
            <w:r>
              <w:rPr>
                <w:rFonts w:hint="eastAsia" w:ascii="宋体" w:hAnsi="宋体" w:eastAsia="宋体" w:cs="宋体"/>
                <w:color w:val="auto"/>
                <w:szCs w:val="21"/>
                <w:highlight w:val="none"/>
                <w:u w:val="single"/>
              </w:rPr>
              <w:t>壹万元整</w:t>
            </w:r>
            <w:r>
              <w:rPr>
                <w:rFonts w:hint="eastAsia" w:ascii="宋体" w:hAnsi="宋体" w:eastAsia="宋体" w:cs="宋体"/>
                <w:color w:val="auto"/>
                <w:szCs w:val="21"/>
                <w:highlight w:val="none"/>
              </w:rPr>
              <w:t>向中标人进行收取。此费用在中标通知书发出前缴纳</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7"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4542"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解释：招标文件的解释权属于招标人和招标代理机构。</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outlineLvl w:val="1"/>
        <w:rPr>
          <w:rFonts w:hint="eastAsia" w:ascii="宋体" w:hAnsi="宋体" w:eastAsia="宋体" w:cs="宋体"/>
          <w:color w:val="auto"/>
          <w:szCs w:val="21"/>
          <w:highlight w:val="none"/>
        </w:rPr>
      </w:pPr>
      <w:r>
        <w:rPr>
          <w:rFonts w:ascii="宋体" w:hAnsi="宋体"/>
          <w:color w:val="auto"/>
          <w:szCs w:val="21"/>
          <w:highlight w:val="none"/>
        </w:rPr>
        <w:br w:type="page"/>
      </w:r>
      <w:r>
        <w:rPr>
          <w:rFonts w:hint="eastAsia" w:ascii="宋体" w:hAnsi="宋体" w:eastAsia="宋体" w:cs="宋体"/>
          <w:b/>
          <w:color w:val="auto"/>
          <w:kern w:val="2"/>
          <w:sz w:val="21"/>
          <w:szCs w:val="21"/>
          <w:highlight w:val="none"/>
          <w:lang w:val="en-US" w:eastAsia="zh-CN" w:bidi="ar-SA"/>
        </w:rPr>
        <w:t>一、总  则</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bookmarkStart w:id="29" w:name="_Toc76572270"/>
      <w:bookmarkStart w:id="30" w:name="_Toc138771886"/>
      <w:bookmarkStart w:id="31" w:name="_Toc29410"/>
      <w:bookmarkStart w:id="32" w:name="_Toc110006419"/>
      <w:r>
        <w:rPr>
          <w:rFonts w:hint="eastAsia" w:ascii="宋体" w:hAnsi="宋体" w:eastAsia="宋体" w:cs="宋体"/>
          <w:b/>
          <w:color w:val="auto"/>
          <w:szCs w:val="21"/>
          <w:highlight w:val="none"/>
        </w:rPr>
        <w:t>（一） 适用范围</w:t>
      </w:r>
      <w:bookmarkEnd w:id="29"/>
      <w:bookmarkEnd w:id="30"/>
      <w:bookmarkEnd w:id="31"/>
      <w:bookmarkEnd w:id="32"/>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仅适用于本次招标文件中采购项目的招标、投标、评标、定标、合同履约等行为（法律、法规另有规定的，从其规定）。</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bookmarkStart w:id="33" w:name="_Toc5036"/>
      <w:bookmarkStart w:id="34" w:name="_Toc138771887"/>
      <w:bookmarkStart w:id="35" w:name="_Toc76572271"/>
      <w:bookmarkStart w:id="36" w:name="_Toc110006420"/>
      <w:r>
        <w:rPr>
          <w:rFonts w:hint="eastAsia" w:ascii="宋体" w:hAnsi="宋体" w:eastAsia="宋体" w:cs="宋体"/>
          <w:b/>
          <w:color w:val="auto"/>
          <w:szCs w:val="21"/>
          <w:highlight w:val="none"/>
        </w:rPr>
        <w:t>（二）定义</w:t>
      </w:r>
      <w:bookmarkEnd w:id="33"/>
      <w:bookmarkEnd w:id="34"/>
      <w:bookmarkEnd w:id="35"/>
      <w:bookmarkEnd w:id="36"/>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1.“招标代理机构”系指组织本次招标的</w:t>
      </w:r>
      <w:r>
        <w:rPr>
          <w:rFonts w:hint="eastAsia" w:ascii="宋体" w:hAnsi="宋体" w:cs="宋体"/>
          <w:color w:val="auto"/>
          <w:szCs w:val="21"/>
          <w:highlight w:val="none"/>
          <w:u w:val="single"/>
          <w:lang w:val="en-US" w:eastAsia="zh-CN"/>
        </w:rPr>
        <w:t>宁波市盛达工程管理咨询有限公司</w:t>
      </w:r>
      <w:r>
        <w:rPr>
          <w:rFonts w:hint="eastAsia" w:ascii="宋体" w:hAnsi="宋体" w:eastAsia="宋体" w:cs="宋体"/>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2.“投标人”系指向招标方提交投标文件的单位。</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3、“招标人” 系指</w:t>
      </w:r>
      <w:r>
        <w:rPr>
          <w:rFonts w:hint="eastAsia" w:ascii="宋体" w:hAnsi="宋体" w:cs="宋体"/>
          <w:color w:val="auto"/>
          <w:szCs w:val="21"/>
          <w:highlight w:val="none"/>
          <w:u w:val="single"/>
          <w:lang w:eastAsia="zh-CN"/>
        </w:rPr>
        <w:t>宁波市江北区总工会</w:t>
      </w:r>
      <w:r>
        <w:rPr>
          <w:rFonts w:hint="eastAsia" w:ascii="宋体" w:hAnsi="宋体" w:eastAsia="宋体" w:cs="宋体"/>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4.“项目”系指投标人按招标文件规定向招标人提供的产品和服务。</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bookmarkStart w:id="37" w:name="_Toc76572272"/>
      <w:bookmarkStart w:id="38" w:name="_Toc110006421"/>
      <w:bookmarkStart w:id="39" w:name="_Toc138771888"/>
      <w:bookmarkStart w:id="40" w:name="_Toc2890"/>
      <w:r>
        <w:rPr>
          <w:rFonts w:hint="eastAsia" w:ascii="宋体" w:hAnsi="宋体" w:eastAsia="宋体" w:cs="宋体"/>
          <w:b/>
          <w:color w:val="auto"/>
          <w:szCs w:val="21"/>
          <w:highlight w:val="none"/>
        </w:rPr>
        <w:t>（三）投标委托</w:t>
      </w:r>
      <w:bookmarkEnd w:id="37"/>
      <w:bookmarkEnd w:id="38"/>
      <w:bookmarkEnd w:id="39"/>
      <w:bookmarkEnd w:id="40"/>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全权代表须携带有效身份证件。如全权代表不是法定代表人或负责人，须有投标银行法定代表人或负责人出具的授权委托书（正本用原件，副本用复印件，格式见附件）。</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bookmarkStart w:id="41" w:name="_Toc76572273"/>
      <w:bookmarkStart w:id="42" w:name="_Toc20396"/>
      <w:bookmarkStart w:id="43" w:name="_Toc110006422"/>
      <w:bookmarkStart w:id="44" w:name="_Toc138771889"/>
      <w:r>
        <w:rPr>
          <w:rFonts w:hint="eastAsia" w:ascii="宋体" w:hAnsi="宋体" w:eastAsia="宋体" w:cs="宋体"/>
          <w:b/>
          <w:color w:val="auto"/>
          <w:szCs w:val="21"/>
          <w:highlight w:val="none"/>
        </w:rPr>
        <w:t>（四）特别说明：</w:t>
      </w:r>
      <w:bookmarkEnd w:id="41"/>
      <w:bookmarkEnd w:id="42"/>
      <w:bookmarkEnd w:id="43"/>
      <w:bookmarkEnd w:id="44"/>
    </w:p>
    <w:p>
      <w:pPr>
        <w:pStyle w:val="13"/>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投标人应仔细阅读招标文件的所有内容，按照招标文件的要求提交投标文件，并对所提供的全部资料的真实性承担法律责任。</w:t>
      </w:r>
    </w:p>
    <w:p>
      <w:pPr>
        <w:pStyle w:val="13"/>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bCs/>
          <w:color w:val="auto"/>
          <w:szCs w:val="21"/>
          <w:highlight w:val="none"/>
        </w:rPr>
      </w:pPr>
      <w:bookmarkStart w:id="45" w:name="_Toc76572274"/>
      <w:bookmarkStart w:id="46" w:name="_Toc138771890"/>
      <w:bookmarkStart w:id="47" w:name="_Toc5447"/>
      <w:bookmarkStart w:id="48" w:name="_Toc110006423"/>
      <w:r>
        <w:rPr>
          <w:rFonts w:hint="eastAsia" w:ascii="宋体" w:hAnsi="宋体" w:eastAsia="宋体" w:cs="宋体"/>
          <w:b/>
          <w:bCs/>
          <w:color w:val="auto"/>
          <w:szCs w:val="21"/>
          <w:highlight w:val="none"/>
        </w:rPr>
        <w:t>（五）</w:t>
      </w:r>
      <w:bookmarkEnd w:id="45"/>
      <w:r>
        <w:rPr>
          <w:rFonts w:hint="eastAsia" w:ascii="宋体" w:hAnsi="宋体" w:eastAsia="宋体" w:cs="宋体"/>
          <w:b/>
          <w:bCs/>
          <w:color w:val="auto"/>
          <w:szCs w:val="21"/>
          <w:highlight w:val="none"/>
        </w:rPr>
        <w:t>质疑和投诉</w:t>
      </w:r>
      <w:bookmarkEnd w:id="46"/>
      <w:bookmarkEnd w:id="47"/>
      <w:bookmarkEnd w:id="48"/>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1.潜在投标人或者其他利害关系人对招标文件有异议的，应当在投标截止时间10日前提出。招标人应当自收到异议之日起3日内作出答复。</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2.投标人或者其他利害关系人对依法必须进行招标的项目的评标结果有异议的，应当在中标候选人公示期间提出。招标人应当自收到异议之日起3日内作出答复；作出答复前，应当暂停招标投标活动。</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3.投标人或者其他利害关系人认为招标投标活动不符合法律、行政法规规定的，可以自知道或者应当知道之日起10日内向有关行政监督部门投诉。投诉应当有明确的请求和必要的证明材料。</w:t>
      </w:r>
    </w:p>
    <w:p>
      <w:pPr>
        <w:pStyle w:val="13"/>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bookmarkStart w:id="49" w:name="_Toc138771891"/>
      <w:bookmarkStart w:id="50" w:name="_Toc3811"/>
      <w:bookmarkStart w:id="51" w:name="_Toc110006424"/>
      <w:r>
        <w:rPr>
          <w:rFonts w:hint="eastAsia" w:ascii="宋体" w:hAnsi="宋体" w:eastAsia="宋体" w:cs="宋体"/>
          <w:b/>
          <w:color w:val="auto"/>
          <w:szCs w:val="21"/>
          <w:highlight w:val="none"/>
        </w:rPr>
        <w:t>（六）招标文件的澄清与修改</w:t>
      </w:r>
      <w:bookmarkEnd w:id="49"/>
      <w:bookmarkEnd w:id="50"/>
      <w:bookmarkEnd w:id="51"/>
      <w:r>
        <w:rPr>
          <w:rFonts w:hint="eastAsia" w:ascii="宋体" w:hAnsi="宋体" w:eastAsia="宋体" w:cs="宋体"/>
          <w:b/>
          <w:color w:val="auto"/>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澄清或者修改的内容可能影响投标文件编制的，招标人或者招标代理机构应当在投标截止时间至少15日前，以书面形式通知所有获取招标文件的潜在投标人；不足15日的，招标人或者招标代理机构应当顺延提交投标文件的截止时间。</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2、招标代理机构必须以书面形式答复投标人要求澄清的问题，并将不包含问题来源的答复书面通知所有购买招标文件的投标人；除书面答复以外的其他澄清方式及澄清内容均无效。</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3、招标文件澄清、答复、修改、补充的内容为招标文件的组成部分。当招标文件与招标文件的答复、澄清、修改、补充通知就同一内容的表述不一致时，以最后发出的书面文件为准。</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4、招标文件的澄清、答复、修改或补充都应该通过本代理机构以法定形式发布，采购单位非通过本机构，不得擅自澄清、答复、修改或补充招标文件。</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二、投标文件的编制</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重要提示：投标文件的形式</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1.投标文件为电子投标文件。</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2.电子投标文件，按“政采云招投标操作指南”及本采购文件要求制作、加密并递交。</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（一）投标文件的组成</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详见第二章《投标人须知》前附表。</w:t>
      </w:r>
    </w:p>
    <w:p>
      <w:pPr>
        <w:pStyle w:val="13"/>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Cs/>
          <w:color w:val="auto"/>
          <w:szCs w:val="21"/>
          <w:highlight w:val="none"/>
        </w:rPr>
      </w:pPr>
      <w:bookmarkStart w:id="52" w:name="_Toc76572275"/>
      <w:r>
        <w:rPr>
          <w:rFonts w:hint="eastAsia" w:ascii="宋体" w:hAnsi="宋体" w:eastAsia="宋体" w:cs="宋体"/>
          <w:b/>
          <w:color w:val="auto"/>
          <w:szCs w:val="21"/>
          <w:highlight w:val="none"/>
        </w:rPr>
        <w:t>（二）投标文件的语言</w:t>
      </w:r>
      <w:bookmarkEnd w:id="52"/>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投标文件以及投标人与招标代理机构就有关投标事宜的所有来往函电，均应以中文汉语书写。除签字、盖章、专用名称等特殊情形外，以中文汉语以外的文字表述的投标文件视同未提供。</w:t>
      </w:r>
    </w:p>
    <w:p>
      <w:pPr>
        <w:pStyle w:val="7"/>
        <w:keepNext w:val="0"/>
        <w:keepLines w:val="0"/>
        <w:pageBreakBefore w:val="0"/>
        <w:widowControl w:val="0"/>
        <w:numPr>
          <w:ilvl w:val="0"/>
          <w:numId w:val="0"/>
        </w:numPr>
        <w:tabs>
          <w:tab w:val="clear" w:pos="454"/>
        </w:tabs>
        <w:kinsoku/>
        <w:wordWrap/>
        <w:overflowPunct/>
        <w:topLinePunct w:val="0"/>
        <w:autoSpaceDE/>
        <w:autoSpaceDN/>
        <w:bidi w:val="0"/>
        <w:adjustRightInd/>
        <w:snapToGrid/>
        <w:spacing w:afterLines="0" w:line="360" w:lineRule="auto"/>
        <w:ind w:left="0" w:leftChars="0" w:firstLine="422" w:firstLineChars="200"/>
        <w:jc w:val="both"/>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（三）投标文件的有效期</w:t>
      </w:r>
    </w:p>
    <w:p>
      <w:pPr>
        <w:pStyle w:val="7"/>
        <w:keepNext w:val="0"/>
        <w:keepLines w:val="0"/>
        <w:pageBreakBefore w:val="0"/>
        <w:widowControl w:val="0"/>
        <w:numPr>
          <w:ilvl w:val="0"/>
          <w:numId w:val="0"/>
        </w:numPr>
        <w:tabs>
          <w:tab w:val="clear" w:pos="454"/>
        </w:tabs>
        <w:kinsoku/>
        <w:wordWrap/>
        <w:overflowPunct/>
        <w:topLinePunct w:val="0"/>
        <w:autoSpaceDE/>
        <w:autoSpaceDN/>
        <w:bidi w:val="0"/>
        <w:adjustRightInd/>
        <w:snapToGrid/>
        <w:spacing w:afterLines="0" w:line="360" w:lineRule="auto"/>
        <w:ind w:left="0" w:lef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自投标截止日起90日历天内投标文件应保持有效。有效期不足的投标文件将被拒绝。</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bookmarkStart w:id="53" w:name="_Toc138771892"/>
      <w:bookmarkStart w:id="54" w:name="_Toc110006425"/>
      <w:bookmarkStart w:id="55" w:name="_Toc76572277"/>
      <w:bookmarkStart w:id="56" w:name="_Toc31414"/>
      <w:r>
        <w:rPr>
          <w:rFonts w:hint="eastAsia" w:ascii="宋体" w:hAnsi="宋体" w:eastAsia="宋体" w:cs="宋体"/>
          <w:b/>
          <w:color w:val="auto"/>
          <w:szCs w:val="21"/>
          <w:highlight w:val="none"/>
        </w:rPr>
        <w:t>（四）投标文件的签署和份数</w:t>
      </w:r>
      <w:bookmarkEnd w:id="53"/>
      <w:bookmarkEnd w:id="54"/>
      <w:bookmarkEnd w:id="55"/>
      <w:bookmarkEnd w:id="56"/>
    </w:p>
    <w:p>
      <w:pPr>
        <w:pStyle w:val="13"/>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本项目实行网上投标，供应商可准备以下投标文件：</w:t>
      </w:r>
    </w:p>
    <w:p>
      <w:pPr>
        <w:pStyle w:val="13"/>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1、电子投标文件</w:t>
      </w:r>
    </w:p>
    <w:p>
      <w:pPr>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rPr>
        <w:t>电子投标文件按政采云平台供应商电子招投标操作指南及本招标文件规定的格式和顺序编制电子投标文件，在投标截止时间前将电子投标文件上传“政采云”平台。</w:t>
      </w:r>
      <w:r>
        <w:rPr>
          <w:rFonts w:hint="eastAsia" w:ascii="宋体" w:hAnsi="宋体" w:eastAsia="宋体" w:cs="宋体"/>
          <w:color w:val="auto"/>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2、投标文件须由投标人在规定位置盖章并由法定代表人或法定代表人的授权委托人签署，投标人应写全称。</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3、投标文件不得涂改，若有修改错漏处，须加盖单位公章或者法定代表人或授权委托人签字或盖章。投标文件因字迹潦草或表达不清所引起的后果由投标人负责。</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（五）投标文件的递交、修改和撤回</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57" w:name="_Toc17781"/>
      <w:bookmarkStart w:id="58" w:name="_Toc138771893"/>
      <w:bookmarkStart w:id="59" w:name="_Toc76572278"/>
      <w:bookmarkStart w:id="60" w:name="_Toc110006426"/>
      <w:r>
        <w:rPr>
          <w:rFonts w:hint="eastAsia" w:ascii="宋体" w:hAnsi="宋体" w:eastAsia="宋体" w:cs="宋体"/>
          <w:color w:val="auto"/>
          <w:szCs w:val="21"/>
          <w:highlight w:val="none"/>
        </w:rPr>
        <w:t>1、供应商在投标截止时间之前，可以对已提交的电子备份投标文件进行修改或撤回，并书面通知招标采购单位；投标截止时间后，供应商不得撤回、修改投标文件。修改后重新递交的电子备份投标文件应当按本采购文件的要求签署、盖章和密封。</w:t>
      </w:r>
      <w:bookmarkEnd w:id="57"/>
      <w:bookmarkEnd w:id="58"/>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61" w:name="_Toc12802"/>
      <w:bookmarkStart w:id="62" w:name="_Toc138771894"/>
      <w:r>
        <w:rPr>
          <w:rFonts w:hint="eastAsia" w:ascii="宋体" w:hAnsi="宋体" w:eastAsia="宋体" w:cs="宋体"/>
          <w:color w:val="auto"/>
          <w:szCs w:val="21"/>
          <w:highlight w:val="none"/>
        </w:rPr>
        <w:t>2、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bookmarkEnd w:id="61"/>
      <w:bookmarkEnd w:id="62"/>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bookmarkStart w:id="63" w:name="_Toc138771895"/>
      <w:bookmarkStart w:id="64" w:name="_Toc24493"/>
      <w:r>
        <w:rPr>
          <w:rFonts w:hint="eastAsia" w:ascii="宋体" w:hAnsi="宋体" w:eastAsia="宋体" w:cs="宋体"/>
          <w:b/>
          <w:color w:val="auto"/>
          <w:szCs w:val="21"/>
          <w:highlight w:val="none"/>
        </w:rPr>
        <w:t>（六）投标无效的情形</w:t>
      </w:r>
      <w:bookmarkEnd w:id="59"/>
      <w:bookmarkEnd w:id="60"/>
      <w:bookmarkEnd w:id="63"/>
      <w:bookmarkEnd w:id="64"/>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65" w:name="_Toc12203"/>
      <w:bookmarkStart w:id="66" w:name="_Toc138771896"/>
      <w:bookmarkStart w:id="67" w:name="_Toc110006427"/>
      <w:r>
        <w:rPr>
          <w:rFonts w:hint="eastAsia" w:ascii="宋体" w:hAnsi="宋体" w:eastAsia="宋体" w:cs="宋体"/>
          <w:color w:val="auto"/>
          <w:szCs w:val="21"/>
          <w:highlight w:val="none"/>
        </w:rPr>
        <w:t>1、▲上传投标文件同一网卡地址、同一IP地址的为无效标。</w:t>
      </w:r>
      <w:bookmarkEnd w:id="65"/>
      <w:bookmarkEnd w:id="66"/>
      <w:bookmarkEnd w:id="67"/>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68" w:name="_Toc23520"/>
      <w:bookmarkStart w:id="69" w:name="_Toc110006428"/>
      <w:bookmarkStart w:id="70" w:name="_Toc138771897"/>
      <w:r>
        <w:rPr>
          <w:rFonts w:hint="eastAsia" w:ascii="宋体" w:hAnsi="宋体" w:eastAsia="宋体" w:cs="宋体"/>
          <w:color w:val="auto"/>
          <w:szCs w:val="21"/>
          <w:highlight w:val="none"/>
        </w:rPr>
        <w:t>2、投标文件出现下列情形之一的，被认为初审不合格的，为无效投标文件，不得进入评标：</w:t>
      </w:r>
      <w:bookmarkEnd w:id="68"/>
      <w:bookmarkEnd w:id="69"/>
      <w:bookmarkEnd w:id="70"/>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71" w:name="_Toc110006429"/>
      <w:bookmarkStart w:id="72" w:name="_Toc19745"/>
      <w:bookmarkStart w:id="73" w:name="_Toc138771898"/>
      <w:r>
        <w:rPr>
          <w:rFonts w:hint="eastAsia" w:ascii="宋体" w:hAnsi="宋体" w:eastAsia="宋体" w:cs="宋体"/>
          <w:color w:val="auto"/>
          <w:szCs w:val="21"/>
          <w:highlight w:val="none"/>
        </w:rPr>
        <w:t>（1）未按照招标文件的要求签署、盖章的；</w:t>
      </w:r>
      <w:bookmarkEnd w:id="71"/>
      <w:bookmarkEnd w:id="72"/>
      <w:bookmarkEnd w:id="73"/>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74" w:name="_Toc138771899"/>
      <w:bookmarkStart w:id="75" w:name="_Toc30830"/>
      <w:bookmarkStart w:id="76" w:name="_Toc110006430"/>
      <w:r>
        <w:rPr>
          <w:rFonts w:hint="eastAsia" w:ascii="宋体" w:hAnsi="宋体" w:eastAsia="宋体" w:cs="宋体"/>
          <w:color w:val="auto"/>
          <w:szCs w:val="21"/>
          <w:highlight w:val="none"/>
        </w:rPr>
        <w:t>（2）不具备招标文件中规定的资格要求的或未提供资格证明文件的；</w:t>
      </w:r>
      <w:bookmarkEnd w:id="74"/>
      <w:bookmarkEnd w:id="75"/>
      <w:bookmarkEnd w:id="76"/>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77" w:name="_Toc110006431"/>
      <w:bookmarkStart w:id="78" w:name="_Toc5963"/>
      <w:bookmarkStart w:id="79" w:name="_Toc138771900"/>
      <w:r>
        <w:rPr>
          <w:rFonts w:hint="eastAsia" w:ascii="宋体" w:hAnsi="宋体" w:eastAsia="宋体" w:cs="宋体"/>
          <w:color w:val="auto"/>
          <w:szCs w:val="21"/>
          <w:highlight w:val="none"/>
        </w:rPr>
        <w:t>（3）不符合法律、法规和招标文件中规定的其他实质性要求的</w:t>
      </w:r>
      <w:bookmarkEnd w:id="77"/>
      <w:bookmarkEnd w:id="78"/>
      <w:r>
        <w:rPr>
          <w:rFonts w:hint="eastAsia" w:ascii="宋体" w:hAnsi="宋体" w:eastAsia="宋体" w:cs="宋体"/>
          <w:color w:val="auto"/>
          <w:szCs w:val="21"/>
          <w:highlight w:val="none"/>
        </w:rPr>
        <w:t>。</w:t>
      </w:r>
      <w:bookmarkEnd w:id="79"/>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80" w:name="_Toc110006432"/>
      <w:bookmarkStart w:id="81" w:name="_Toc138771901"/>
      <w:bookmarkStart w:id="82" w:name="_Toc16024"/>
      <w:r>
        <w:rPr>
          <w:rFonts w:hint="eastAsia" w:ascii="宋体" w:hAnsi="宋体" w:eastAsia="宋体" w:cs="宋体"/>
          <w:color w:val="auto"/>
          <w:szCs w:val="21"/>
          <w:highlight w:val="none"/>
        </w:rPr>
        <w:t>3、投标文件有下述情形之一的，属于重大偏差，视为未能对招标文件做出实质性的响应，作无效标处理。</w:t>
      </w:r>
      <w:bookmarkEnd w:id="80"/>
      <w:bookmarkEnd w:id="81"/>
      <w:bookmarkEnd w:id="82"/>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83" w:name="_Toc110006433"/>
      <w:bookmarkStart w:id="84" w:name="_Toc138771902"/>
      <w:bookmarkStart w:id="85" w:name="_Toc19059"/>
      <w:r>
        <w:rPr>
          <w:rFonts w:hint="eastAsia" w:ascii="宋体" w:hAnsi="宋体" w:eastAsia="宋体" w:cs="宋体"/>
          <w:color w:val="auto"/>
          <w:szCs w:val="21"/>
          <w:highlight w:val="none"/>
        </w:rPr>
        <w:t>（1）带“▲”的款项不能满足招标文件要求的；</w:t>
      </w:r>
      <w:bookmarkEnd w:id="83"/>
      <w:bookmarkEnd w:id="84"/>
      <w:bookmarkEnd w:id="85"/>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86" w:name="_Toc110006434"/>
      <w:bookmarkStart w:id="87" w:name="_Toc138771903"/>
      <w:bookmarkStart w:id="88" w:name="_Toc14669"/>
      <w:r>
        <w:rPr>
          <w:rFonts w:hint="eastAsia" w:ascii="宋体" w:hAnsi="宋体" w:eastAsia="宋体" w:cs="宋体"/>
          <w:color w:val="auto"/>
          <w:szCs w:val="21"/>
          <w:highlight w:val="none"/>
        </w:rPr>
        <w:t>（2）投标文件附有招标人不能接受的条件；</w:t>
      </w:r>
      <w:bookmarkEnd w:id="86"/>
      <w:bookmarkEnd w:id="87"/>
      <w:bookmarkEnd w:id="88"/>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89" w:name="_Toc110006435"/>
      <w:bookmarkStart w:id="90" w:name="_Toc138771904"/>
      <w:bookmarkStart w:id="91" w:name="_Toc11888"/>
      <w:r>
        <w:rPr>
          <w:rFonts w:hint="eastAsia" w:ascii="宋体" w:hAnsi="宋体" w:eastAsia="宋体" w:cs="宋体"/>
          <w:color w:val="auto"/>
          <w:szCs w:val="21"/>
          <w:highlight w:val="none"/>
        </w:rPr>
        <w:t>（3）经评标委员会评审服务方案不可行的；</w:t>
      </w:r>
      <w:bookmarkEnd w:id="89"/>
      <w:bookmarkEnd w:id="90"/>
      <w:bookmarkEnd w:id="91"/>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bookmarkStart w:id="92" w:name="_Toc138771905"/>
      <w:bookmarkStart w:id="93" w:name="_Toc110006436"/>
      <w:bookmarkStart w:id="94" w:name="_Toc24349"/>
      <w:r>
        <w:rPr>
          <w:rFonts w:hint="eastAsia" w:ascii="宋体" w:hAnsi="宋体" w:eastAsia="宋体" w:cs="宋体"/>
          <w:color w:val="auto"/>
          <w:szCs w:val="21"/>
          <w:highlight w:val="none"/>
        </w:rPr>
        <w:t>（4）未按招标文件要求形式进行报价的。</w:t>
      </w:r>
      <w:bookmarkEnd w:id="92"/>
      <w:bookmarkEnd w:id="93"/>
      <w:bookmarkEnd w:id="94"/>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outlineLvl w:val="1"/>
        <w:rPr>
          <w:rFonts w:hint="eastAsia" w:ascii="宋体" w:hAnsi="宋体" w:eastAsia="宋体" w:cs="宋体"/>
          <w:b/>
          <w:color w:val="auto"/>
          <w:szCs w:val="21"/>
          <w:highlight w:val="none"/>
        </w:rPr>
      </w:pPr>
      <w:bookmarkStart w:id="95" w:name="_Toc23879"/>
      <w:bookmarkStart w:id="96" w:name="_Toc110006437"/>
      <w:bookmarkStart w:id="97" w:name="_Toc138771906"/>
      <w:r>
        <w:rPr>
          <w:rFonts w:hint="eastAsia" w:ascii="宋体" w:hAnsi="宋体" w:eastAsia="宋体" w:cs="宋体"/>
          <w:b/>
          <w:color w:val="auto"/>
          <w:szCs w:val="21"/>
          <w:highlight w:val="none"/>
        </w:rPr>
        <w:t>三、开标</w:t>
      </w:r>
      <w:bookmarkEnd w:id="95"/>
      <w:bookmarkEnd w:id="96"/>
      <w:bookmarkEnd w:id="97"/>
    </w:p>
    <w:p>
      <w:pPr>
        <w:pStyle w:val="13"/>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（一）开标准备</w:t>
      </w:r>
    </w:p>
    <w:p>
      <w:pPr>
        <w:pStyle w:val="13"/>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招标代理机构将在规定的时间和地点进行开标，投标人的法定代表人或其授权代表可参加开标会并接受核验、签到，无关人员不得进入开标现场。</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（二）开标程序：</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1）开标时，招标代理机构在政采云平台公款竞争性存放—招标项目管理—开标评标管理，点击【开标评标】按钮，进行开标；</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2）开标时，招标代理机构将通过网上开标系统公布开标结果，公布内容包括投标人名称、投标报价及招标文件规定的其他内容。</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3）公布评审结果。</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4）开标会议结束。</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注：1、投标人如未在线参加开标的，视同认可开标结果，事后不得对开标结果提出异议。同时，投标人因未在线参加开标而导致电子加密投标文件无法按时解密等一切后果由投标人自行承担。</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2、开标过程由招标代理机构负责记录，由参加开标的投标人代表和相关工作人员签字确认后随采购文件一并存档。</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3、投标人代表对开标过程和开标记录有疑义，以及认为采购人或招标代理机构相关工作人员有需要回避的情形的，应当场提出询问或者回避申请。</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outlineLvl w:val="1"/>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四、评标</w:t>
      </w:r>
    </w:p>
    <w:p>
      <w:pPr>
        <w:pStyle w:val="13"/>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（一）组建评标委员会</w:t>
      </w:r>
    </w:p>
    <w:p>
      <w:pPr>
        <w:pStyle w:val="13"/>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评标委员会由</w:t>
      </w:r>
      <w:r>
        <w:rPr>
          <w:rFonts w:hint="eastAsia" w:ascii="宋体" w:hAnsi="宋体" w:eastAsia="宋体" w:cs="宋体"/>
          <w:color w:val="auto"/>
          <w:szCs w:val="21"/>
          <w:highlight w:val="none"/>
          <w:u w:val="single"/>
        </w:rPr>
        <w:t>5人</w:t>
      </w:r>
      <w:r>
        <w:rPr>
          <w:rFonts w:hint="eastAsia" w:ascii="宋体" w:hAnsi="宋体" w:eastAsia="宋体" w:cs="宋体"/>
          <w:color w:val="auto"/>
          <w:szCs w:val="21"/>
          <w:highlight w:val="none"/>
        </w:rPr>
        <w:t>（含）以上奇数的人员组成，由招标人代表和技术或经济专家组成，其中专家成员</w:t>
      </w:r>
      <w:r>
        <w:rPr>
          <w:rFonts w:hint="eastAsia" w:ascii="宋体" w:hAnsi="宋体" w:eastAsia="宋体" w:cs="宋体"/>
          <w:color w:val="auto"/>
          <w:szCs w:val="21"/>
          <w:highlight w:val="none"/>
          <w:u w:val="single"/>
        </w:rPr>
        <w:t>≥4</w:t>
      </w:r>
      <w:r>
        <w:rPr>
          <w:rFonts w:hint="eastAsia" w:ascii="宋体" w:hAnsi="宋体" w:eastAsia="宋体" w:cs="宋体"/>
          <w:color w:val="auto"/>
          <w:szCs w:val="21"/>
          <w:highlight w:val="none"/>
        </w:rPr>
        <w:t>人，招标人代表</w:t>
      </w:r>
      <w:r>
        <w:rPr>
          <w:rFonts w:hint="eastAsia" w:ascii="宋体" w:hAnsi="宋体" w:eastAsia="宋体" w:cs="宋体"/>
          <w:color w:val="auto"/>
          <w:szCs w:val="21"/>
          <w:highlight w:val="none"/>
          <w:u w:val="single"/>
        </w:rPr>
        <w:t>≤1</w:t>
      </w:r>
      <w:r>
        <w:rPr>
          <w:rFonts w:hint="eastAsia" w:ascii="宋体" w:hAnsi="宋体" w:eastAsia="宋体" w:cs="宋体"/>
          <w:color w:val="auto"/>
          <w:szCs w:val="21"/>
          <w:highlight w:val="none"/>
        </w:rPr>
        <w:t>人。</w:t>
      </w:r>
    </w:p>
    <w:p>
      <w:pPr>
        <w:pStyle w:val="13"/>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w:t>
      </w:r>
      <w:r>
        <w:rPr>
          <w:rFonts w:hint="eastAsia" w:ascii="宋体" w:hAnsi="宋体" w:eastAsia="宋体" w:cs="宋体"/>
          <w:b/>
          <w:bCs/>
          <w:color w:val="auto"/>
          <w:szCs w:val="21"/>
          <w:highlight w:val="none"/>
        </w:rPr>
        <w:t>评标程序</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bCs/>
          <w:color w:val="auto"/>
          <w:szCs w:val="21"/>
          <w:highlight w:val="none"/>
        </w:rPr>
        <w:t>招标代理机构</w:t>
      </w:r>
      <w:r>
        <w:rPr>
          <w:rFonts w:hint="eastAsia" w:ascii="宋体" w:hAnsi="宋体" w:eastAsia="宋体" w:cs="宋体"/>
          <w:color w:val="auto"/>
          <w:szCs w:val="21"/>
          <w:highlight w:val="none"/>
        </w:rPr>
        <w:t>工作人员协助评标委员会对投标人的资格和投标文件的完整性、合法性等进行审查。</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2、评标委员会审查投标文件的实质性内容是否符合招标文件的实质性要求。</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3、评标委员会将根据投标人的投标文件进行审查、核对,如有疑问,将对投标人进行询标,投标人要向评标委员会澄清有关问题,并最终以书面形式进行答复。</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4、评标委员会完成评标后,评标委员会按评标原则推荐中标候选人同时起草评标报告。</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5、全权代表未到场或者拒绝澄清或者澄清的内容改变了投标文件的实质性内容的，评标委员会有权对该投标文件作出不利于投标人的评判。</w:t>
      </w:r>
    </w:p>
    <w:p>
      <w:pPr>
        <w:pStyle w:val="13"/>
        <w:keepNext w:val="0"/>
        <w:keepLines w:val="0"/>
        <w:pageBreakBefore w:val="0"/>
        <w:tabs>
          <w:tab w:val="left" w:pos="630"/>
        </w:tabs>
        <w:kinsoku/>
        <w:wordWrap/>
        <w:overflowPunct/>
        <w:topLinePunct w:val="0"/>
        <w:autoSpaceDE/>
        <w:autoSpaceDN/>
        <w:bidi w:val="0"/>
        <w:adjustRightInd/>
        <w:snapToGrid/>
        <w:spacing w:line="360" w:lineRule="auto"/>
        <w:ind w:left="0" w:leftChars="0" w:firstLine="422" w:firstLineChars="200"/>
        <w:textAlignment w:val="auto"/>
        <w:outlineLvl w:val="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（三）评标原则</w:t>
      </w:r>
    </w:p>
    <w:p>
      <w:pPr>
        <w:pStyle w:val="13"/>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outlineLvl w:val="1"/>
        <w:rPr>
          <w:rFonts w:hint="eastAsia" w:ascii="宋体" w:hAnsi="宋体" w:eastAsia="宋体" w:cs="宋体"/>
          <w:b/>
          <w:color w:val="auto"/>
          <w:szCs w:val="21"/>
          <w:highlight w:val="none"/>
        </w:rPr>
      </w:pPr>
      <w:bookmarkStart w:id="98" w:name="_Toc110006438"/>
      <w:bookmarkStart w:id="99" w:name="_Toc138771907"/>
      <w:bookmarkStart w:id="100" w:name="_Toc12521"/>
      <w:bookmarkStart w:id="101" w:name="_Toc76572279"/>
      <w:r>
        <w:rPr>
          <w:rFonts w:hint="eastAsia" w:ascii="宋体" w:hAnsi="宋体" w:eastAsia="宋体" w:cs="宋体"/>
          <w:b/>
          <w:color w:val="auto"/>
          <w:szCs w:val="21"/>
          <w:highlight w:val="none"/>
        </w:rPr>
        <w:t>五、定标</w:t>
      </w:r>
      <w:bookmarkEnd w:id="98"/>
      <w:bookmarkEnd w:id="99"/>
      <w:bookmarkEnd w:id="100"/>
      <w:bookmarkEnd w:id="101"/>
    </w:p>
    <w:p>
      <w:pPr>
        <w:pStyle w:val="13"/>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1、本项目由评标委员会根据第三章《评标办法与评分标准》规定推荐中标人，评标结果由招标人代表签字确认。</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结果经招标人确认后，招标代理机构将于浙江政府采购网、宁波政府采购网、宁波市公共资源交易电子服务系统（江北）发布结果公示，并向中标方签发书面《中标通知书》。中标方自行与招标人联系协议签订事宜。</w:t>
      </w:r>
    </w:p>
    <w:p>
      <w:pPr>
        <w:pStyle w:val="35"/>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auto"/>
        <w:outlineLvl w:val="9"/>
        <w:rPr>
          <w:rFonts w:hint="eastAsia" w:ascii="宋体" w:hAnsi="宋体" w:eastAsia="宋体" w:cs="宋体"/>
          <w:color w:val="auto"/>
          <w:highlight w:val="none"/>
        </w:rPr>
      </w:pPr>
    </w:p>
    <w:p>
      <w:pPr>
        <w:pStyle w:val="35"/>
        <w:rPr>
          <w:rFonts w:ascii="宋体" w:hAnsi="宋体"/>
          <w:color w:val="auto"/>
          <w:highlight w:val="none"/>
        </w:rPr>
      </w:pPr>
    </w:p>
    <w:p>
      <w:pPr>
        <w:snapToGrid w:val="0"/>
        <w:spacing w:line="360" w:lineRule="auto"/>
        <w:ind w:firstLine="420" w:firstLineChars="200"/>
        <w:jc w:val="left"/>
        <w:rPr>
          <w:rFonts w:ascii="宋体" w:hAnsi="宋体"/>
          <w:color w:val="auto"/>
          <w:highlight w:val="none"/>
        </w:rPr>
      </w:pPr>
      <w:r>
        <w:rPr>
          <w:rFonts w:ascii="宋体" w:hAnsi="宋体"/>
          <w:color w:val="auto"/>
          <w:highlight w:val="none"/>
        </w:rPr>
        <w:br w:type="page"/>
      </w:r>
    </w:p>
    <w:bookmarkEnd w:id="1"/>
    <w:p>
      <w:pPr>
        <w:pStyle w:val="3"/>
        <w:spacing w:before="0" w:after="0" w:line="360" w:lineRule="auto"/>
        <w:jc w:val="center"/>
        <w:rPr>
          <w:rFonts w:ascii="宋体" w:hAnsi="宋体"/>
          <w:color w:val="auto"/>
          <w:sz w:val="28"/>
          <w:szCs w:val="32"/>
          <w:highlight w:val="none"/>
        </w:rPr>
      </w:pPr>
      <w:bookmarkStart w:id="102" w:name="_Toc76572280"/>
      <w:bookmarkStart w:id="103" w:name="_Toc138771908"/>
      <w:bookmarkStart w:id="104" w:name="_Toc137008683"/>
      <w:bookmarkStart w:id="105" w:name="_Toc132730035"/>
      <w:r>
        <w:rPr>
          <w:rFonts w:hint="eastAsia" w:ascii="宋体" w:hAnsi="宋体"/>
          <w:color w:val="auto"/>
          <w:sz w:val="28"/>
          <w:szCs w:val="32"/>
          <w:highlight w:val="none"/>
        </w:rPr>
        <w:t>第三章  评标办法及评分标准</w:t>
      </w:r>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13" w:firstLineChars="196"/>
        <w:textAlignment w:val="auto"/>
        <w:outlineLvl w:val="1"/>
        <w:rPr>
          <w:rFonts w:ascii="宋体" w:hAnsi="宋体"/>
          <w:b/>
          <w:color w:val="auto"/>
          <w:szCs w:val="21"/>
          <w:highlight w:val="none"/>
        </w:rPr>
      </w:pPr>
      <w:r>
        <w:rPr>
          <w:rFonts w:hint="eastAsia" w:ascii="宋体" w:hAnsi="宋体"/>
          <w:b/>
          <w:color w:val="auto"/>
          <w:szCs w:val="21"/>
          <w:highlight w:val="none"/>
        </w:rPr>
        <w:t>一、总则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highlight w:val="none"/>
        </w:rPr>
      </w:pPr>
      <w:bookmarkStart w:id="106" w:name="_Hlk118825523"/>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本次评标采用综合评分法，总分为100分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确定1家单位。合格投标人的评标得分为各项目汇总得分，按评标得分由高到低顺序排列</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推荐得分最高的为中标候选人</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若评分</w:t>
      </w:r>
      <w:r>
        <w:rPr>
          <w:rFonts w:hint="eastAsia" w:ascii="宋体" w:hAnsi="宋体" w:eastAsia="宋体" w:cs="宋体"/>
          <w:color w:val="auto"/>
          <w:sz w:val="21"/>
          <w:szCs w:val="21"/>
          <w:highlight w:val="none"/>
        </w:rPr>
        <w:t>得分相同的，则抽签决定推荐</w:t>
      </w:r>
      <w:r>
        <w:rPr>
          <w:rFonts w:hint="eastAsia" w:ascii="宋体" w:hAnsi="宋体" w:cs="宋体"/>
          <w:color w:val="auto"/>
          <w:sz w:val="21"/>
          <w:szCs w:val="21"/>
          <w:highlight w:val="none"/>
          <w:lang w:val="en-US" w:eastAsia="zh-CN"/>
        </w:rPr>
        <w:t>中标候选人</w:t>
      </w:r>
      <w:r>
        <w:rPr>
          <w:rFonts w:hint="eastAsia" w:ascii="宋体" w:hAnsi="宋体" w:eastAsia="宋体" w:cs="宋体"/>
          <w:color w:val="auto"/>
          <w:sz w:val="21"/>
          <w:szCs w:val="21"/>
          <w:highlight w:val="none"/>
        </w:rPr>
        <w:t>，先抽中的排名在前。</w:t>
      </w:r>
    </w:p>
    <w:bookmarkEnd w:id="106"/>
    <w:p>
      <w:pPr>
        <w:spacing w:line="360" w:lineRule="auto"/>
        <w:ind w:firstLine="420" w:firstLineChars="200"/>
        <w:rPr>
          <w:rFonts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若有效投标单位数量少于3家时，重新组织招标。</w:t>
      </w:r>
    </w:p>
    <w:p>
      <w:pPr>
        <w:spacing w:line="360" w:lineRule="auto"/>
        <w:ind w:firstLine="420" w:firstLineChars="200"/>
        <w:rPr>
          <w:rFonts w:ascii="宋体" w:hAnsi="宋体" w:cs="仿宋_GB2312"/>
          <w:color w:val="auto"/>
          <w:szCs w:val="21"/>
          <w:highlight w:val="none"/>
        </w:rPr>
      </w:pPr>
      <w:r>
        <w:rPr>
          <w:rFonts w:hint="eastAsia" w:ascii="宋体" w:hAnsi="宋体" w:cs="仿宋_GB2312"/>
          <w:color w:val="auto"/>
          <w:szCs w:val="21"/>
          <w:highlight w:val="none"/>
          <w:lang w:val="en-US" w:eastAsia="zh-CN"/>
        </w:rPr>
        <w:t>3.</w:t>
      </w:r>
      <w:r>
        <w:rPr>
          <w:rFonts w:hint="eastAsia" w:ascii="宋体" w:hAnsi="宋体" w:cs="仿宋_GB2312"/>
          <w:color w:val="auto"/>
          <w:szCs w:val="21"/>
          <w:highlight w:val="none"/>
        </w:rPr>
        <w:t>评分过程中采用四舍五入法，并保留小数2位。</w:t>
      </w:r>
    </w:p>
    <w:p>
      <w:pPr>
        <w:keepNext w:val="0"/>
        <w:keepLines w:val="0"/>
        <w:pageBreakBefore w:val="0"/>
        <w:widowControl w:val="0"/>
        <w:kinsoku/>
        <w:wordWrap/>
        <w:overflowPunct/>
        <w:topLinePunct w:val="0"/>
        <w:autoSpaceDE/>
        <w:autoSpaceDN/>
        <w:bidi w:val="0"/>
        <w:adjustRightInd/>
        <w:snapToGrid/>
        <w:spacing w:line="360" w:lineRule="auto"/>
        <w:ind w:firstLine="413" w:firstLineChars="196"/>
        <w:textAlignment w:val="auto"/>
        <w:outlineLvl w:val="1"/>
        <w:rPr>
          <w:rFonts w:hint="eastAsia" w:ascii="宋体" w:hAnsi="宋体" w:cs="Times New Roman"/>
          <w:b/>
          <w:color w:val="auto"/>
          <w:szCs w:val="21"/>
          <w:highlight w:val="none"/>
        </w:rPr>
      </w:pPr>
      <w:r>
        <w:rPr>
          <w:rFonts w:hint="eastAsia" w:ascii="宋体" w:hAnsi="宋体" w:cs="Times New Roman"/>
          <w:b/>
          <w:color w:val="auto"/>
          <w:szCs w:val="21"/>
          <w:highlight w:val="none"/>
        </w:rPr>
        <w:t>二、分值的计算</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对评标委员会的综合打分，采用记名方式，取所有评委有效评分的算术平均数作为最终评定分</w:t>
      </w:r>
      <w:r>
        <w:rPr>
          <w:rFonts w:hint="eastAsia" w:ascii="宋体" w:hAnsi="宋体"/>
          <w:color w:val="auto"/>
          <w:szCs w:val="21"/>
          <w:highlight w:val="none"/>
        </w:rPr>
        <w:t>，</w:t>
      </w:r>
      <w:r>
        <w:rPr>
          <w:rFonts w:hint="eastAsia" w:ascii="宋体" w:hAnsi="宋体"/>
          <w:bCs/>
          <w:color w:val="auto"/>
          <w:szCs w:val="21"/>
          <w:highlight w:val="none"/>
        </w:rPr>
        <w:t>分值采用四舍五入法，并保留小数2位。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13" w:firstLineChars="196"/>
        <w:textAlignment w:val="auto"/>
        <w:outlineLvl w:val="1"/>
        <w:rPr>
          <w:rFonts w:hint="eastAsia" w:ascii="宋体" w:hAnsi="宋体" w:cs="Times New Roman"/>
          <w:b/>
          <w:color w:val="auto"/>
          <w:szCs w:val="21"/>
          <w:highlight w:val="none"/>
        </w:rPr>
      </w:pPr>
      <w:r>
        <w:rPr>
          <w:rFonts w:hint="eastAsia" w:ascii="宋体" w:hAnsi="宋体" w:eastAsia="宋体" w:cs="Times New Roman"/>
          <w:b/>
          <w:color w:val="auto"/>
          <w:kern w:val="2"/>
          <w:sz w:val="21"/>
          <w:szCs w:val="21"/>
          <w:highlight w:val="none"/>
          <w:lang w:val="en-US" w:eastAsia="zh-CN" w:bidi="ar-SA"/>
        </w:rPr>
        <w:t>三、</w:t>
      </w:r>
      <w:r>
        <w:rPr>
          <w:rFonts w:hint="eastAsia" w:ascii="宋体" w:hAnsi="宋体" w:cs="Times New Roman"/>
          <w:b/>
          <w:color w:val="auto"/>
          <w:szCs w:val="21"/>
          <w:highlight w:val="none"/>
        </w:rPr>
        <w:t>评标内容及评分标准</w:t>
      </w:r>
    </w:p>
    <w:tbl>
      <w:tblPr>
        <w:tblStyle w:val="26"/>
        <w:tblW w:w="50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536"/>
        <w:gridCol w:w="6166"/>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评审</w:t>
            </w:r>
            <w:r>
              <w:rPr>
                <w:rFonts w:hint="eastAsia" w:ascii="宋体" w:hAnsi="宋体" w:eastAsia="宋体" w:cs="宋体"/>
                <w:b/>
                <w:bCs/>
                <w:color w:val="auto"/>
                <w:szCs w:val="21"/>
                <w:highlight w:val="none"/>
              </w:rPr>
              <w:t>项目</w:t>
            </w: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指标</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评审内容及评分细则</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利率水平(1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p>
        </w:tc>
        <w:tc>
          <w:tcPr>
            <w:tcW w:w="80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存款利率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14分</w:t>
            </w:r>
            <w:r>
              <w:rPr>
                <w:rFonts w:hint="eastAsia" w:ascii="宋体" w:hAnsi="宋体" w:eastAsia="宋体" w:cs="宋体"/>
                <w:color w:val="auto"/>
                <w:highlight w:val="none"/>
                <w:lang w:eastAsia="zh-CN"/>
              </w:rPr>
              <w:t>）</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活期存款利率</w:t>
            </w: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满足</w:t>
            </w:r>
            <w:r>
              <w:rPr>
                <w:rFonts w:hint="eastAsia" w:ascii="宋体" w:hAnsi="宋体" w:eastAsia="宋体" w:cs="宋体"/>
                <w:color w:val="auto"/>
                <w:highlight w:val="none"/>
              </w:rPr>
              <w:t>央行基准利率</w:t>
            </w:r>
            <w:r>
              <w:rPr>
                <w:rFonts w:hint="eastAsia" w:ascii="宋体" w:hAnsi="宋体" w:eastAsia="宋体" w:cs="宋体"/>
                <w:color w:val="auto"/>
                <w:highlight w:val="none"/>
                <w:lang w:eastAsia="zh-CN"/>
              </w:rPr>
              <w:t>的，</w:t>
            </w:r>
            <w:r>
              <w:rPr>
                <w:rFonts w:hint="eastAsia" w:ascii="宋体" w:hAnsi="宋体" w:eastAsia="宋体" w:cs="宋体"/>
                <w:color w:val="auto"/>
                <w:highlight w:val="none"/>
              </w:rPr>
              <w:t>得</w:t>
            </w:r>
            <w:r>
              <w:rPr>
                <w:rFonts w:hint="eastAsia" w:ascii="宋体" w:hAnsi="宋体" w:cs="宋体"/>
                <w:color w:val="auto"/>
                <w:highlight w:val="none"/>
                <w:lang w:val="en-US" w:eastAsia="zh-CN"/>
              </w:rPr>
              <w:t>3</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协定存款利率</w:t>
            </w:r>
            <w:r>
              <w:rPr>
                <w:rFonts w:hint="eastAsia" w:ascii="宋体" w:hAnsi="宋体" w:eastAsia="宋体" w:cs="宋体"/>
                <w:color w:val="auto"/>
                <w:highlight w:val="none"/>
                <w:lang w:eastAsia="zh-CN"/>
              </w:rPr>
              <w:t>：在</w:t>
            </w:r>
            <w:r>
              <w:rPr>
                <w:rFonts w:hint="eastAsia" w:ascii="宋体" w:hAnsi="宋体" w:eastAsia="宋体" w:cs="宋体"/>
                <w:color w:val="auto"/>
                <w:highlight w:val="none"/>
              </w:rPr>
              <w:t>满足央行基准利率加点5BP的得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分,此后每加点5BP加2分,最高得</w:t>
            </w:r>
            <w:r>
              <w:rPr>
                <w:rFonts w:hint="eastAsia" w:ascii="宋体" w:hAnsi="宋体" w:cs="宋体"/>
                <w:color w:val="auto"/>
                <w:highlight w:val="none"/>
                <w:lang w:val="en-US" w:eastAsia="zh-CN"/>
              </w:rPr>
              <w:t>4</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bookmarkStart w:id="124" w:name="_GoBack"/>
            <w:bookmarkEnd w:id="124"/>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七天通知存款利率</w:t>
            </w:r>
            <w:r>
              <w:rPr>
                <w:rFonts w:hint="eastAsia" w:ascii="宋体" w:hAnsi="宋体" w:eastAsia="宋体" w:cs="宋体"/>
                <w:color w:val="auto"/>
                <w:highlight w:val="none"/>
                <w:lang w:eastAsia="zh-CN"/>
              </w:rPr>
              <w:t>：在</w:t>
            </w:r>
            <w:r>
              <w:rPr>
                <w:rFonts w:hint="eastAsia" w:ascii="宋体" w:hAnsi="宋体" w:eastAsia="宋体" w:cs="宋体"/>
                <w:color w:val="auto"/>
                <w:highlight w:val="none"/>
              </w:rPr>
              <w:t>满足央行基准利率加点5BP的得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分,此后每加点5BP加2分,最高得</w:t>
            </w:r>
            <w:r>
              <w:rPr>
                <w:rFonts w:hint="eastAsia" w:ascii="宋体" w:hAnsi="宋体" w:cs="宋体"/>
                <w:color w:val="auto"/>
                <w:highlight w:val="none"/>
                <w:lang w:val="en-US" w:eastAsia="zh-CN"/>
              </w:rPr>
              <w:t>4</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定期存款利率(一年期及以内)</w:t>
            </w:r>
            <w:r>
              <w:rPr>
                <w:rFonts w:hint="eastAsia" w:ascii="宋体" w:hAnsi="宋体" w:eastAsia="宋体" w:cs="宋体"/>
                <w:color w:val="auto"/>
                <w:highlight w:val="none"/>
                <w:lang w:eastAsia="zh-CN"/>
              </w:rPr>
              <w:t>：在</w:t>
            </w:r>
            <w:r>
              <w:rPr>
                <w:rFonts w:hint="eastAsia" w:ascii="宋体" w:hAnsi="宋体" w:eastAsia="宋体" w:cs="宋体"/>
                <w:color w:val="auto"/>
                <w:highlight w:val="none"/>
              </w:rPr>
              <w:t>满足央行基准利率加点</w:t>
            </w:r>
            <w:r>
              <w:rPr>
                <w:rFonts w:hint="eastAsia" w:ascii="宋体" w:hAnsi="宋体" w:cs="宋体"/>
                <w:color w:val="auto"/>
                <w:highlight w:val="none"/>
                <w:lang w:val="en-US" w:eastAsia="zh-CN"/>
              </w:rPr>
              <w:t>1</w:t>
            </w:r>
            <w:r>
              <w:rPr>
                <w:rFonts w:hint="eastAsia" w:ascii="宋体" w:hAnsi="宋体" w:eastAsia="宋体" w:cs="宋体"/>
                <w:color w:val="auto"/>
                <w:highlight w:val="none"/>
              </w:rPr>
              <w:t>0BP的得</w:t>
            </w:r>
            <w:r>
              <w:rPr>
                <w:rFonts w:hint="eastAsia" w:ascii="宋体" w:hAnsi="宋体" w:cs="宋体"/>
                <w:color w:val="auto"/>
                <w:highlight w:val="none"/>
                <w:lang w:val="en-US" w:eastAsia="zh-CN"/>
              </w:rPr>
              <w:t>1</w:t>
            </w:r>
            <w:r>
              <w:rPr>
                <w:rFonts w:hint="eastAsia" w:ascii="宋体" w:hAnsi="宋体" w:eastAsia="宋体" w:cs="宋体"/>
                <w:color w:val="auto"/>
                <w:highlight w:val="none"/>
              </w:rPr>
              <w:t>分,此后每加点10BP加</w:t>
            </w:r>
            <w:r>
              <w:rPr>
                <w:rFonts w:hint="eastAsia" w:ascii="宋体" w:hAnsi="宋体" w:cs="宋体"/>
                <w:color w:val="auto"/>
                <w:highlight w:val="none"/>
                <w:lang w:val="en-US" w:eastAsia="zh-CN"/>
              </w:rPr>
              <w:t>1</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最</w:t>
            </w:r>
            <w:r>
              <w:rPr>
                <w:rFonts w:hint="eastAsia" w:ascii="宋体" w:hAnsi="宋体" w:eastAsia="宋体" w:cs="宋体"/>
                <w:color w:val="auto"/>
                <w:highlight w:val="none"/>
                <w:lang w:val="en-US" w:eastAsia="zh-CN"/>
              </w:rPr>
              <w:t>高得</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分。</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经营状况</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20分</w:t>
            </w:r>
            <w:r>
              <w:rPr>
                <w:rFonts w:hint="eastAsia" w:ascii="宋体" w:hAnsi="宋体" w:eastAsia="宋体" w:cs="宋体"/>
                <w:color w:val="auto"/>
                <w:highlight w:val="none"/>
                <w:lang w:eastAsia="zh-CN"/>
              </w:rPr>
              <w:t>）</w:t>
            </w: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资本充足率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5分</w:t>
            </w:r>
            <w:r>
              <w:rPr>
                <w:rFonts w:hint="eastAsia" w:ascii="宋体" w:hAnsi="宋体" w:eastAsia="宋体" w:cs="宋体"/>
                <w:color w:val="auto"/>
                <w:highlight w:val="none"/>
                <w:lang w:eastAsia="zh-CN"/>
              </w:rPr>
              <w:t>）</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达到1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含</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分,每增加1%加</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分,不足部分不计分,满分5分。以投标人总行2022年末数据为准。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投标文件需提供总行2022年年报证明页,不提供证明材料不得分。</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不良贷款率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5分</w:t>
            </w:r>
            <w:r>
              <w:rPr>
                <w:rFonts w:hint="eastAsia" w:ascii="宋体" w:hAnsi="宋体" w:eastAsia="宋体" w:cs="宋体"/>
                <w:color w:val="auto"/>
                <w:highlight w:val="none"/>
                <w:lang w:eastAsia="zh-CN"/>
              </w:rPr>
              <w:t>）</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1.5%</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含</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以下得5分,每增加0.1%扣1分,不足部分不计分,扣完为止。以投标人总行2022年末数据为准。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投标文件需</w:t>
            </w:r>
            <w:r>
              <w:rPr>
                <w:rFonts w:hint="eastAsia" w:ascii="宋体" w:hAnsi="宋体" w:eastAsia="宋体" w:cs="宋体"/>
                <w:color w:val="auto"/>
                <w:highlight w:val="none"/>
                <w:lang w:val="en-US" w:eastAsia="zh-CN"/>
              </w:rPr>
              <w:t>提</w:t>
            </w:r>
            <w:r>
              <w:rPr>
                <w:rFonts w:hint="eastAsia" w:ascii="宋体" w:hAnsi="宋体" w:eastAsia="宋体" w:cs="宋体"/>
                <w:color w:val="auto"/>
                <w:highlight w:val="none"/>
              </w:rPr>
              <w:t>供总行2022年年报证明</w:t>
            </w:r>
            <w:r>
              <w:rPr>
                <w:rFonts w:hint="eastAsia" w:ascii="宋体" w:hAnsi="宋体" w:eastAsia="宋体" w:cs="宋体"/>
                <w:color w:val="auto"/>
                <w:highlight w:val="none"/>
                <w:lang w:val="en-US" w:eastAsia="zh-CN"/>
              </w:rPr>
              <w:t>页</w:t>
            </w:r>
            <w:r>
              <w:rPr>
                <w:rFonts w:hint="eastAsia" w:ascii="宋体" w:hAnsi="宋体" w:eastAsia="宋体" w:cs="宋体"/>
                <w:color w:val="auto"/>
                <w:highlight w:val="none"/>
              </w:rPr>
              <w:t>,不提供证明材料不得分。</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拨备覆盖率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5分</w:t>
            </w:r>
            <w:r>
              <w:rPr>
                <w:rFonts w:hint="eastAsia" w:ascii="宋体" w:hAnsi="宋体" w:eastAsia="宋体" w:cs="宋体"/>
                <w:color w:val="auto"/>
                <w:highlight w:val="none"/>
                <w:lang w:eastAsia="zh-CN"/>
              </w:rPr>
              <w:t>）</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达到2</w:t>
            </w:r>
            <w:r>
              <w:rPr>
                <w:rFonts w:hint="eastAsia" w:ascii="宋体" w:hAnsi="宋体" w:eastAsia="宋体" w:cs="宋体"/>
                <w:color w:val="auto"/>
                <w:highlight w:val="none"/>
                <w:lang w:val="en-US" w:eastAsia="zh-CN"/>
              </w:rPr>
              <w:t>00</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含</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的得</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分,每减少10%扣1分,不足部分不计分,扣完为止。以投标人总行2022年末数据为准。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投标文件需提供总行2022年年报证明页,不提供证明材料不得分。</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流动性比率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本币</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5分</w:t>
            </w:r>
            <w:r>
              <w:rPr>
                <w:rFonts w:hint="eastAsia" w:ascii="宋体" w:hAnsi="宋体" w:eastAsia="宋体" w:cs="宋体"/>
                <w:color w:val="auto"/>
                <w:highlight w:val="none"/>
                <w:lang w:eastAsia="zh-CN"/>
              </w:rPr>
              <w:t>）</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达到</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含</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的得</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分,每减少5%扣1分,不足部分不计分,扣完为止。以投标人总行2022年末数据为准。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投标文件需提供总行2022年年报证明页,不提供证明材料不得分。</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1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经济发展贡献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45分</w:t>
            </w:r>
            <w:r>
              <w:rPr>
                <w:rFonts w:hint="eastAsia" w:ascii="宋体" w:hAnsi="宋体" w:eastAsia="宋体" w:cs="宋体"/>
                <w:color w:val="auto"/>
                <w:highlight w:val="none"/>
                <w:lang w:eastAsia="zh-CN"/>
              </w:rPr>
              <w:t>）</w:t>
            </w: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税收贡献度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8分</w:t>
            </w:r>
            <w:r>
              <w:rPr>
                <w:rFonts w:hint="eastAsia" w:ascii="宋体" w:hAnsi="宋体" w:eastAsia="宋体" w:cs="宋体"/>
                <w:color w:val="auto"/>
                <w:highlight w:val="none"/>
                <w:lang w:eastAsia="zh-CN"/>
              </w:rPr>
              <w:t>）</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根据投标人2022年度对江北区的税收贡献度(入库期)进行综合评议,酌情打分。按实际有效投标人从高到低排序,1-8名得</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分,9-12名得</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，第13名及之后得6分</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注：</w:t>
            </w:r>
            <w:r>
              <w:rPr>
                <w:rFonts w:hint="eastAsia" w:ascii="宋体" w:hAnsi="宋体" w:eastAsia="宋体" w:cs="宋体"/>
                <w:color w:val="auto"/>
                <w:highlight w:val="none"/>
              </w:rPr>
              <w:t>投标文件中提供江北区税务部门出具的书面证明材料（须汇总说明在我区的纳税总额）不提供证明材料不得分</w:t>
            </w:r>
            <w:r>
              <w:rPr>
                <w:rFonts w:hint="eastAsia" w:ascii="宋体" w:hAnsi="宋体" w:eastAsia="宋体" w:cs="宋体"/>
                <w:color w:val="auto"/>
                <w:highlight w:val="none"/>
                <w:lang w:eastAsia="zh-CN"/>
              </w:rPr>
              <w:t>。</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存款余额</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（8分）</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根据投标人2022年度对江北区的区域内</w:t>
            </w:r>
            <w:r>
              <w:rPr>
                <w:rFonts w:hint="eastAsia" w:ascii="宋体" w:hAnsi="宋体" w:eastAsia="宋体" w:cs="宋体"/>
                <w:color w:val="auto"/>
                <w:highlight w:val="none"/>
                <w:lang w:val="en-US" w:eastAsia="zh-CN"/>
              </w:rPr>
              <w:t>存各项款余额</w:t>
            </w:r>
            <w:r>
              <w:rPr>
                <w:rFonts w:hint="eastAsia" w:ascii="宋体" w:hAnsi="宋体" w:eastAsia="宋体" w:cs="宋体"/>
                <w:color w:val="auto"/>
                <w:highlight w:val="none"/>
              </w:rPr>
              <w:t>(以当年年末余额为准)。以</w:t>
            </w:r>
            <w:r>
              <w:rPr>
                <w:rFonts w:hint="eastAsia" w:ascii="宋体" w:hAnsi="宋体" w:eastAsia="宋体" w:cs="宋体"/>
                <w:color w:val="auto"/>
                <w:highlight w:val="none"/>
                <w:lang w:val="en-US" w:eastAsia="zh-CN"/>
              </w:rPr>
              <w:t>存款</w:t>
            </w:r>
            <w:r>
              <w:rPr>
                <w:rFonts w:hint="eastAsia" w:ascii="宋体" w:hAnsi="宋体" w:eastAsia="宋体" w:cs="宋体"/>
                <w:color w:val="auto"/>
                <w:highlight w:val="none"/>
              </w:rPr>
              <w:t>余额合计数值按实际有效投标人从高到低排序，1-8名得</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9-12名得</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，第13名及之后得6分</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w:t>
            </w:r>
            <w:r>
              <w:rPr>
                <w:rFonts w:hint="eastAsia" w:ascii="宋体" w:hAnsi="宋体" w:eastAsia="宋体" w:cs="宋体"/>
                <w:color w:val="auto"/>
                <w:highlight w:val="none"/>
              </w:rPr>
              <w:t>证明材料由</w:t>
            </w:r>
            <w:r>
              <w:rPr>
                <w:rFonts w:hint="eastAsia" w:ascii="宋体" w:hAnsi="宋体" w:cs="宋体"/>
                <w:color w:val="auto"/>
                <w:highlight w:val="none"/>
                <w:lang w:eastAsia="zh-CN"/>
              </w:rPr>
              <w:t>区金融发展服务中心</w:t>
            </w:r>
            <w:r>
              <w:rPr>
                <w:rFonts w:hint="eastAsia" w:ascii="宋体" w:hAnsi="宋体" w:eastAsia="宋体" w:cs="宋体"/>
                <w:color w:val="auto"/>
                <w:highlight w:val="none"/>
              </w:rPr>
              <w:t>统一提供为准</w:t>
            </w:r>
            <w:r>
              <w:rPr>
                <w:rFonts w:hint="eastAsia" w:ascii="宋体" w:hAnsi="宋体" w:eastAsia="宋体" w:cs="宋体"/>
                <w:color w:val="auto"/>
                <w:highlight w:val="none"/>
                <w:lang w:eastAsia="zh-CN"/>
              </w:rPr>
              <w:t>。</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企业贷款总规模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8分</w:t>
            </w:r>
            <w:r>
              <w:rPr>
                <w:rFonts w:hint="eastAsia" w:ascii="宋体" w:hAnsi="宋体" w:eastAsia="宋体" w:cs="宋体"/>
                <w:color w:val="auto"/>
                <w:highlight w:val="none"/>
                <w:lang w:eastAsia="zh-CN"/>
              </w:rPr>
              <w:t>）</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根据投标人2022年度对江北区的区域内企业贷款规模(以当年年末贷款余额为准)。以贷款余额合计数值按实际有效投标人从高到低排序，1-8名得8分；9-12名得7分，第13名及之后得6分。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w:t>
            </w:r>
            <w:r>
              <w:rPr>
                <w:rFonts w:hint="eastAsia" w:ascii="宋体" w:hAnsi="宋体" w:eastAsia="宋体" w:cs="宋体"/>
                <w:color w:val="auto"/>
                <w:highlight w:val="none"/>
              </w:rPr>
              <w:t>证明材料由</w:t>
            </w:r>
            <w:r>
              <w:rPr>
                <w:rFonts w:hint="eastAsia" w:ascii="宋体" w:hAnsi="宋体" w:eastAsia="宋体" w:cs="宋体"/>
                <w:color w:val="auto"/>
                <w:kern w:val="0"/>
                <w:sz w:val="21"/>
                <w:szCs w:val="21"/>
                <w:highlight w:val="none"/>
              </w:rPr>
              <w:t>区金融发展服务中心</w:t>
            </w:r>
            <w:r>
              <w:rPr>
                <w:rFonts w:hint="eastAsia" w:ascii="宋体" w:hAnsi="宋体" w:eastAsia="宋体" w:cs="宋体"/>
                <w:color w:val="auto"/>
                <w:highlight w:val="none"/>
              </w:rPr>
              <w:t>统一提供为准</w:t>
            </w:r>
            <w:r>
              <w:rPr>
                <w:rFonts w:hint="eastAsia" w:ascii="宋体" w:hAnsi="宋体" w:eastAsia="宋体" w:cs="宋体"/>
                <w:color w:val="auto"/>
                <w:highlight w:val="none"/>
                <w:lang w:eastAsia="zh-CN"/>
              </w:rPr>
              <w:t>。</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贷款增幅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eastAsia="宋体" w:cs="宋体"/>
                <w:bCs/>
                <w:color w:val="auto"/>
                <w:szCs w:val="21"/>
                <w:highlight w:val="none"/>
              </w:rPr>
              <w:t>（8分）</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kern w:val="0"/>
                <w:sz w:val="21"/>
                <w:szCs w:val="21"/>
                <w:highlight w:val="none"/>
                <w:lang w:val="en-US" w:eastAsia="zh-CN"/>
              </w:rPr>
              <w:t>以</w:t>
            </w:r>
            <w:r>
              <w:rPr>
                <w:rFonts w:hint="eastAsia" w:ascii="宋体" w:hAnsi="宋体" w:eastAsia="宋体" w:cs="宋体"/>
                <w:color w:val="auto"/>
                <w:kern w:val="0"/>
                <w:sz w:val="21"/>
                <w:szCs w:val="21"/>
                <w:highlight w:val="none"/>
              </w:rPr>
              <w:t>各投标人2022年度江北区域内人行贷款余额较2021年度同期增量进行排名，增量</w:t>
            </w:r>
            <w:r>
              <w:rPr>
                <w:rFonts w:hint="eastAsia" w:ascii="宋体" w:hAnsi="宋体" w:eastAsia="宋体" w:cs="宋体"/>
                <w:color w:val="auto"/>
                <w:kern w:val="0"/>
                <w:sz w:val="21"/>
                <w:szCs w:val="21"/>
                <w:highlight w:val="none"/>
                <w:lang w:val="en-US" w:eastAsia="zh-CN"/>
              </w:rPr>
              <w:t>排序</w:t>
            </w:r>
            <w:r>
              <w:rPr>
                <w:rFonts w:hint="eastAsia" w:ascii="宋体" w:hAnsi="宋体" w:eastAsia="宋体" w:cs="宋体"/>
                <w:color w:val="auto"/>
                <w:highlight w:val="none"/>
              </w:rPr>
              <w:t>1-8名得</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9-12名得</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第13名及之后得6分</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w:t>
            </w:r>
            <w:r>
              <w:rPr>
                <w:rFonts w:hint="eastAsia" w:ascii="宋体" w:hAnsi="宋体" w:eastAsia="宋体" w:cs="宋体"/>
                <w:color w:val="auto"/>
                <w:highlight w:val="none"/>
              </w:rPr>
              <w:t>证明材料由</w:t>
            </w:r>
            <w:r>
              <w:rPr>
                <w:rFonts w:hint="eastAsia" w:ascii="宋体" w:hAnsi="宋体" w:eastAsia="宋体" w:cs="宋体"/>
                <w:color w:val="auto"/>
                <w:kern w:val="0"/>
                <w:sz w:val="21"/>
                <w:szCs w:val="21"/>
                <w:highlight w:val="none"/>
              </w:rPr>
              <w:t>区金融发展服务中心</w:t>
            </w:r>
            <w:r>
              <w:rPr>
                <w:rFonts w:hint="eastAsia" w:ascii="宋体" w:hAnsi="宋体" w:eastAsia="宋体" w:cs="宋体"/>
                <w:color w:val="auto"/>
                <w:highlight w:val="none"/>
              </w:rPr>
              <w:t>统一提供为准</w:t>
            </w:r>
            <w:r>
              <w:rPr>
                <w:rFonts w:hint="eastAsia" w:ascii="宋体" w:hAnsi="宋体" w:eastAsia="宋体" w:cs="宋体"/>
                <w:color w:val="auto"/>
                <w:kern w:val="0"/>
                <w:sz w:val="21"/>
                <w:szCs w:val="21"/>
                <w:highlight w:val="none"/>
                <w:lang w:eastAsia="zh-CN"/>
              </w:rPr>
              <w:t>。</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小微企业贷款总额</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（8分）</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kern w:val="0"/>
                <w:sz w:val="21"/>
                <w:szCs w:val="21"/>
                <w:highlight w:val="none"/>
                <w:lang w:val="en-US" w:eastAsia="zh-CN"/>
              </w:rPr>
              <w:t>以</w:t>
            </w:r>
            <w:r>
              <w:rPr>
                <w:rFonts w:hint="eastAsia" w:ascii="宋体" w:hAnsi="宋体" w:eastAsia="宋体" w:cs="宋体"/>
                <w:color w:val="auto"/>
                <w:kern w:val="0"/>
                <w:sz w:val="21"/>
                <w:szCs w:val="21"/>
                <w:highlight w:val="none"/>
              </w:rPr>
              <w:t>各投标人2022年度对江北区内小微企业的贷款规模</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highlight w:val="none"/>
                <w:lang w:val="en-US" w:eastAsia="zh-CN"/>
              </w:rPr>
              <w:t>以当年年末贷款额度为准</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highlight w:val="none"/>
                <w:lang w:val="en-US" w:eastAsia="zh-CN"/>
              </w:rPr>
              <w:t>以贷款余额合计数值按实际有效投标人从高到低排序，1-8名得8分；9-12名得7分，第13名及之后得6分。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kern w:val="0"/>
                <w:sz w:val="21"/>
                <w:szCs w:val="21"/>
                <w:highlight w:val="none"/>
                <w:lang w:val="en-US" w:eastAsia="zh-CN"/>
              </w:rPr>
              <w:t>注：</w:t>
            </w:r>
            <w:r>
              <w:rPr>
                <w:rFonts w:hint="eastAsia" w:ascii="宋体" w:hAnsi="宋体" w:eastAsia="宋体" w:cs="宋体"/>
                <w:color w:val="auto"/>
                <w:kern w:val="0"/>
                <w:sz w:val="21"/>
                <w:szCs w:val="21"/>
                <w:highlight w:val="none"/>
              </w:rPr>
              <w:t>证明材料由区金融发展服务中心统一提供</w:t>
            </w:r>
            <w:r>
              <w:rPr>
                <w:rFonts w:hint="eastAsia" w:ascii="宋体" w:hAnsi="宋体" w:eastAsia="宋体" w:cs="宋体"/>
                <w:color w:val="auto"/>
                <w:kern w:val="0"/>
                <w:sz w:val="21"/>
                <w:szCs w:val="21"/>
                <w:highlight w:val="none"/>
                <w:lang w:val="en-US" w:eastAsia="zh-CN"/>
              </w:rPr>
              <w:t>为准。</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债务融资承销余额</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5分</w:t>
            </w:r>
            <w:r>
              <w:rPr>
                <w:rFonts w:hint="eastAsia" w:ascii="宋体" w:hAnsi="宋体" w:eastAsia="宋体" w:cs="宋体"/>
                <w:color w:val="auto"/>
                <w:highlight w:val="none"/>
                <w:lang w:eastAsia="zh-CN"/>
              </w:rPr>
              <w:t>）</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根据2022年度末支持宁波公益事业发展债务融资承销余额排名，排名</w:t>
            </w:r>
            <w:r>
              <w:rPr>
                <w:rFonts w:hint="eastAsia" w:ascii="宋体" w:hAnsi="宋体" w:eastAsia="宋体" w:cs="宋体"/>
                <w:color w:val="auto"/>
                <w:highlight w:val="none"/>
              </w:rPr>
              <w:t>1-8名得</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9-12名得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kern w:val="0"/>
                <w:sz w:val="21"/>
                <w:szCs w:val="21"/>
                <w:highlight w:val="none"/>
              </w:rPr>
              <w:t>第13名及以后不得分。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kern w:val="0"/>
                <w:sz w:val="21"/>
                <w:szCs w:val="21"/>
                <w:highlight w:val="none"/>
                <w:lang w:val="en-US" w:eastAsia="zh-CN"/>
              </w:rPr>
              <w:t>注：</w:t>
            </w:r>
            <w:r>
              <w:rPr>
                <w:rFonts w:hint="eastAsia" w:ascii="宋体" w:hAnsi="宋体" w:eastAsia="宋体" w:cs="宋体"/>
                <w:color w:val="auto"/>
                <w:kern w:val="0"/>
                <w:sz w:val="21"/>
                <w:szCs w:val="21"/>
                <w:highlight w:val="none"/>
              </w:rPr>
              <w:t>证明材料由市财政局国库局统一提供为准</w:t>
            </w:r>
            <w:r>
              <w:rPr>
                <w:rFonts w:hint="eastAsia" w:ascii="宋体" w:hAnsi="宋体" w:eastAsia="宋体" w:cs="宋体"/>
                <w:color w:val="auto"/>
                <w:kern w:val="0"/>
                <w:sz w:val="21"/>
                <w:szCs w:val="21"/>
                <w:highlight w:val="none"/>
                <w:lang w:eastAsia="zh-CN"/>
              </w:rPr>
              <w:t>。</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服务水平(</w:t>
            </w:r>
            <w:r>
              <w:rPr>
                <w:rFonts w:hint="eastAsia" w:ascii="宋体" w:hAnsi="宋体" w:eastAsia="宋体" w:cs="宋体"/>
                <w:color w:val="auto"/>
                <w:highlight w:val="none"/>
                <w:lang w:val="en-US" w:eastAsia="zh-CN"/>
              </w:rPr>
              <w:t>21分</w:t>
            </w:r>
            <w:r>
              <w:rPr>
                <w:rFonts w:hint="eastAsia" w:ascii="宋体" w:hAnsi="宋体" w:eastAsia="宋体" w:cs="宋体"/>
                <w:color w:val="auto"/>
                <w:highlight w:val="none"/>
              </w:rPr>
              <w:t>)</w:t>
            </w: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运营情况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bCs/>
                <w:color w:val="auto"/>
                <w:szCs w:val="21"/>
                <w:highlight w:val="none"/>
              </w:rPr>
              <w:t>（5分）</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bCs/>
                <w:color w:val="auto"/>
                <w:szCs w:val="21"/>
                <w:highlight w:val="none"/>
              </w:rPr>
              <w:t>根据投标人的资产质量、偿付能力、规范运营能力、内部控制水平、服务能力、资金保值增值能力等</w:t>
            </w:r>
            <w:r>
              <w:rPr>
                <w:rFonts w:hint="eastAsia" w:ascii="宋体" w:hAnsi="宋体" w:eastAsia="宋体" w:cs="宋体"/>
                <w:bCs/>
                <w:color w:val="auto"/>
                <w:szCs w:val="21"/>
                <w:highlight w:val="none"/>
                <w:lang w:val="en-US" w:eastAsia="zh-CN"/>
              </w:rPr>
              <w:t>进行综合评议，最高5分。</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费用减免情况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（3分）</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根据各投标银行提供的服务费用减免情况进行</w:t>
            </w:r>
            <w:r>
              <w:rPr>
                <w:rFonts w:hint="eastAsia" w:ascii="宋体" w:hAnsi="宋体" w:eastAsia="宋体" w:cs="宋体"/>
                <w:color w:val="auto"/>
                <w:highlight w:val="none"/>
                <w:lang w:val="en-US" w:eastAsia="zh-CN"/>
              </w:rPr>
              <w:t>综合</w:t>
            </w:r>
            <w:r>
              <w:rPr>
                <w:rFonts w:hint="eastAsia" w:ascii="宋体" w:hAnsi="宋体" w:eastAsia="宋体" w:cs="宋体"/>
                <w:color w:val="auto"/>
                <w:highlight w:val="none"/>
              </w:rPr>
              <w:t>评议，对银行自收的各项服务费用全免的得3分；未全免的，</w:t>
            </w:r>
            <w:r>
              <w:rPr>
                <w:rFonts w:hint="eastAsia" w:ascii="宋体" w:hAnsi="宋体" w:eastAsia="宋体" w:cs="宋体"/>
                <w:color w:val="auto"/>
                <w:highlight w:val="none"/>
                <w:lang w:val="en-US" w:eastAsia="zh-CN"/>
              </w:rPr>
              <w:t>根据</w:t>
            </w:r>
            <w:r>
              <w:rPr>
                <w:rFonts w:hint="eastAsia" w:ascii="宋体" w:hAnsi="宋体" w:eastAsia="宋体" w:cs="宋体"/>
                <w:color w:val="auto"/>
                <w:highlight w:val="none"/>
              </w:rPr>
              <w:t>短信通知费、网银年费、账户管理费、账户通存通兑手续费、大额取现手续费</w:t>
            </w:r>
            <w:r>
              <w:rPr>
                <w:rFonts w:hint="eastAsia" w:ascii="宋体" w:hAnsi="宋体" w:eastAsia="宋体" w:cs="宋体"/>
                <w:color w:val="auto"/>
                <w:highlight w:val="none"/>
                <w:lang w:val="en-US" w:eastAsia="zh-CN"/>
              </w:rPr>
              <w:t>等内容进行评审，每</w:t>
            </w:r>
            <w:r>
              <w:rPr>
                <w:rFonts w:hint="eastAsia" w:ascii="宋体" w:hAnsi="宋体" w:eastAsia="宋体" w:cs="宋体"/>
                <w:color w:val="auto"/>
                <w:highlight w:val="none"/>
              </w:rPr>
              <w:t>少减免一项扣1分</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分扣完为止。</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信息系统建设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bCs/>
                <w:color w:val="auto"/>
                <w:szCs w:val="21"/>
                <w:highlight w:val="none"/>
              </w:rPr>
              <w:t>（5分）</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根据投标人是否已建设具备完整的信息系统,具有柜面、网上、电话等对账查询服务,具有子账户核算服务功能进行综合评分,满分</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评标委员会根据</w:t>
            </w:r>
            <w:r>
              <w:rPr>
                <w:rFonts w:hint="eastAsia" w:ascii="宋体" w:hAnsi="宋体" w:eastAsia="宋体" w:cs="宋体"/>
                <w:color w:val="auto"/>
                <w:highlight w:val="none"/>
              </w:rPr>
              <w:t>投标人的信息系统建设情况，</w:t>
            </w:r>
            <w:r>
              <w:rPr>
                <w:rFonts w:hint="eastAsia" w:ascii="宋体" w:hAnsi="宋体" w:eastAsia="宋体" w:cs="宋体"/>
                <w:color w:val="auto"/>
                <w:highlight w:val="none"/>
                <w:lang w:val="en-US" w:eastAsia="zh-CN"/>
              </w:rPr>
              <w:t>对是否</w:t>
            </w:r>
            <w:r>
              <w:rPr>
                <w:rFonts w:hint="eastAsia" w:ascii="宋体" w:hAnsi="宋体" w:eastAsia="宋体" w:cs="宋体"/>
                <w:color w:val="auto"/>
                <w:highlight w:val="none"/>
              </w:rPr>
              <w:t>具有的柜面、网上、电话等对账查询服务情况，</w:t>
            </w:r>
            <w:r>
              <w:rPr>
                <w:rFonts w:hint="eastAsia" w:ascii="宋体" w:hAnsi="宋体" w:eastAsia="宋体" w:cs="宋体"/>
                <w:color w:val="auto"/>
                <w:highlight w:val="none"/>
                <w:lang w:val="en-US" w:eastAsia="zh-CN"/>
              </w:rPr>
              <w:t>是否</w:t>
            </w:r>
            <w:r>
              <w:rPr>
                <w:rFonts w:hint="eastAsia" w:ascii="宋体" w:hAnsi="宋体" w:eastAsia="宋体" w:cs="宋体"/>
                <w:color w:val="auto"/>
                <w:highlight w:val="none"/>
              </w:rPr>
              <w:t>具有的子账户核算服务功能情况以及是否能按招标人要求进行分类查询、提供账单等</w:t>
            </w:r>
            <w:r>
              <w:rPr>
                <w:rFonts w:hint="eastAsia" w:ascii="宋体" w:hAnsi="宋体" w:eastAsia="宋体" w:cs="宋体"/>
                <w:color w:val="auto"/>
                <w:highlight w:val="none"/>
                <w:lang w:val="en-US" w:eastAsia="zh-CN"/>
              </w:rPr>
              <w:t>情况进行综合评议，最高5分</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综合增值服务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bCs/>
                <w:color w:val="auto"/>
                <w:szCs w:val="21"/>
                <w:highlight w:val="none"/>
              </w:rPr>
              <w:t>（4分）</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bCs/>
                <w:color w:val="auto"/>
                <w:szCs w:val="21"/>
                <w:highlight w:val="none"/>
              </w:rPr>
              <w:t>根据投标人针对本项目配备的对口服务团队，要求提供详细成员介绍、联系方式，根据服务团队人员数量、资历配备、高效服务，以及投标是否能提供快速的服务响应等</w:t>
            </w:r>
            <w:r>
              <w:rPr>
                <w:rFonts w:hint="eastAsia" w:ascii="宋体" w:hAnsi="宋体" w:eastAsia="宋体" w:cs="宋体"/>
                <w:bCs/>
                <w:color w:val="auto"/>
                <w:szCs w:val="21"/>
                <w:highlight w:val="none"/>
                <w:lang w:val="en-US" w:eastAsia="zh-CN"/>
              </w:rPr>
              <w:t>内容进行综合评议，最高4分</w:t>
            </w:r>
            <w:r>
              <w:rPr>
                <w:rFonts w:hint="eastAsia" w:ascii="宋体" w:hAnsi="宋体" w:eastAsia="宋体" w:cs="宋体"/>
                <w:bCs/>
                <w:color w:val="auto"/>
                <w:szCs w:val="21"/>
                <w:highlight w:val="none"/>
              </w:rPr>
              <w:t>。</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p>
        </w:tc>
        <w:tc>
          <w:tcPr>
            <w:tcW w:w="8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服务优化建议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rPr>
            </w:pP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4分）</w:t>
            </w:r>
          </w:p>
        </w:tc>
        <w:tc>
          <w:tcPr>
            <w:tcW w:w="32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rPr>
              <w:t>根据投标人的服务网点能快速响应并提供高效、便捷</w:t>
            </w:r>
            <w:r>
              <w:rPr>
                <w:rFonts w:hint="eastAsia" w:ascii="宋体" w:hAnsi="宋体" w:eastAsia="宋体" w:cs="宋体"/>
                <w:bCs/>
                <w:color w:val="auto"/>
                <w:szCs w:val="21"/>
                <w:highlight w:val="none"/>
                <w:lang w:val="en-US" w:eastAsia="zh-CN"/>
              </w:rPr>
              <w:t>服务以及对本项目的合理化建议进行综合评议，最高4分。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bCs/>
                <w:color w:val="auto"/>
                <w:szCs w:val="21"/>
                <w:highlight w:val="none"/>
                <w:lang w:val="en-US" w:eastAsia="zh-CN"/>
              </w:rPr>
              <w:t>注：</w:t>
            </w:r>
            <w:r>
              <w:rPr>
                <w:rFonts w:hint="eastAsia" w:ascii="宋体" w:hAnsi="宋体" w:eastAsia="宋体" w:cs="宋体"/>
                <w:bCs/>
                <w:color w:val="auto"/>
                <w:szCs w:val="21"/>
                <w:highlight w:val="none"/>
              </w:rPr>
              <w:t>投标</w:t>
            </w:r>
            <w:r>
              <w:rPr>
                <w:rFonts w:hint="eastAsia" w:ascii="宋体" w:hAnsi="宋体" w:eastAsia="宋体" w:cs="宋体"/>
                <w:bCs/>
                <w:color w:val="auto"/>
                <w:szCs w:val="21"/>
                <w:highlight w:val="none"/>
                <w:lang w:val="en-US" w:eastAsia="zh-CN"/>
              </w:rPr>
              <w:t>人须在投标</w:t>
            </w:r>
            <w:r>
              <w:rPr>
                <w:rFonts w:hint="eastAsia" w:ascii="宋体" w:hAnsi="宋体" w:eastAsia="宋体" w:cs="宋体"/>
                <w:bCs/>
                <w:color w:val="auto"/>
                <w:szCs w:val="21"/>
                <w:highlight w:val="none"/>
              </w:rPr>
              <w:t>文件中附相关服务网点等证明材料复印件加盖投标人公章。</w:t>
            </w:r>
          </w:p>
        </w:tc>
        <w:tc>
          <w:tcPr>
            <w:tcW w:w="3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left="17" w:leftChars="8"/>
        <w:textAlignment w:val="auto"/>
        <w:rPr>
          <w:rFonts w:ascii="宋体" w:hAnsi="宋体" w:cs="宋体"/>
          <w:bCs/>
          <w:color w:val="auto"/>
          <w:szCs w:val="21"/>
          <w:highlight w:val="none"/>
        </w:rPr>
      </w:pPr>
      <w:r>
        <w:rPr>
          <w:rFonts w:hint="eastAsia" w:ascii="宋体" w:hAnsi="宋体" w:cs="宋体"/>
          <w:bCs/>
          <w:color w:val="auto"/>
          <w:szCs w:val="21"/>
          <w:highlight w:val="none"/>
        </w:rPr>
        <w:t>备注：1、计算分值时，采用四舍五入法，保留两位小数。</w:t>
      </w:r>
    </w:p>
    <w:p>
      <w:pPr>
        <w:keepNext w:val="0"/>
        <w:keepLines w:val="0"/>
        <w:pageBreakBefore w:val="0"/>
        <w:widowControl w:val="0"/>
        <w:kinsoku/>
        <w:wordWrap/>
        <w:overflowPunct/>
        <w:topLinePunct w:val="0"/>
        <w:autoSpaceDE/>
        <w:autoSpaceDN/>
        <w:bidi w:val="0"/>
        <w:adjustRightInd/>
        <w:snapToGrid w:val="0"/>
        <w:spacing w:line="360" w:lineRule="auto"/>
        <w:ind w:left="17" w:leftChars="8"/>
        <w:textAlignment w:val="auto"/>
        <w:rPr>
          <w:rFonts w:ascii="宋体" w:hAnsi="宋体" w:cs="宋体"/>
          <w:bCs/>
          <w:color w:val="auto"/>
          <w:szCs w:val="21"/>
          <w:highlight w:val="none"/>
        </w:rPr>
      </w:pPr>
      <w:r>
        <w:rPr>
          <w:rFonts w:hint="eastAsia" w:ascii="宋体" w:hAnsi="宋体" w:cs="宋体"/>
          <w:bCs/>
          <w:color w:val="auto"/>
          <w:szCs w:val="21"/>
          <w:highlight w:val="none"/>
        </w:rPr>
        <w:t xml:space="preserve">      2、金额单位：亿元，保留两位小数(统一提供证明材料的，以证明材料为准）。</w:t>
      </w:r>
    </w:p>
    <w:p>
      <w:pPr>
        <w:keepNext w:val="0"/>
        <w:keepLines w:val="0"/>
        <w:pageBreakBefore w:val="0"/>
        <w:widowControl w:val="0"/>
        <w:kinsoku/>
        <w:wordWrap/>
        <w:overflowPunct/>
        <w:topLinePunct w:val="0"/>
        <w:autoSpaceDE/>
        <w:autoSpaceDN/>
        <w:bidi w:val="0"/>
        <w:adjustRightInd/>
        <w:snapToGrid w:val="0"/>
        <w:spacing w:line="360" w:lineRule="auto"/>
        <w:ind w:left="17" w:leftChars="8" w:firstLine="630" w:firstLineChars="300"/>
        <w:textAlignment w:val="auto"/>
        <w:rPr>
          <w:rFonts w:ascii="宋体" w:hAnsi="宋体" w:cs="宋体"/>
          <w:bCs/>
          <w:color w:val="auto"/>
          <w:szCs w:val="21"/>
          <w:highlight w:val="none"/>
        </w:rPr>
      </w:pPr>
      <w:r>
        <w:rPr>
          <w:rFonts w:hint="eastAsia" w:ascii="宋体" w:hAnsi="宋体" w:cs="宋体"/>
          <w:bCs/>
          <w:color w:val="auto"/>
          <w:szCs w:val="21"/>
          <w:highlight w:val="none"/>
        </w:rPr>
        <w:t>3、存贷款数据中余额、增速以2022年1-12月的月末算术平均数为准，以实际发生金额为准，不含授信未使用额度。</w:t>
      </w:r>
    </w:p>
    <w:p>
      <w:pPr>
        <w:keepNext w:val="0"/>
        <w:keepLines w:val="0"/>
        <w:pageBreakBefore w:val="0"/>
        <w:widowControl w:val="0"/>
        <w:kinsoku/>
        <w:wordWrap/>
        <w:overflowPunct/>
        <w:topLinePunct w:val="0"/>
        <w:autoSpaceDE/>
        <w:autoSpaceDN/>
        <w:bidi w:val="0"/>
        <w:adjustRightInd/>
        <w:snapToGrid w:val="0"/>
        <w:spacing w:line="360" w:lineRule="auto"/>
        <w:ind w:left="17" w:leftChars="8" w:firstLine="630" w:firstLineChars="300"/>
        <w:textAlignment w:val="auto"/>
        <w:rPr>
          <w:rFonts w:ascii="宋体" w:hAnsi="宋体" w:cs="宋体"/>
          <w:bCs/>
          <w:color w:val="auto"/>
          <w:szCs w:val="21"/>
          <w:highlight w:val="none"/>
        </w:rPr>
      </w:pPr>
      <w:r>
        <w:rPr>
          <w:rFonts w:hint="eastAsia" w:ascii="宋体" w:hAnsi="宋体" w:cs="宋体"/>
          <w:bCs/>
          <w:color w:val="auto"/>
          <w:szCs w:val="21"/>
          <w:highlight w:val="none"/>
        </w:rPr>
        <w:t>4、如需核对相关数据，由投标人自行与相关部门联系，评标时以统一提供的数据为准。</w:t>
      </w:r>
    </w:p>
    <w:p>
      <w:pPr>
        <w:pStyle w:val="3"/>
        <w:spacing w:before="0" w:after="0" w:line="360" w:lineRule="auto"/>
        <w:jc w:val="center"/>
        <w:rPr>
          <w:rFonts w:ascii="宋体" w:hAnsi="宋体"/>
          <w:color w:val="auto"/>
          <w:sz w:val="28"/>
          <w:szCs w:val="32"/>
          <w:highlight w:val="none"/>
        </w:rPr>
      </w:pPr>
      <w:bookmarkStart w:id="107" w:name="_Toc76572281"/>
      <w:bookmarkStart w:id="108" w:name="_Toc34844745"/>
      <w:bookmarkStart w:id="109" w:name="_Toc36194039"/>
      <w:bookmarkStart w:id="110" w:name="_Toc47976785"/>
      <w:r>
        <w:rPr>
          <w:rFonts w:hint="eastAsia" w:ascii="宋体" w:hAnsi="宋体"/>
          <w:color w:val="auto"/>
          <w:sz w:val="28"/>
          <w:szCs w:val="32"/>
          <w:highlight w:val="none"/>
        </w:rPr>
        <w:br w:type="page"/>
      </w:r>
      <w:bookmarkStart w:id="111" w:name="_Toc138771909"/>
      <w:r>
        <w:rPr>
          <w:rFonts w:hint="eastAsia" w:ascii="宋体" w:hAnsi="宋体"/>
          <w:color w:val="auto"/>
          <w:sz w:val="28"/>
          <w:szCs w:val="32"/>
          <w:highlight w:val="none"/>
        </w:rPr>
        <w:t>第四</w:t>
      </w:r>
      <w:r>
        <w:rPr>
          <w:rFonts w:ascii="宋体" w:hAnsi="宋体"/>
          <w:color w:val="auto"/>
          <w:sz w:val="28"/>
          <w:szCs w:val="32"/>
          <w:highlight w:val="none"/>
        </w:rPr>
        <w:t xml:space="preserve">章  </w:t>
      </w:r>
      <w:r>
        <w:rPr>
          <w:rFonts w:hint="eastAsia" w:ascii="宋体" w:hAnsi="宋体"/>
          <w:color w:val="auto"/>
          <w:sz w:val="28"/>
          <w:szCs w:val="32"/>
          <w:highlight w:val="none"/>
        </w:rPr>
        <w:t>招标需求</w:t>
      </w:r>
      <w:bookmarkEnd w:id="107"/>
      <w:bookmarkEnd w:id="111"/>
    </w:p>
    <w:p>
      <w:pPr>
        <w:keepNext w:val="0"/>
        <w:keepLines w:val="0"/>
        <w:pageBreakBefore w:val="0"/>
        <w:widowControl/>
        <w:kinsoku/>
        <w:wordWrap/>
        <w:overflowPunct/>
        <w:topLinePunct w:val="0"/>
        <w:autoSpaceDE/>
        <w:autoSpaceDN/>
        <w:bidi w:val="0"/>
        <w:adjustRightInd/>
        <w:snapToGrid/>
        <w:spacing w:line="360" w:lineRule="auto"/>
        <w:ind w:left="61" w:leftChars="29" w:right="-540" w:rightChars="-257" w:firstLine="422" w:firstLineChars="200"/>
        <w:jc w:val="left"/>
        <w:textAlignment w:val="auto"/>
        <w:outlineLvl w:val="1"/>
        <w:rPr>
          <w:rFonts w:hint="eastAsia" w:ascii="宋体" w:hAnsi="宋体" w:eastAsia="宋体" w:cs="宋体"/>
          <w:b/>
          <w:bCs w:val="0"/>
          <w:color w:val="auto"/>
          <w:szCs w:val="21"/>
          <w:highlight w:val="none"/>
        </w:rPr>
      </w:pPr>
      <w:bookmarkStart w:id="112" w:name="_Toc195098609"/>
      <w:bookmarkStart w:id="113" w:name="_Toc222735436"/>
      <w:bookmarkStart w:id="114" w:name="_Toc324254278"/>
      <w:bookmarkStart w:id="115" w:name="_Toc263148909"/>
      <w:bookmarkStart w:id="116" w:name="_Toc324412565"/>
      <w:bookmarkStart w:id="117" w:name="_Toc259429100"/>
      <w:r>
        <w:rPr>
          <w:rFonts w:hint="eastAsia" w:ascii="宋体" w:hAnsi="宋体" w:eastAsia="宋体" w:cs="宋体"/>
          <w:b/>
          <w:bCs w:val="0"/>
          <w:color w:val="auto"/>
          <w:szCs w:val="21"/>
          <w:highlight w:val="none"/>
        </w:rPr>
        <w:t>一、招标内容</w:t>
      </w:r>
    </w:p>
    <w:p>
      <w:pPr>
        <w:widowControl/>
        <w:spacing w:line="360" w:lineRule="auto"/>
        <w:ind w:left="61" w:leftChars="29" w:right="-540" w:rightChars="-257" w:firstLine="420" w:firstLineChars="200"/>
        <w:jc w:val="left"/>
        <w:rPr>
          <w:rFonts w:hint="eastAsia" w:ascii="宋体" w:hAnsi="宋体" w:eastAsia="宋体" w:cs="宋体"/>
          <w:bCs/>
          <w:color w:val="auto"/>
          <w:szCs w:val="21"/>
          <w:highlight w:val="none"/>
        </w:rPr>
      </w:pPr>
      <w:r>
        <w:rPr>
          <w:rFonts w:hint="eastAsia" w:ascii="宋体" w:hAnsi="宋体" w:cs="宋体"/>
          <w:bCs/>
          <w:color w:val="auto"/>
          <w:szCs w:val="21"/>
          <w:highlight w:val="none"/>
          <w:lang w:eastAsia="zh-CN"/>
        </w:rPr>
        <w:t>江北区总工会账户开立及公款存放项目</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基本</w:t>
      </w:r>
      <w:r>
        <w:rPr>
          <w:rFonts w:hint="eastAsia" w:ascii="宋体" w:hAnsi="宋体" w:eastAsia="宋体" w:cs="宋体"/>
          <w:bCs/>
          <w:color w:val="auto"/>
          <w:szCs w:val="21"/>
          <w:highlight w:val="none"/>
          <w:lang w:eastAsia="zh-CN"/>
        </w:rPr>
        <w:t>账户和</w:t>
      </w:r>
      <w:r>
        <w:rPr>
          <w:rFonts w:hint="eastAsia" w:ascii="宋体" w:hAnsi="宋体" w:eastAsia="宋体" w:cs="宋体"/>
          <w:bCs/>
          <w:color w:val="auto"/>
          <w:szCs w:val="21"/>
          <w:highlight w:val="none"/>
          <w:lang w:val="en-US" w:eastAsia="zh-CN"/>
        </w:rPr>
        <w:t>专用</w:t>
      </w:r>
      <w:r>
        <w:rPr>
          <w:rFonts w:hint="eastAsia" w:ascii="宋体" w:hAnsi="宋体" w:cs="宋体"/>
          <w:bCs/>
          <w:color w:val="auto"/>
          <w:szCs w:val="21"/>
          <w:highlight w:val="none"/>
          <w:lang w:val="en-US" w:eastAsia="zh-CN"/>
        </w:rPr>
        <w:t>账户各</w:t>
      </w:r>
      <w:r>
        <w:rPr>
          <w:rFonts w:hint="eastAsia" w:ascii="宋体" w:hAnsi="宋体" w:eastAsia="宋体" w:cs="宋体"/>
          <w:bCs/>
          <w:color w:val="auto"/>
          <w:szCs w:val="21"/>
          <w:highlight w:val="none"/>
        </w:rPr>
        <w:t>1个。选择银行数量：1家。</w:t>
      </w:r>
    </w:p>
    <w:tbl>
      <w:tblPr>
        <w:tblStyle w:val="26"/>
        <w:tblW w:w="4062"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648"/>
        <w:gridCol w:w="2995"/>
        <w:gridCol w:w="842"/>
        <w:gridCol w:w="842"/>
        <w:gridCol w:w="231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02" w:hRule="atLeast"/>
          <w:jc w:val="center"/>
        </w:trPr>
        <w:tc>
          <w:tcPr>
            <w:tcW w:w="424"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960"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招标</w:t>
            </w:r>
            <w:r>
              <w:rPr>
                <w:rFonts w:hint="eastAsia" w:ascii="宋体" w:hAnsi="宋体" w:eastAsia="宋体" w:cs="宋体"/>
                <w:color w:val="auto"/>
                <w:kern w:val="0"/>
                <w:szCs w:val="21"/>
                <w:highlight w:val="none"/>
              </w:rPr>
              <w:t>内容</w:t>
            </w:r>
          </w:p>
        </w:tc>
        <w:tc>
          <w:tcPr>
            <w:tcW w:w="551"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551"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w:t>
            </w:r>
          </w:p>
        </w:tc>
        <w:tc>
          <w:tcPr>
            <w:tcW w:w="1512"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424"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960"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cs="宋体"/>
                <w:bCs/>
                <w:color w:val="auto"/>
                <w:szCs w:val="21"/>
                <w:highlight w:val="none"/>
                <w:lang w:eastAsia="zh-CN"/>
              </w:rPr>
              <w:t>江北区总工会账户开立及公款存放项目</w:t>
            </w:r>
          </w:p>
        </w:tc>
        <w:tc>
          <w:tcPr>
            <w:tcW w:w="551"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551"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家</w:t>
            </w:r>
          </w:p>
        </w:tc>
        <w:tc>
          <w:tcPr>
            <w:tcW w:w="1512" w:type="pct"/>
            <w:tcBorders>
              <w:top w:val="single" w:color="auto" w:sz="4" w:space="0"/>
              <w:bottom w:val="single" w:color="auto" w:sz="4" w:space="0"/>
            </w:tcBorders>
            <w:vAlign w:val="center"/>
          </w:tcPr>
          <w:p>
            <w:pPr>
              <w:spacing w:line="240" w:lineRule="auto"/>
              <w:jc w:val="center"/>
              <w:rPr>
                <w:rFonts w:hint="eastAsia" w:ascii="宋体" w:hAnsi="宋体" w:eastAsia="宋体" w:cs="宋体"/>
                <w:color w:val="auto"/>
                <w:kern w:val="0"/>
                <w:szCs w:val="21"/>
                <w:highlight w:val="none"/>
                <w:lang w:eastAsia="zh-CN"/>
              </w:rPr>
            </w:pPr>
            <w:r>
              <w:rPr>
                <w:rFonts w:hint="eastAsia" w:ascii="宋体" w:hAnsi="宋体" w:cs="宋体"/>
                <w:color w:val="auto"/>
                <w:kern w:val="1"/>
                <w:highlight w:val="none"/>
                <w:u w:val="single"/>
                <w:lang w:val="en-US" w:eastAsia="zh-CN"/>
              </w:rPr>
              <w:t>六</w:t>
            </w:r>
            <w:r>
              <w:rPr>
                <w:rFonts w:hint="eastAsia" w:ascii="宋体" w:hAnsi="宋体" w:eastAsia="宋体" w:cs="宋体"/>
                <w:color w:val="auto"/>
                <w:kern w:val="1"/>
                <w:highlight w:val="none"/>
                <w:lang w:eastAsia="zh-CN"/>
              </w:rPr>
              <w:t>年</w:t>
            </w:r>
          </w:p>
        </w:tc>
      </w:tr>
    </w:tbl>
    <w:p>
      <w:pPr>
        <w:keepNext w:val="0"/>
        <w:keepLines w:val="0"/>
        <w:pageBreakBefore w:val="0"/>
        <w:widowControl/>
        <w:kinsoku/>
        <w:wordWrap/>
        <w:overflowPunct/>
        <w:topLinePunct w:val="0"/>
        <w:autoSpaceDE/>
        <w:autoSpaceDN/>
        <w:bidi w:val="0"/>
        <w:adjustRightInd/>
        <w:snapToGrid/>
        <w:spacing w:line="360" w:lineRule="auto"/>
        <w:ind w:left="61" w:leftChars="29" w:right="-540" w:rightChars="-257" w:firstLine="422" w:firstLineChars="200"/>
        <w:jc w:val="left"/>
        <w:textAlignment w:val="auto"/>
        <w:outlineLvl w:val="1"/>
        <w:rPr>
          <w:rFonts w:hint="eastAsia" w:ascii="宋体" w:hAnsi="宋体" w:eastAsia="宋体" w:cs="宋体"/>
          <w:b/>
          <w:bCs w:val="0"/>
          <w:color w:val="auto"/>
          <w:szCs w:val="21"/>
          <w:highlight w:val="none"/>
        </w:rPr>
      </w:pPr>
      <w:r>
        <w:rPr>
          <w:rFonts w:hint="eastAsia" w:ascii="宋体" w:hAnsi="宋体" w:eastAsia="宋体" w:cs="宋体"/>
          <w:b/>
          <w:bCs w:val="0"/>
          <w:color w:val="auto"/>
          <w:szCs w:val="21"/>
          <w:highlight w:val="none"/>
        </w:rPr>
        <w:t>二、账户要求</w:t>
      </w:r>
    </w:p>
    <w:bookmarkEnd w:id="112"/>
    <w:bookmarkEnd w:id="113"/>
    <w:bookmarkEnd w:id="114"/>
    <w:bookmarkEnd w:id="115"/>
    <w:bookmarkEnd w:id="116"/>
    <w:bookmarkEnd w:id="117"/>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账户开立及存款：江北区总工会</w:t>
      </w:r>
      <w:r>
        <w:rPr>
          <w:rFonts w:hint="eastAsia" w:ascii="宋体" w:hAnsi="宋体" w:eastAsia="宋体" w:cs="宋体"/>
          <w:bCs/>
          <w:color w:val="auto"/>
          <w:szCs w:val="21"/>
          <w:highlight w:val="none"/>
          <w:lang w:val="en-US" w:eastAsia="zh-CN"/>
        </w:rPr>
        <w:t>基本</w:t>
      </w:r>
      <w:r>
        <w:rPr>
          <w:rFonts w:hint="eastAsia" w:ascii="宋体" w:hAnsi="宋体" w:eastAsia="宋体" w:cs="宋体"/>
          <w:bCs/>
          <w:color w:val="auto"/>
          <w:szCs w:val="21"/>
          <w:highlight w:val="none"/>
          <w:lang w:eastAsia="zh-CN"/>
        </w:rPr>
        <w:t>账户和</w:t>
      </w:r>
      <w:r>
        <w:rPr>
          <w:rFonts w:hint="eastAsia" w:ascii="宋体" w:hAnsi="宋体" w:eastAsia="宋体" w:cs="宋体"/>
          <w:bCs/>
          <w:color w:val="auto"/>
          <w:szCs w:val="21"/>
          <w:highlight w:val="none"/>
          <w:lang w:val="en-US" w:eastAsia="zh-CN"/>
        </w:rPr>
        <w:t>专用账户</w:t>
      </w:r>
      <w:r>
        <w:rPr>
          <w:rFonts w:hint="eastAsia" w:ascii="宋体" w:hAnsi="宋体" w:eastAsia="宋体" w:cs="宋体"/>
          <w:bCs/>
          <w:color w:val="auto"/>
          <w:szCs w:val="21"/>
          <w:highlight w:val="none"/>
          <w:lang w:eastAsia="zh-CN"/>
        </w:rPr>
        <w:t>定点银行公款存放；</w:t>
      </w:r>
    </w:p>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账户存款（具体金额根据招标人的增减而定），对存入的资金进行记账、按中标承诺优惠利率计息。利息一个季度结算一次，提供一式多联的利息通知单。</w:t>
      </w:r>
    </w:p>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严格按照法律、法规办理各项业务。</w:t>
      </w:r>
    </w:p>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及时对有效凭证进行入账处理，确保资金及时到账，有退票业务需当天反馈，定期存款到期需及时告知。</w:t>
      </w:r>
    </w:p>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 xml:space="preserve">具备先进的信息反馈系统，能够及时、全面、准确地反映所代理的业务信息，并能够按照要求提供相关信息。 </w:t>
      </w:r>
    </w:p>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val="en-US" w:eastAsia="zh-CN"/>
        </w:rPr>
        <w:t>拟派的</w:t>
      </w:r>
      <w:r>
        <w:rPr>
          <w:rFonts w:hint="eastAsia" w:ascii="宋体" w:hAnsi="宋体" w:eastAsia="宋体" w:cs="宋体"/>
          <w:bCs/>
          <w:color w:val="auto"/>
          <w:szCs w:val="21"/>
          <w:highlight w:val="none"/>
          <w:lang w:eastAsia="zh-CN"/>
        </w:rPr>
        <w:t xml:space="preserve">项目负责人全权负责与本项目相关全部事宜，包括履行服务承诺、接受投诉、接受相关监督管理部门对执行情况的考核等事务。 </w:t>
      </w:r>
    </w:p>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 xml:space="preserve">能够保证内部网络系统的安全性，并承担自身网络系统安全问题方面的有关责任。 </w:t>
      </w:r>
    </w:p>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 xml:space="preserve">内部管理规范，内控制度健全，具有严格的操作规程和保密措施。 </w:t>
      </w:r>
    </w:p>
    <w:p>
      <w:pPr>
        <w:widowControl/>
        <w:numPr>
          <w:ilvl w:val="0"/>
          <w:numId w:val="3"/>
        </w:numPr>
        <w:spacing w:line="360" w:lineRule="auto"/>
        <w:ind w:left="0" w:leftChars="0" w:right="-540" w:rightChars="-257" w:firstLine="400" w:firstLineChars="0"/>
        <w:jc w:val="left"/>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eastAsia="zh-CN"/>
        </w:rPr>
        <w:t>依法为招标人的账户信息保密。</w:t>
      </w:r>
    </w:p>
    <w:p>
      <w:pPr>
        <w:keepNext w:val="0"/>
        <w:keepLines w:val="0"/>
        <w:pageBreakBefore w:val="0"/>
        <w:widowControl/>
        <w:tabs>
          <w:tab w:val="left" w:pos="3505"/>
        </w:tabs>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1"/>
        <w:rPr>
          <w:rFonts w:hint="eastAsia" w:ascii="宋体" w:hAnsi="宋体" w:eastAsia="宋体" w:cs="宋体"/>
          <w:color w:val="auto"/>
          <w:szCs w:val="21"/>
          <w:highlight w:val="none"/>
          <w:lang w:eastAsia="zh-CN"/>
        </w:rPr>
      </w:pPr>
      <w:r>
        <w:rPr>
          <w:rFonts w:hint="eastAsia" w:ascii="宋体" w:hAnsi="宋体" w:eastAsia="宋体" w:cs="宋体"/>
          <w:b/>
          <w:bCs w:val="0"/>
          <w:color w:val="auto"/>
          <w:szCs w:val="21"/>
          <w:highlight w:val="none"/>
          <w:lang w:val="en-US" w:eastAsia="zh-CN"/>
        </w:rPr>
        <w:t>三、</w:t>
      </w:r>
      <w:r>
        <w:rPr>
          <w:rFonts w:hint="eastAsia" w:ascii="宋体" w:hAnsi="宋体" w:eastAsia="宋体" w:cs="宋体"/>
          <w:b/>
          <w:bCs w:val="0"/>
          <w:color w:val="auto"/>
          <w:szCs w:val="21"/>
          <w:highlight w:val="none"/>
        </w:rPr>
        <w:t>服务要求</w:t>
      </w:r>
      <w:r>
        <w:rPr>
          <w:rFonts w:hint="eastAsia" w:ascii="宋体" w:hAnsi="宋体" w:eastAsia="宋体" w:cs="宋体"/>
          <w:color w:val="auto"/>
          <w:szCs w:val="21"/>
          <w:highlight w:val="none"/>
          <w:lang w:eastAsia="zh-CN"/>
        </w:rPr>
        <w:tab/>
      </w:r>
    </w:p>
    <w:p>
      <w:pPr>
        <w:keepNext w:val="0"/>
        <w:keepLines w:val="0"/>
        <w:pageBreakBefore w:val="0"/>
        <w:widowControl/>
        <w:numPr>
          <w:ilvl w:val="0"/>
          <w:numId w:val="4"/>
        </w:numPr>
        <w:kinsoku/>
        <w:wordWrap/>
        <w:overflowPunct/>
        <w:topLinePunct w:val="0"/>
        <w:bidi w:val="0"/>
        <w:adjustRightInd/>
        <w:snapToGrid/>
        <w:spacing w:line="360" w:lineRule="auto"/>
        <w:ind w:left="0" w:leftChars="0" w:right="0" w:rightChars="0" w:firstLine="40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日常资金收付结算服务、账户对账服务、年检服务、网银操作、安全保障等在内的一切配套基本服务。</w:t>
      </w:r>
    </w:p>
    <w:p>
      <w:pPr>
        <w:keepNext w:val="0"/>
        <w:keepLines w:val="0"/>
        <w:pageBreakBefore w:val="0"/>
        <w:widowControl/>
        <w:numPr>
          <w:ilvl w:val="0"/>
          <w:numId w:val="4"/>
        </w:numPr>
        <w:kinsoku/>
        <w:wordWrap/>
        <w:overflowPunct/>
        <w:topLinePunct w:val="0"/>
        <w:bidi w:val="0"/>
        <w:adjustRightInd/>
        <w:snapToGrid/>
        <w:spacing w:line="360" w:lineRule="auto"/>
        <w:ind w:left="0" w:leftChars="0" w:right="0" w:rightChars="0" w:firstLine="40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包含服务期间招标人提出的一切有关账户管理的服务。</w:t>
      </w:r>
    </w:p>
    <w:p>
      <w:pPr>
        <w:keepNext w:val="0"/>
        <w:keepLines w:val="0"/>
        <w:pageBreakBefore w:val="0"/>
        <w:widowControl/>
        <w:numPr>
          <w:ilvl w:val="0"/>
          <w:numId w:val="4"/>
        </w:numPr>
        <w:kinsoku/>
        <w:wordWrap/>
        <w:overflowPunct/>
        <w:topLinePunct w:val="0"/>
        <w:bidi w:val="0"/>
        <w:adjustRightInd/>
        <w:snapToGrid/>
        <w:spacing w:line="360" w:lineRule="auto"/>
        <w:ind w:left="0" w:leftChars="0" w:right="0" w:rightChars="0" w:firstLine="40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按承诺优惠利率对账户资金进行计息。</w:t>
      </w:r>
    </w:p>
    <w:p>
      <w:pPr>
        <w:keepNext w:val="0"/>
        <w:keepLines w:val="0"/>
        <w:pageBreakBefore w:val="0"/>
        <w:widowControl/>
        <w:numPr>
          <w:ilvl w:val="0"/>
          <w:numId w:val="4"/>
        </w:numPr>
        <w:kinsoku/>
        <w:wordWrap/>
        <w:overflowPunct/>
        <w:topLinePunct w:val="0"/>
        <w:bidi w:val="0"/>
        <w:adjustRightInd/>
        <w:snapToGrid/>
        <w:spacing w:line="360" w:lineRule="auto"/>
        <w:ind w:left="0" w:leftChars="0" w:right="0" w:rightChars="0" w:firstLine="40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有专人负责办理财政专户资金相关业务以及上门收取资金拨付凭证和送达银行回单等相关凭证。</w:t>
      </w:r>
    </w:p>
    <w:p>
      <w:pPr>
        <w:keepNext w:val="0"/>
        <w:keepLines w:val="0"/>
        <w:pageBreakBefore w:val="0"/>
        <w:widowControl/>
        <w:numPr>
          <w:ilvl w:val="0"/>
          <w:numId w:val="4"/>
        </w:numPr>
        <w:kinsoku/>
        <w:wordWrap/>
        <w:overflowPunct/>
        <w:topLinePunct w:val="0"/>
        <w:bidi w:val="0"/>
        <w:adjustRightInd/>
        <w:snapToGrid/>
        <w:spacing w:line="360" w:lineRule="auto"/>
        <w:ind w:left="0" w:leftChars="0" w:right="0" w:rightChars="0" w:firstLine="40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及时办理资金进出业务。</w:t>
      </w:r>
    </w:p>
    <w:p>
      <w:pPr>
        <w:keepNext w:val="0"/>
        <w:keepLines w:val="0"/>
        <w:pageBreakBefore w:val="0"/>
        <w:widowControl/>
        <w:numPr>
          <w:ilvl w:val="0"/>
          <w:numId w:val="4"/>
        </w:numPr>
        <w:kinsoku/>
        <w:wordWrap/>
        <w:overflowPunct/>
        <w:topLinePunct w:val="0"/>
        <w:bidi w:val="0"/>
        <w:adjustRightInd/>
        <w:snapToGrid/>
        <w:spacing w:line="360" w:lineRule="auto"/>
        <w:ind w:left="0" w:leftChars="0" w:right="0" w:rightChars="0" w:firstLine="40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按要求定期提供对账单、收支业务回单和利息通知单。</w:t>
      </w:r>
    </w:p>
    <w:p>
      <w:pPr>
        <w:keepNext w:val="0"/>
        <w:keepLines w:val="0"/>
        <w:pageBreakBefore w:val="0"/>
        <w:widowControl/>
        <w:numPr>
          <w:ilvl w:val="0"/>
          <w:numId w:val="4"/>
        </w:numPr>
        <w:kinsoku/>
        <w:wordWrap/>
        <w:overflowPunct/>
        <w:topLinePunct w:val="0"/>
        <w:bidi w:val="0"/>
        <w:adjustRightInd/>
        <w:snapToGrid/>
        <w:spacing w:line="360" w:lineRule="auto"/>
        <w:ind w:left="0" w:leftChars="0" w:right="0" w:rightChars="0" w:firstLine="40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其他服务要求：</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7.1投标人需要协助完成账户开户、销户手续。</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7.2银行故障或招标人工作遇到疑问时，投标人应该能够30分钟内及时响应招标人疑问或维修要求，并在2小时内提出解决方案，24小时内解决问题。</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7.3中标人需有完善的信息系统、金融信息安全保障技术，符合金融行业要求的相关技术措施。</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7.4中标人需提供完善的服务，包括提供完善的对账服务、分账核算服务。需具有安全及风险控制措施以及保证服务质量的措施等。</w:t>
      </w:r>
    </w:p>
    <w:p>
      <w:pPr>
        <w:keepNext w:val="0"/>
        <w:keepLines w:val="0"/>
        <w:pageBreakBefore w:val="0"/>
        <w:widowControl/>
        <w:numPr>
          <w:ilvl w:val="0"/>
          <w:numId w:val="4"/>
        </w:numPr>
        <w:kinsoku/>
        <w:wordWrap/>
        <w:overflowPunct/>
        <w:topLinePunct w:val="0"/>
        <w:bidi w:val="0"/>
        <w:adjustRightInd/>
        <w:snapToGrid/>
        <w:spacing w:line="360" w:lineRule="auto"/>
        <w:ind w:left="0" w:leftChars="0" w:right="0" w:rightChars="0" w:firstLine="40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在投标文件中明确本项目的项目负责人及项目团队人员，并在提供项目负责人及项目团队人员的姓名和联系方式。项目负责人信息、技术服务部门信息必须明确详尽（包括联系人、联系电话、传真、地址和电子邮件信息）。</w:t>
      </w:r>
    </w:p>
    <w:p>
      <w:pPr>
        <w:keepNext w:val="0"/>
        <w:keepLines w:val="0"/>
        <w:pageBreakBefore w:val="0"/>
        <w:widowControl/>
        <w:tabs>
          <w:tab w:val="left" w:pos="3505"/>
        </w:tabs>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1"/>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四、服务期限</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本项目服务及合同期限：自合同签订之日起</w:t>
      </w:r>
      <w:r>
        <w:rPr>
          <w:rFonts w:hint="eastAsia" w:ascii="宋体" w:hAnsi="宋体" w:cs="宋体"/>
          <w:color w:val="auto"/>
          <w:szCs w:val="21"/>
          <w:highlight w:val="none"/>
          <w:u w:val="single"/>
          <w:lang w:val="en-US" w:eastAsia="zh-CN"/>
        </w:rPr>
        <w:t>六</w:t>
      </w:r>
      <w:r>
        <w:rPr>
          <w:rFonts w:hint="eastAsia" w:ascii="宋体" w:hAnsi="宋体" w:eastAsia="宋体" w:cs="宋体"/>
          <w:color w:val="auto"/>
          <w:szCs w:val="21"/>
          <w:highlight w:val="none"/>
          <w:lang w:val="en-US" w:eastAsia="zh-CN"/>
        </w:rPr>
        <w:t>年</w:t>
      </w:r>
      <w:r>
        <w:rPr>
          <w:rFonts w:hint="eastAsia" w:ascii="宋体" w:hAnsi="宋体" w:eastAsia="宋体" w:cs="宋体"/>
          <w:color w:val="auto"/>
          <w:szCs w:val="21"/>
          <w:highlight w:val="none"/>
        </w:rPr>
        <w:t>。协议（合同）一年一签。一年期满后，中标银行的服务达到了要求和投标承诺的，经双方同意可续签订下一周期的协议。合同期内中标人服务不能达到招标要求和投标承诺的，招标人有权终止合同或协议。</w:t>
      </w:r>
    </w:p>
    <w:p>
      <w:pPr>
        <w:keepNext w:val="0"/>
        <w:keepLines w:val="0"/>
        <w:pageBreakBefore w:val="0"/>
        <w:widowControl/>
        <w:tabs>
          <w:tab w:val="left" w:pos="3505"/>
        </w:tabs>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1"/>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五、单位公款存放的原则</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（一）公开、公平、公正原则。单位资金竞争性存放应公开、公平、公正开展，防范廉政风险。</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（二）安全性、流动性、收益性相统一原则。在确保单位资金安全和资金支付流动性需求基础上，实现资金保值增值。</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（三）突出重点、兼顾效率原则。重点做好对大额资金、专项资金的竞争性存放，在效益优先的同时，确保工作效率。</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（四）利率上浮应符合国家有关利率管理规定，同时参考当地金融机构市场利率定价自律机制。</w:t>
      </w:r>
    </w:p>
    <w:p>
      <w:pPr>
        <w:keepNext w:val="0"/>
        <w:keepLines w:val="0"/>
        <w:pageBreakBefore w:val="0"/>
        <w:widowControl/>
        <w:tabs>
          <w:tab w:val="left" w:pos="3505"/>
        </w:tabs>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1"/>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六、中标银行出现以下情形之一的，招标人有权提前终止、变更开户银行：</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（一）出现资金安全事故、重大违法违规情况或财务恶化；</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（二）监管评级降低，监管部门认为存在较大运营风险；</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（三）未按照中标协议承诺履行相应的责任和义务；</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（四）不能及时将到期存款本息足额缴入单位账户；</w:t>
      </w:r>
    </w:p>
    <w:p>
      <w:pPr>
        <w:keepNext w:val="0"/>
        <w:keepLines w:val="0"/>
        <w:pageBreakBefore w:val="0"/>
        <w:widowControl/>
        <w:kinsoku/>
        <w:wordWrap/>
        <w:overflowPunct/>
        <w:topLinePunct w:val="0"/>
        <w:bidi w:val="0"/>
        <w:adjustRightInd/>
        <w:snapToGrid/>
        <w:spacing w:line="360" w:lineRule="auto"/>
        <w:ind w:left="0" w:leftChars="0" w:right="0" w:righ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（五）其他可能妨害公款安全的情形。</w:t>
      </w:r>
    </w:p>
    <w:p>
      <w:pPr>
        <w:pStyle w:val="34"/>
        <w:rPr>
          <w:color w:val="auto"/>
          <w:szCs w:val="21"/>
          <w:highlight w:val="none"/>
        </w:rPr>
      </w:pPr>
    </w:p>
    <w:p>
      <w:pPr>
        <w:pStyle w:val="3"/>
        <w:spacing w:before="0" w:after="0" w:line="360" w:lineRule="auto"/>
        <w:jc w:val="center"/>
        <w:rPr>
          <w:rFonts w:ascii="宋体" w:hAnsi="宋体"/>
          <w:color w:val="auto"/>
          <w:sz w:val="28"/>
          <w:szCs w:val="32"/>
          <w:highlight w:val="none"/>
        </w:rPr>
      </w:pPr>
      <w:r>
        <w:rPr>
          <w:rFonts w:ascii="宋体" w:hAnsi="宋体"/>
          <w:color w:val="auto"/>
          <w:szCs w:val="21"/>
          <w:highlight w:val="none"/>
        </w:rPr>
        <w:br w:type="page"/>
      </w:r>
      <w:bookmarkStart w:id="118" w:name="_Toc138771910"/>
      <w:r>
        <w:rPr>
          <w:rFonts w:hint="eastAsia" w:ascii="宋体" w:hAnsi="宋体"/>
          <w:color w:val="auto"/>
          <w:sz w:val="28"/>
          <w:szCs w:val="32"/>
          <w:highlight w:val="none"/>
        </w:rPr>
        <w:t>第五章  合同文本</w:t>
      </w:r>
      <w:bookmarkEnd w:id="108"/>
      <w:bookmarkEnd w:id="109"/>
      <w:bookmarkEnd w:id="110"/>
      <w:bookmarkEnd w:id="118"/>
    </w:p>
    <w:bookmarkEnd w:id="104"/>
    <w:bookmarkEnd w:id="105"/>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bookmarkStart w:id="119" w:name="_Toc34844746"/>
      <w:bookmarkStart w:id="120" w:name="_Toc138771911"/>
      <w:bookmarkStart w:id="121" w:name="_Toc47976786"/>
      <w:bookmarkStart w:id="122" w:name="_Toc36194040"/>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甲方</w:t>
      </w:r>
      <w:r>
        <w:rPr>
          <w:rFonts w:hint="eastAsia" w:ascii="宋体" w:hAnsi="宋体" w:eastAsia="宋体" w:cs="宋体"/>
          <w:color w:val="auto"/>
          <w:sz w:val="21"/>
          <w:szCs w:val="21"/>
          <w:highlight w:val="none"/>
          <w:u w:val="single"/>
        </w:rPr>
        <w:t>）</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乙方：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乙方</w:t>
      </w:r>
      <w:r>
        <w:rPr>
          <w:rFonts w:hint="eastAsia" w:ascii="宋体" w:hAnsi="宋体" w:eastAsia="宋体" w:cs="宋体"/>
          <w:color w:val="auto"/>
          <w:sz w:val="21"/>
          <w:szCs w:val="21"/>
          <w:highlight w:val="none"/>
          <w:u w:val="single"/>
        </w:rPr>
        <w:t>）</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甲乙双方根据</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公开招标的结果，签署本合同。</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下述文件作为附件，是本合同的一部分，并与本合同一起阅读和解释：</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a.招标文件；</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b.投标文件；</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c.中标通知书；</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上述文件与合同若有不一致之处，优先次序第一应为合同、第二应为附件(附件的优先次序为 c,b,a)。</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一、服务内容及要求</w:t>
      </w:r>
    </w:p>
    <w:p>
      <w:pPr>
        <w:keepNext w:val="0"/>
        <w:keepLines w:val="0"/>
        <w:pageBreakBefore w:val="0"/>
        <w:widowControl/>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rPr>
        <w:t>账户要求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1.1</w:t>
      </w:r>
      <w:r>
        <w:rPr>
          <w:rFonts w:hint="eastAsia" w:ascii="宋体" w:hAnsi="宋体" w:eastAsia="宋体" w:cs="宋体"/>
          <w:bCs/>
          <w:color w:val="auto"/>
          <w:sz w:val="21"/>
          <w:szCs w:val="21"/>
          <w:highlight w:val="none"/>
          <w:lang w:eastAsia="zh-CN"/>
        </w:rPr>
        <w:t>账户开立及存款：</w:t>
      </w:r>
      <w:r>
        <w:rPr>
          <w:rFonts w:hint="eastAsia" w:ascii="宋体" w:hAnsi="宋体" w:eastAsia="宋体" w:cs="宋体"/>
          <w:bCs/>
          <w:color w:val="auto"/>
          <w:sz w:val="21"/>
          <w:szCs w:val="21"/>
          <w:highlight w:val="none"/>
          <w:u w:val="single"/>
          <w:lang w:eastAsia="zh-CN"/>
        </w:rPr>
        <w:t>江北区总工会基本账户和专用账户定点银行公款存放</w:t>
      </w:r>
      <w:r>
        <w:rPr>
          <w:rFonts w:hint="eastAsia" w:ascii="宋体" w:hAnsi="宋体" w:eastAsia="宋体" w:cs="宋体"/>
          <w:bCs/>
          <w:color w:val="auto"/>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1.2</w:t>
      </w:r>
      <w:r>
        <w:rPr>
          <w:rFonts w:hint="eastAsia" w:ascii="宋体" w:hAnsi="宋体" w:eastAsia="宋体" w:cs="宋体"/>
          <w:bCs/>
          <w:color w:val="auto"/>
          <w:sz w:val="21"/>
          <w:szCs w:val="21"/>
          <w:highlight w:val="none"/>
          <w:lang w:eastAsia="zh-CN"/>
        </w:rPr>
        <w:t>账户存款（具体金额根据甲方的增减而定），对存入的资金进行记账、按中标承诺优惠利率计息。利息一个季度结算一次，提供一式多联的利息通知单。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1.3</w:t>
      </w:r>
      <w:r>
        <w:rPr>
          <w:rFonts w:hint="eastAsia" w:ascii="宋体" w:hAnsi="宋体" w:eastAsia="宋体" w:cs="宋体"/>
          <w:bCs/>
          <w:color w:val="auto"/>
          <w:sz w:val="21"/>
          <w:szCs w:val="21"/>
          <w:highlight w:val="none"/>
          <w:lang w:eastAsia="zh-CN"/>
        </w:rPr>
        <w:t>严格按照法律、法规办理各项业务。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1.4</w:t>
      </w:r>
      <w:r>
        <w:rPr>
          <w:rFonts w:hint="eastAsia" w:ascii="宋体" w:hAnsi="宋体" w:eastAsia="宋体" w:cs="宋体"/>
          <w:bCs/>
          <w:color w:val="auto"/>
          <w:sz w:val="21"/>
          <w:szCs w:val="21"/>
          <w:highlight w:val="none"/>
          <w:lang w:eastAsia="zh-CN"/>
        </w:rPr>
        <w:t>及时对有效凭证进行入账处理，确保资金及时到账，有退票业务需当天反馈，定期存款到期需及时告知。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1.5</w:t>
      </w:r>
      <w:r>
        <w:rPr>
          <w:rFonts w:hint="eastAsia" w:ascii="宋体" w:hAnsi="宋体" w:eastAsia="宋体" w:cs="宋体"/>
          <w:bCs/>
          <w:color w:val="auto"/>
          <w:sz w:val="21"/>
          <w:szCs w:val="21"/>
          <w:highlight w:val="none"/>
          <w:lang w:eastAsia="zh-CN"/>
        </w:rPr>
        <w:t>有专人负责办理相关业务。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1.6</w:t>
      </w:r>
      <w:r>
        <w:rPr>
          <w:rFonts w:hint="eastAsia" w:ascii="宋体" w:hAnsi="宋体" w:eastAsia="宋体" w:cs="宋体"/>
          <w:bCs/>
          <w:color w:val="auto"/>
          <w:sz w:val="21"/>
          <w:szCs w:val="21"/>
          <w:highlight w:val="none"/>
          <w:lang w:eastAsia="zh-CN"/>
        </w:rPr>
        <w:t>依法为甲方的账户信息保密。</w:t>
      </w:r>
    </w:p>
    <w:p>
      <w:pPr>
        <w:keepNext w:val="0"/>
        <w:keepLines w:val="0"/>
        <w:pageBreakBefore w:val="0"/>
        <w:widowControl/>
        <w:tabs>
          <w:tab w:val="left" w:pos="3505"/>
        </w:tabs>
        <w:kinsoku/>
        <w:wordWrap/>
        <w:overflowPunct/>
        <w:topLinePunct w:val="0"/>
        <w:autoSpaceDE/>
        <w:autoSpaceDN/>
        <w:bidi w:val="0"/>
        <w:adjustRightInd/>
        <w:snapToGrid/>
        <w:spacing w:line="360" w:lineRule="auto"/>
        <w:ind w:left="0" w:leftChars="0" w:right="0" w:rightChars="0" w:firstLine="422"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服务要求</w:t>
      </w:r>
      <w:r>
        <w:rPr>
          <w:rFonts w:hint="eastAsia" w:ascii="宋体" w:hAnsi="宋体" w:eastAsia="宋体" w:cs="宋体"/>
          <w:color w:val="auto"/>
          <w:sz w:val="21"/>
          <w:szCs w:val="21"/>
          <w:highlight w:val="none"/>
          <w:lang w:eastAsia="zh-CN"/>
        </w:rPr>
        <w:tab/>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2.1日常资金收付结算服务、账户对账服务、年检服务、网银操作、安全保障等在内的一切配套基本服务。</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2.2包含服务期间甲方提出的一切有关账户管理的服务。</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2.3按承诺优惠利率对账户资金进行计息。</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2.4有专人负责办理财政专户资金相关业务以及上门收取资金拨付凭证和送达银行回单等相关凭证。</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2.5及时办理资金进出业务。</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2.6按要求定期提供对账单、收支业务回单和利息通知单。</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2.7其他服务要求：</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（1）乙方需要协助完成账户开户、销户手续。</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（2）银行故障或甲方工作遇到疑问时，投标人应该能够30分钟内及时响应甲方疑问或维修要求，并在2小时内提出解决方案，24小时内解决问题。</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（3）乙方需有完善的信息系统、金融信息安全保障技术，符合金融行业要求的相关技术措施。</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（4）乙方需提供完善的服务，包括提供完善的对账服务、分账核算服务。需具有安全及风险控制措施以及保证服务质量的措施等。</w:t>
      </w:r>
    </w:p>
    <w:p>
      <w:pPr>
        <w:pStyle w:val="13"/>
        <w:keepNext w:val="0"/>
        <w:keepLines w:val="0"/>
        <w:pageBreakBefore w:val="0"/>
        <w:numPr>
          <w:ilvl w:val="0"/>
          <w:numId w:val="0"/>
        </w:numPr>
        <w:kinsoku/>
        <w:wordWrap/>
        <w:overflowPunct/>
        <w:topLinePunct w:val="0"/>
        <w:autoSpaceDE/>
        <w:autoSpaceDN/>
        <w:bidi w:val="0"/>
        <w:adjustRightInd/>
        <w:snapToGrid/>
        <w:spacing w:before="0" w:after="0" w:line="360" w:lineRule="auto"/>
        <w:ind w:left="400" w:leftChars="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（5）项目负责人及项目团队人员的姓名和联系方式：</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w:t>
      </w:r>
    </w:p>
    <w:p>
      <w:pPr>
        <w:pStyle w:val="13"/>
        <w:keepNext w:val="0"/>
        <w:keepLines w:val="0"/>
        <w:pageBreakBefore w:val="0"/>
        <w:numPr>
          <w:ilvl w:val="0"/>
          <w:numId w:val="0"/>
        </w:numPr>
        <w:kinsoku/>
        <w:wordWrap/>
        <w:overflowPunct/>
        <w:topLinePunct w:val="0"/>
        <w:autoSpaceDE/>
        <w:autoSpaceDN/>
        <w:bidi w:val="0"/>
        <w:adjustRightInd/>
        <w:snapToGrid/>
        <w:spacing w:before="0" w:after="0" w:line="360" w:lineRule="auto"/>
        <w:ind w:left="400" w:leftChars="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本合同乙方提供服务的营业网点为：</w:t>
      </w:r>
      <w:r>
        <w:rPr>
          <w:rFonts w:hint="eastAsia" w:ascii="宋体" w:hAnsi="宋体" w:eastAsia="宋体" w:cs="宋体"/>
          <w:b/>
          <w:bCs/>
          <w:color w:val="auto"/>
          <w:sz w:val="21"/>
          <w:szCs w:val="21"/>
          <w:highlight w:val="none"/>
          <w:u w:val="single"/>
        </w:rPr>
        <w:t xml:space="preserve">                  </w:t>
      </w:r>
      <w:r>
        <w:rPr>
          <w:rFonts w:hint="eastAsia" w:ascii="宋体" w:hAnsi="宋体" w:eastAsia="宋体" w:cs="宋体"/>
          <w:b/>
          <w:bCs/>
          <w:color w:val="auto"/>
          <w:sz w:val="21"/>
          <w:szCs w:val="21"/>
          <w:highlight w:val="none"/>
        </w:rPr>
        <w:t xml:space="preserve"> 。</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二、合同执行利率</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 本合同执行利率：按中国人民银行规定基准利率基础上加点：</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活期存款利率：+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BP；</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协定存款利率：+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BP；</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七天通知存款利率：+</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BP；</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定期存款利率(一年期及以内)：+</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BP；</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三、服务期限：</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 自合同签订之日起</w:t>
      </w:r>
      <w:r>
        <w:rPr>
          <w:rFonts w:hint="eastAsia" w:ascii="宋体" w:hAnsi="宋体" w:cs="宋体"/>
          <w:color w:val="auto"/>
          <w:sz w:val="21"/>
          <w:szCs w:val="21"/>
          <w:highlight w:val="none"/>
          <w:u w:val="single"/>
          <w:lang w:val="en-US" w:eastAsia="zh-CN"/>
        </w:rPr>
        <w:t>六</w:t>
      </w:r>
      <w:r>
        <w:rPr>
          <w:rFonts w:hint="eastAsia" w:ascii="宋体" w:hAnsi="宋体" w:eastAsia="宋体" w:cs="宋体"/>
          <w:color w:val="auto"/>
          <w:sz w:val="21"/>
          <w:szCs w:val="21"/>
          <w:highlight w:val="none"/>
        </w:rPr>
        <w:t>年。协议（合同）一年一签。一年期满后，</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的服务达到了要求和投标承诺的，经双方同意可续签订下一周期的协议。合同期内</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服务不能达到招标要求和投标承诺的，</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有权终止合同或协议。</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四、单位公款存放原则：</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4.1公开、公平、公正原则。单位资金竞争性存放应公开、公平、公正开展，防范廉政风险；</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4.2安全性、流动性、收益性相统一原则。在确保单位资金安全和资金支付流动性需求基础上，实现资金保值增值；</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4.3突出重点、兼顾效率原则。重点做好对大额资金、专项资金的竞争性存放，在效益优先的同时，确保工作效率。</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4.4服务内容安全、便捷、灵活。</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五、转包或分包</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5.1本合同范围的服务，应由乙方直接供应，不得转让他人供应；</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 除非得到甲方的书面同意，乙方不得部分分包给他人供应。</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5.3如有转让和未经甲方同意的分包行为，甲方有权给予终止合同。</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六、税</w:t>
      </w:r>
      <w:r>
        <w:rPr>
          <w:rFonts w:hint="eastAsia" w:hAnsi="宋体" w:cs="宋体"/>
          <w:b/>
          <w:color w:val="auto"/>
          <w:sz w:val="21"/>
          <w:szCs w:val="21"/>
          <w:highlight w:val="none"/>
          <w:lang w:val="en-US" w:eastAsia="zh-CN"/>
        </w:rPr>
        <w:t>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6.1本合同执行中相关的一切税费均由乙方负担。</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七、质量保证及售后服务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 乙方应按招标文件规定的服务要求、质量标准向甲方提供完整服务。</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rPr>
      </w:pPr>
      <w:r>
        <w:rPr>
          <w:rFonts w:hint="eastAsia" w:hAnsi="宋体" w:cs="宋体"/>
          <w:b/>
          <w:color w:val="auto"/>
          <w:sz w:val="21"/>
          <w:szCs w:val="21"/>
          <w:highlight w:val="none"/>
          <w:lang w:val="en-US" w:eastAsia="zh-CN"/>
        </w:rPr>
        <w:t>八、</w:t>
      </w:r>
      <w:r>
        <w:rPr>
          <w:rFonts w:hint="eastAsia" w:ascii="宋体" w:hAnsi="宋体" w:eastAsia="宋体" w:cs="宋体"/>
          <w:b/>
          <w:color w:val="auto"/>
          <w:sz w:val="21"/>
          <w:szCs w:val="21"/>
          <w:highlight w:val="none"/>
        </w:rPr>
        <w:t>违约责任</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 乙方应按本合同约定的利率水平及时、足额向甲方付清利息，杜绝出现错漏或少付情形，否则，除应向甲方补足差额部分利息外，每逾期一日还应按欠款金额的万分之五向甲方支付违约金。本合同有效期内，出现前述违约情形，经甲方催告之日起15个工作日内未予纠正，或者一年期内累计出现3次以上（含三次）违约情形，甲方有权解除本合同并追究乙方全部违约责任。</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九、不可抗力事件处理</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 在合同有效期内，任何一方因不可抗力事件导致不能履行合同，则合同履行期可延长，其延长期与不可抗力影响期相同。</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 不可抗力事件发生后，应立即通知对方，并寄送有关权威机构出具的证明。</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 不可抗力事件延续120天以上，双方应通过友好协商，确定是否继续履行合同。</w:t>
      </w:r>
    </w:p>
    <w:p>
      <w:pPr>
        <w:pStyle w:val="13"/>
        <w:keepNext w:val="0"/>
        <w:keepLines w:val="0"/>
        <w:pageBreakBefore w:val="0"/>
        <w:kinsoku/>
        <w:wordWrap/>
        <w:overflowPunct/>
        <w:topLinePunct w:val="0"/>
        <w:autoSpaceDE/>
        <w:autoSpaceDN/>
        <w:bidi w:val="0"/>
        <w:adjustRightInd/>
        <w:snapToGrid/>
        <w:spacing w:before="0" w:after="0" w:line="360" w:lineRule="auto"/>
        <w:ind w:firstLine="422" w:firstLineChars="200"/>
        <w:contextualSpacing/>
        <w:jc w:val="both"/>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十、诉讼</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 双方在执行合同中所发生的一切争议，应通过协商解决。如协商不成，可向合同签订地法院起诉，合同签订地在此约定为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13"/>
        <w:keepNext w:val="0"/>
        <w:keepLines w:val="0"/>
        <w:pageBreakBefore w:val="0"/>
        <w:widowControl w:val="0"/>
        <w:kinsoku/>
        <w:wordWrap/>
        <w:overflowPunct/>
        <w:topLinePunct w:val="0"/>
        <w:autoSpaceDE/>
        <w:autoSpaceDN/>
        <w:bidi w:val="0"/>
        <w:adjustRightInd/>
        <w:snapToGrid/>
        <w:spacing w:before="0" w:after="0" w:line="360" w:lineRule="auto"/>
        <w:ind w:firstLine="422" w:firstLineChars="200"/>
        <w:contextualSpacing/>
        <w:jc w:val="both"/>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十一、合同生效及其它</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合同经双方法定代表人（或单位负责人）或授权委托代理人签字并加盖单位公章后生效。</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11.2本合同未尽事宜，遵照《</w:t>
      </w:r>
      <w:r>
        <w:rPr>
          <w:rFonts w:hint="eastAsia" w:ascii="宋体" w:hAnsi="宋体" w:eastAsia="宋体" w:cs="宋体"/>
          <w:color w:val="auto"/>
          <w:sz w:val="21"/>
          <w:szCs w:val="21"/>
          <w:highlight w:val="none"/>
          <w:lang w:val="en-US" w:eastAsia="zh-CN"/>
        </w:rPr>
        <w:t>中华人民共和国民法典</w:t>
      </w:r>
      <w:r>
        <w:rPr>
          <w:rFonts w:hint="eastAsia" w:ascii="宋体" w:hAnsi="宋体" w:eastAsia="宋体" w:cs="宋体"/>
          <w:color w:val="auto"/>
          <w:sz w:val="21"/>
          <w:szCs w:val="21"/>
          <w:highlight w:val="none"/>
        </w:rPr>
        <w:t>》有关条文执行。</w:t>
      </w:r>
    </w:p>
    <w:p>
      <w:pPr>
        <w:pStyle w:val="13"/>
        <w:keepNext w:val="0"/>
        <w:keepLines w:val="0"/>
        <w:pageBreakBefore w:val="0"/>
        <w:kinsoku/>
        <w:wordWrap/>
        <w:overflowPunct/>
        <w:topLinePunct w:val="0"/>
        <w:autoSpaceDE/>
        <w:autoSpaceDN/>
        <w:bidi w:val="0"/>
        <w:adjustRightInd/>
        <w:snapToGrid/>
        <w:spacing w:before="0" w:after="0" w:line="360" w:lineRule="auto"/>
        <w:ind w:firstLine="420" w:firstLineChars="200"/>
        <w:contextualSpacing/>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11.3本合同正本一式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份，具有同等法律效力，甲乙双方各执</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w:t>
      </w:r>
    </w:p>
    <w:p>
      <w:pPr>
        <w:pStyle w:val="13"/>
        <w:snapToGrid w:val="0"/>
        <w:spacing w:before="120" w:after="120"/>
        <w:rPr>
          <w:rFonts w:hint="eastAsia" w:ascii="宋体" w:hAnsi="宋体" w:eastAsia="宋体" w:cs="宋体"/>
          <w:color w:val="auto"/>
          <w:sz w:val="22"/>
          <w:highlight w:val="none"/>
        </w:rPr>
      </w:pPr>
    </w:p>
    <w:p>
      <w:pPr>
        <w:pStyle w:val="13"/>
        <w:snapToGrid w:val="0"/>
        <w:spacing w:before="120" w:after="120" w:line="360" w:lineRule="auto"/>
        <w:ind w:left="199" w:leftChars="95" w:firstLine="440" w:firstLineChars="200"/>
        <w:rPr>
          <w:rFonts w:hint="eastAsia" w:ascii="宋体" w:hAnsi="宋体" w:eastAsia="宋体" w:cs="宋体"/>
          <w:color w:val="auto"/>
          <w:sz w:val="22"/>
          <w:highlight w:val="none"/>
        </w:rPr>
      </w:pPr>
      <w:r>
        <w:rPr>
          <w:rFonts w:hint="eastAsia" w:hAnsi="宋体" w:eastAsia="宋体" w:cs="宋体"/>
          <w:color w:val="auto"/>
          <w:sz w:val="22"/>
          <w:highlight w:val="none"/>
          <w:lang w:val="en-US" w:eastAsia="zh-CN"/>
        </w:rPr>
        <w:t>甲方</w:t>
      </w:r>
      <w:r>
        <w:rPr>
          <w:rFonts w:hint="eastAsia" w:ascii="宋体" w:hAnsi="宋体" w:eastAsia="宋体" w:cs="宋体"/>
          <w:color w:val="auto"/>
          <w:sz w:val="22"/>
          <w:highlight w:val="none"/>
        </w:rPr>
        <w:t xml:space="preserve">：                                  </w:t>
      </w:r>
      <w:r>
        <w:rPr>
          <w:rFonts w:hint="eastAsia" w:hAnsi="宋体" w:eastAsia="宋体" w:cs="宋体"/>
          <w:color w:val="auto"/>
          <w:sz w:val="22"/>
          <w:highlight w:val="none"/>
          <w:lang w:val="en-US" w:eastAsia="zh-CN"/>
        </w:rPr>
        <w:t xml:space="preserve">  </w:t>
      </w:r>
      <w:r>
        <w:rPr>
          <w:rFonts w:hint="eastAsia" w:ascii="宋体" w:hAnsi="宋体" w:eastAsia="宋体" w:cs="宋体"/>
          <w:color w:val="auto"/>
          <w:sz w:val="22"/>
          <w:highlight w:val="none"/>
        </w:rPr>
        <w:t xml:space="preserve"> </w:t>
      </w:r>
      <w:r>
        <w:rPr>
          <w:rFonts w:hint="eastAsia" w:hAnsi="宋体" w:eastAsia="宋体" w:cs="宋体"/>
          <w:color w:val="auto"/>
          <w:sz w:val="22"/>
          <w:highlight w:val="none"/>
          <w:lang w:val="en-US" w:eastAsia="zh-CN"/>
        </w:rPr>
        <w:t>乙方</w:t>
      </w:r>
      <w:r>
        <w:rPr>
          <w:rFonts w:hint="eastAsia" w:ascii="宋体" w:hAnsi="宋体" w:eastAsia="宋体" w:cs="宋体"/>
          <w:color w:val="auto"/>
          <w:sz w:val="22"/>
          <w:highlight w:val="none"/>
        </w:rPr>
        <w:t xml:space="preserve">： </w:t>
      </w:r>
    </w:p>
    <w:p>
      <w:pPr>
        <w:pStyle w:val="13"/>
        <w:snapToGrid w:val="0"/>
        <w:spacing w:before="120" w:after="120"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地址：                                     地址： </w:t>
      </w:r>
    </w:p>
    <w:p>
      <w:pPr>
        <w:pStyle w:val="13"/>
        <w:snapToGrid w:val="0"/>
        <w:spacing w:before="120" w:after="120"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法定（授权）代表人：                       法定（授权）代表人：</w:t>
      </w:r>
    </w:p>
    <w:p>
      <w:pPr>
        <w:spacing w:line="360" w:lineRule="auto"/>
        <w:ind w:firstLine="440" w:firstLineChars="200"/>
        <w:rPr>
          <w:color w:val="auto"/>
          <w:highlight w:val="none"/>
        </w:rPr>
      </w:pPr>
      <w:r>
        <w:rPr>
          <w:rFonts w:hint="eastAsia" w:ascii="宋体" w:hAnsi="宋体" w:eastAsia="宋体" w:cs="宋体"/>
          <w:color w:val="auto"/>
          <w:sz w:val="22"/>
          <w:highlight w:val="none"/>
        </w:rPr>
        <w:t xml:space="preserve">  签字日期：      年  月  日                 签字日期：     年  月  日</w:t>
      </w:r>
    </w:p>
    <w:p>
      <w:pPr>
        <w:pStyle w:val="13"/>
        <w:snapToGrid w:val="0"/>
        <w:spacing w:before="120" w:after="120" w:line="360" w:lineRule="auto"/>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 xml:space="preserve"> </w:t>
      </w:r>
    </w:p>
    <w:p>
      <w:pPr>
        <w:rPr>
          <w:rFonts w:hint="eastAsia" w:ascii="宋体" w:hAnsi="宋体"/>
          <w:color w:val="auto"/>
          <w:sz w:val="28"/>
          <w:szCs w:val="32"/>
          <w:highlight w:val="none"/>
        </w:rPr>
      </w:pPr>
      <w:r>
        <w:rPr>
          <w:rFonts w:hint="eastAsia" w:ascii="宋体" w:hAnsi="宋体"/>
          <w:color w:val="auto"/>
          <w:sz w:val="28"/>
          <w:szCs w:val="32"/>
          <w:highlight w:val="none"/>
        </w:rPr>
        <w:br w:type="page"/>
      </w:r>
    </w:p>
    <w:p>
      <w:pPr>
        <w:pStyle w:val="3"/>
        <w:spacing w:before="0" w:after="0" w:line="360" w:lineRule="auto"/>
        <w:jc w:val="center"/>
        <w:rPr>
          <w:rFonts w:ascii="宋体" w:hAnsi="宋体"/>
          <w:color w:val="auto"/>
          <w:sz w:val="28"/>
          <w:szCs w:val="32"/>
          <w:highlight w:val="none"/>
        </w:rPr>
      </w:pPr>
      <w:r>
        <w:rPr>
          <w:rFonts w:hint="eastAsia" w:ascii="宋体" w:hAnsi="宋体"/>
          <w:color w:val="auto"/>
          <w:sz w:val="28"/>
          <w:szCs w:val="32"/>
          <w:highlight w:val="none"/>
        </w:rPr>
        <w:t>第六章  投标文件格式</w:t>
      </w:r>
      <w:bookmarkEnd w:id="119"/>
      <w:bookmarkEnd w:id="120"/>
      <w:bookmarkEnd w:id="121"/>
      <w:bookmarkEnd w:id="122"/>
    </w:p>
    <w:p>
      <w:pPr>
        <w:rPr>
          <w:rFonts w:ascii="宋体" w:hAnsi="宋体"/>
          <w:color w:val="auto"/>
          <w:highlight w:val="none"/>
        </w:rPr>
      </w:pPr>
    </w:p>
    <w:p>
      <w:pPr>
        <w:snapToGrid w:val="0"/>
        <w:spacing w:line="460" w:lineRule="exact"/>
        <w:ind w:firstLine="1108" w:firstLineChars="396"/>
        <w:jc w:val="right"/>
        <w:rPr>
          <w:rFonts w:ascii="宋体" w:hAnsi="宋体" w:cs="宋体"/>
          <w:b/>
          <w:color w:val="auto"/>
          <w:sz w:val="30"/>
          <w:szCs w:val="30"/>
          <w:highlight w:val="none"/>
        </w:rPr>
      </w:pPr>
      <w:r>
        <w:rPr>
          <w:rFonts w:hint="eastAsia" w:ascii="宋体" w:hAnsi="宋体" w:cs="宋体"/>
          <w:bCs/>
          <w:color w:val="auto"/>
          <w:sz w:val="28"/>
          <w:szCs w:val="28"/>
          <w:highlight w:val="none"/>
        </w:rPr>
        <w:t>正本(副本)</w:t>
      </w:r>
    </w:p>
    <w:p>
      <w:pPr>
        <w:snapToGrid w:val="0"/>
        <w:spacing w:before="156" w:beforeLines="50" w:after="156" w:afterLines="50" w:line="360" w:lineRule="auto"/>
        <w:rPr>
          <w:rFonts w:ascii="宋体" w:hAnsi="宋体" w:cs="宋体"/>
          <w:color w:val="auto"/>
          <w:sz w:val="48"/>
          <w:szCs w:val="48"/>
          <w:highlight w:val="none"/>
        </w:rPr>
      </w:pPr>
      <w:r>
        <w:rPr>
          <w:rFonts w:hint="eastAsia" w:ascii="宋体" w:hAnsi="宋体" w:cs="宋体"/>
          <w:color w:val="auto"/>
          <w:sz w:val="30"/>
          <w:szCs w:val="30"/>
          <w:highlight w:val="none"/>
        </w:rPr>
        <w:t xml:space="preserve">                   </w:t>
      </w:r>
      <w:r>
        <w:rPr>
          <w:rFonts w:hint="eastAsia" w:ascii="宋体" w:hAnsi="宋体" w:cs="宋体"/>
          <w:color w:val="auto"/>
          <w:sz w:val="48"/>
          <w:szCs w:val="48"/>
          <w:highlight w:val="none"/>
        </w:rPr>
        <w:t xml:space="preserve"> </w:t>
      </w:r>
    </w:p>
    <w:p>
      <w:pPr>
        <w:pStyle w:val="34"/>
        <w:rPr>
          <w:color w:val="auto"/>
          <w:highlight w:val="none"/>
        </w:rPr>
      </w:pPr>
    </w:p>
    <w:p>
      <w:pPr>
        <w:snapToGrid w:val="0"/>
        <w:spacing w:before="156" w:beforeLines="50" w:after="156" w:afterLines="50" w:line="360" w:lineRule="auto"/>
        <w:jc w:val="center"/>
        <w:rPr>
          <w:rFonts w:ascii="宋体" w:hAnsi="宋体" w:cs="宋体"/>
          <w:color w:val="auto"/>
          <w:spacing w:val="40"/>
          <w:sz w:val="40"/>
          <w:szCs w:val="40"/>
          <w:highlight w:val="none"/>
        </w:rPr>
      </w:pPr>
      <w:r>
        <w:rPr>
          <w:rFonts w:hint="eastAsia" w:ascii="宋体" w:hAnsi="宋体" w:cs="宋体"/>
          <w:color w:val="auto"/>
          <w:spacing w:val="40"/>
          <w:sz w:val="56"/>
          <w:szCs w:val="56"/>
          <w:highlight w:val="none"/>
        </w:rPr>
        <w:t>投 标 文 件</w:t>
      </w:r>
    </w:p>
    <w:p>
      <w:pPr>
        <w:snapToGrid w:val="0"/>
        <w:spacing w:before="156" w:beforeLines="50" w:after="156" w:afterLines="50" w:line="360" w:lineRule="auto"/>
        <w:jc w:val="center"/>
        <w:rPr>
          <w:rFonts w:ascii="宋体" w:hAnsi="宋体" w:cs="宋体"/>
          <w:color w:val="auto"/>
          <w:spacing w:val="40"/>
          <w:sz w:val="48"/>
          <w:szCs w:val="48"/>
          <w:highlight w:val="none"/>
        </w:rPr>
      </w:pPr>
    </w:p>
    <w:p>
      <w:pPr>
        <w:spacing w:before="156" w:beforeLines="50" w:after="156" w:afterLines="50" w:line="360" w:lineRule="auto"/>
        <w:ind w:right="532" w:firstLine="600" w:firstLineChars="200"/>
        <w:rPr>
          <w:rFonts w:ascii="宋体" w:hAnsi="宋体" w:cs="宋体"/>
          <w:color w:val="auto"/>
          <w:sz w:val="30"/>
          <w:szCs w:val="30"/>
          <w:highlight w:val="none"/>
        </w:rPr>
      </w:pPr>
    </w:p>
    <w:p>
      <w:pPr>
        <w:snapToGrid w:val="0"/>
        <w:spacing w:after="50" w:line="48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after="50" w:line="48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after="50" w:line="48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after="50" w:line="48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投标人地址：</w:t>
      </w:r>
    </w:p>
    <w:p>
      <w:pPr>
        <w:pStyle w:val="34"/>
        <w:ind w:firstLine="480"/>
        <w:rPr>
          <w:rFonts w:ascii="宋体" w:hAnsi="宋体" w:cs="宋体"/>
          <w:bCs/>
          <w:color w:val="auto"/>
          <w:sz w:val="24"/>
          <w:highlight w:val="none"/>
        </w:rPr>
      </w:pPr>
    </w:p>
    <w:p>
      <w:pPr>
        <w:pStyle w:val="34"/>
        <w:ind w:firstLine="480"/>
        <w:rPr>
          <w:rFonts w:ascii="宋体" w:hAnsi="宋体" w:cs="宋体"/>
          <w:bCs/>
          <w:color w:val="auto"/>
          <w:sz w:val="24"/>
          <w:highlight w:val="none"/>
        </w:rPr>
      </w:pPr>
    </w:p>
    <w:p>
      <w:pPr>
        <w:pStyle w:val="34"/>
        <w:ind w:firstLine="480"/>
        <w:rPr>
          <w:rFonts w:ascii="宋体" w:hAnsi="宋体" w:cs="宋体"/>
          <w:bCs/>
          <w:color w:val="auto"/>
          <w:sz w:val="24"/>
          <w:highlight w:val="none"/>
        </w:rPr>
      </w:pPr>
    </w:p>
    <w:p>
      <w:pPr>
        <w:pStyle w:val="34"/>
        <w:rPr>
          <w:bCs/>
          <w:color w:val="auto"/>
          <w:szCs w:val="21"/>
          <w:highlight w:val="none"/>
        </w:rPr>
      </w:pPr>
    </w:p>
    <w:p>
      <w:pPr>
        <w:snapToGrid w:val="0"/>
        <w:spacing w:after="50" w:line="480" w:lineRule="auto"/>
        <w:ind w:firstLine="480" w:firstLineChars="200"/>
        <w:jc w:val="right"/>
        <w:rPr>
          <w:rFonts w:ascii="宋体" w:hAnsi="宋体" w:cs="宋体"/>
          <w:bCs/>
          <w:color w:val="auto"/>
          <w:sz w:val="24"/>
          <w:highlight w:val="none"/>
        </w:rPr>
      </w:pPr>
      <w:r>
        <w:rPr>
          <w:rFonts w:hint="eastAsia" w:ascii="宋体" w:hAnsi="宋体" w:cs="宋体"/>
          <w:bCs/>
          <w:color w:val="auto"/>
          <w:sz w:val="24"/>
          <w:highlight w:val="none"/>
        </w:rPr>
        <w:t>投标单位全称（盖章）</w:t>
      </w:r>
    </w:p>
    <w:p>
      <w:pPr>
        <w:snapToGrid w:val="0"/>
        <w:spacing w:line="360" w:lineRule="auto"/>
        <w:ind w:left="-23" w:leftChars="-11" w:right="-55" w:rightChars="-26" w:firstLine="24" w:firstLineChars="10"/>
        <w:jc w:val="right"/>
        <w:rPr>
          <w:rFonts w:ascii="宋体" w:hAnsi="宋体" w:cs="宋体"/>
          <w:bCs/>
          <w:color w:val="auto"/>
          <w:sz w:val="24"/>
          <w:highlight w:val="none"/>
        </w:rPr>
      </w:pPr>
      <w:r>
        <w:rPr>
          <w:rFonts w:hint="eastAsia" w:ascii="宋体" w:hAnsi="宋体" w:cs="宋体"/>
          <w:bCs/>
          <w:color w:val="auto"/>
          <w:sz w:val="24"/>
          <w:highlight w:val="none"/>
        </w:rPr>
        <w:t xml:space="preserve">    年   月   日</w:t>
      </w:r>
    </w:p>
    <w:p>
      <w:pPr>
        <w:rPr>
          <w:rFonts w:ascii="宋体" w:hAnsi="宋体" w:cs="宋体"/>
          <w:bCs/>
          <w:color w:val="auto"/>
          <w:sz w:val="24"/>
          <w:highlight w:val="none"/>
        </w:rPr>
      </w:pPr>
      <w:r>
        <w:rPr>
          <w:rFonts w:hint="eastAsia" w:ascii="宋体" w:hAnsi="宋体" w:cs="宋体"/>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ind w:left="-23" w:leftChars="-11" w:right="-214" w:rightChars="-102" w:firstLine="28" w:firstLineChars="10"/>
        <w:jc w:val="center"/>
        <w:textAlignment w:val="auto"/>
        <w:outlineLvl w:val="1"/>
        <w:rPr>
          <w:rFonts w:hint="eastAsia" w:ascii="宋体" w:hAnsi="宋体" w:cs="Times New Roman"/>
          <w:b/>
          <w:color w:val="auto"/>
          <w:sz w:val="28"/>
          <w:szCs w:val="28"/>
          <w:highlight w:val="none"/>
        </w:rPr>
      </w:pPr>
      <w:r>
        <w:rPr>
          <w:rFonts w:hint="eastAsia" w:ascii="宋体" w:hAnsi="宋体" w:cs="Times New Roman"/>
          <w:b/>
          <w:color w:val="auto"/>
          <w:sz w:val="28"/>
          <w:szCs w:val="28"/>
          <w:highlight w:val="none"/>
        </w:rPr>
        <w:t>1.投标函</w:t>
      </w:r>
    </w:p>
    <w:p>
      <w:pPr>
        <w:snapToGrid w:val="0"/>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rPr>
        <w:t>致：</w:t>
      </w:r>
      <w:r>
        <w:rPr>
          <w:rFonts w:hint="eastAsia" w:ascii="宋体" w:hAnsi="宋体"/>
          <w:color w:val="auto"/>
          <w:szCs w:val="21"/>
          <w:highlight w:val="none"/>
          <w:u w:val="single"/>
          <w:lang w:val="en-US" w:eastAsia="zh-CN"/>
        </w:rPr>
        <w:t xml:space="preserve">  （采购人）</w:t>
      </w:r>
    </w:p>
    <w:p>
      <w:pPr>
        <w:snapToGrid w:val="0"/>
        <w:spacing w:line="360" w:lineRule="auto"/>
        <w:ind w:left="-23" w:leftChars="-11" w:right="-214" w:rightChars="-102" w:firstLine="447" w:firstLineChars="213"/>
        <w:jc w:val="left"/>
        <w:rPr>
          <w:rFonts w:ascii="宋体" w:hAnsi="宋体"/>
          <w:color w:val="auto"/>
          <w:szCs w:val="21"/>
          <w:highlight w:val="none"/>
        </w:rPr>
      </w:pPr>
      <w:r>
        <w:rPr>
          <w:rFonts w:hint="eastAsia" w:ascii="宋体" w:hAnsi="宋体"/>
          <w:color w:val="auto"/>
          <w:szCs w:val="21"/>
          <w:highlight w:val="none"/>
        </w:rPr>
        <w:t>我方确认收到贵方关于</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（项目名称）</w:t>
      </w:r>
      <w:r>
        <w:rPr>
          <w:rFonts w:hint="eastAsia" w:ascii="宋体" w:hAnsi="宋体"/>
          <w:color w:val="auto"/>
          <w:highlight w:val="none"/>
          <w:u w:val="single"/>
        </w:rPr>
        <w:t xml:space="preserve"> </w:t>
      </w:r>
      <w:r>
        <w:rPr>
          <w:rFonts w:hint="eastAsia" w:ascii="宋体" w:hAnsi="宋体"/>
          <w:color w:val="auto"/>
          <w:szCs w:val="21"/>
          <w:highlight w:val="none"/>
        </w:rPr>
        <w:t>的招标文件（项目编号：</w:t>
      </w:r>
      <w:r>
        <w:rPr>
          <w:rFonts w:hint="eastAsia" w:ascii="宋体" w:hAnsi="宋体"/>
          <w:color w:val="auto"/>
          <w:highlight w:val="none"/>
          <w:u w:val="single"/>
          <w:lang w:val="en-US" w:eastAsia="zh-CN"/>
        </w:rPr>
        <w:t xml:space="preserve">    </w:t>
      </w:r>
      <w:r>
        <w:rPr>
          <w:rFonts w:hint="eastAsia" w:ascii="宋体" w:hAnsi="宋体"/>
          <w:color w:val="auto"/>
          <w:szCs w:val="21"/>
          <w:highlight w:val="none"/>
        </w:rPr>
        <w:t>），法定代表人（或《法人代表人授权委托书》中的授权代表）</w:t>
      </w:r>
      <w:r>
        <w:rPr>
          <w:rFonts w:hint="eastAsia" w:ascii="宋体" w:hAnsi="宋体"/>
          <w:color w:val="auto"/>
          <w:szCs w:val="21"/>
          <w:highlight w:val="none"/>
          <w:u w:val="single"/>
        </w:rPr>
        <w:t xml:space="preserve">            </w:t>
      </w:r>
      <w:r>
        <w:rPr>
          <w:rFonts w:hint="eastAsia" w:ascii="宋体" w:hAnsi="宋体"/>
          <w:color w:val="auto"/>
          <w:szCs w:val="21"/>
          <w:highlight w:val="none"/>
        </w:rPr>
        <w:t>作为我方代表，在此声明并同意：</w:t>
      </w:r>
    </w:p>
    <w:p>
      <w:pPr>
        <w:snapToGrid w:val="0"/>
        <w:spacing w:line="360" w:lineRule="auto"/>
        <w:ind w:left="-23" w:right="-214" w:rightChars="-102" w:firstLine="447"/>
        <w:jc w:val="left"/>
        <w:rPr>
          <w:rFonts w:ascii="宋体" w:hAnsi="宋体"/>
          <w:color w:val="auto"/>
          <w:szCs w:val="21"/>
          <w:highlight w:val="none"/>
        </w:rPr>
      </w:pPr>
      <w:r>
        <w:rPr>
          <w:rFonts w:hint="eastAsia" w:ascii="宋体" w:hAnsi="宋体"/>
          <w:color w:val="auto"/>
          <w:szCs w:val="21"/>
          <w:highlight w:val="none"/>
        </w:rPr>
        <w:t>1.我</w:t>
      </w:r>
      <w:r>
        <w:rPr>
          <w:rFonts w:ascii="宋体" w:hAnsi="宋体"/>
          <w:color w:val="auto"/>
          <w:szCs w:val="21"/>
          <w:highlight w:val="none"/>
        </w:rPr>
        <w:t>方已详细审查并理解全部招标文件的要求</w:t>
      </w:r>
      <w:r>
        <w:rPr>
          <w:rFonts w:hint="eastAsia" w:ascii="宋体" w:hAnsi="宋体"/>
          <w:color w:val="auto"/>
          <w:szCs w:val="21"/>
          <w:highlight w:val="none"/>
        </w:rPr>
        <w:t>，包括招标文件的澄清及修改文件（如有）以及全部参考资料和有关附件，我们同意放弃对招标文件提出不明或误解的一切权力。</w:t>
      </w:r>
    </w:p>
    <w:p>
      <w:pPr>
        <w:snapToGrid w:val="0"/>
        <w:spacing w:line="360" w:lineRule="auto"/>
        <w:ind w:left="-23" w:leftChars="-11" w:right="-214" w:rightChars="-102" w:firstLine="447" w:firstLineChars="213"/>
        <w:jc w:val="left"/>
        <w:rPr>
          <w:rFonts w:ascii="宋体" w:hAnsi="宋体"/>
          <w:color w:val="auto"/>
          <w:szCs w:val="21"/>
          <w:highlight w:val="none"/>
        </w:rPr>
      </w:pPr>
      <w:r>
        <w:rPr>
          <w:rFonts w:hint="eastAsia" w:ascii="宋体" w:hAnsi="宋体"/>
          <w:color w:val="auto"/>
          <w:szCs w:val="21"/>
          <w:highlight w:val="none"/>
        </w:rPr>
        <w:t>2.投标有效期从提交投标文件的截止之日起</w:t>
      </w:r>
      <w:r>
        <w:rPr>
          <w:rFonts w:hint="eastAsia" w:ascii="宋体" w:hAnsi="宋体"/>
          <w:color w:val="auto"/>
          <w:highlight w:val="none"/>
          <w:u w:val="single"/>
        </w:rPr>
        <w:t xml:space="preserve">  90  </w:t>
      </w:r>
      <w:r>
        <w:rPr>
          <w:rFonts w:hint="eastAsia" w:ascii="宋体" w:hAnsi="宋体"/>
          <w:color w:val="auto"/>
          <w:szCs w:val="21"/>
          <w:highlight w:val="none"/>
        </w:rPr>
        <w:t>日历天内有效。</w:t>
      </w:r>
    </w:p>
    <w:p>
      <w:pPr>
        <w:snapToGrid w:val="0"/>
        <w:spacing w:line="360" w:lineRule="auto"/>
        <w:ind w:left="-23" w:leftChars="-11" w:right="-214" w:rightChars="-102" w:firstLine="447" w:firstLineChars="213"/>
        <w:jc w:val="left"/>
        <w:rPr>
          <w:rFonts w:ascii="宋体" w:hAnsi="宋体"/>
          <w:color w:val="auto"/>
          <w:szCs w:val="21"/>
          <w:highlight w:val="none"/>
        </w:rPr>
      </w:pPr>
      <w:r>
        <w:rPr>
          <w:rFonts w:hint="eastAsia" w:ascii="宋体" w:hAnsi="宋体"/>
          <w:color w:val="auto"/>
          <w:szCs w:val="21"/>
          <w:highlight w:val="none"/>
        </w:rPr>
        <w:t>3.我方愿意提供招标人或招标代理机构与评标委员会要求的有关投标的一切数据或资料。</w:t>
      </w:r>
    </w:p>
    <w:p>
      <w:pPr>
        <w:snapToGrid w:val="0"/>
        <w:spacing w:line="360" w:lineRule="auto"/>
        <w:ind w:left="-23" w:leftChars="-11" w:right="-214" w:rightChars="-102" w:firstLine="447" w:firstLineChars="213"/>
        <w:jc w:val="left"/>
        <w:rPr>
          <w:rFonts w:ascii="宋体" w:hAnsi="宋体"/>
          <w:color w:val="auto"/>
          <w:szCs w:val="21"/>
          <w:highlight w:val="none"/>
        </w:rPr>
      </w:pPr>
      <w:r>
        <w:rPr>
          <w:rFonts w:hint="eastAsia" w:ascii="宋体" w:hAnsi="宋体"/>
          <w:color w:val="auto"/>
          <w:szCs w:val="21"/>
          <w:highlight w:val="none"/>
        </w:rPr>
        <w:t>4.我方提交的一切文件，无论是原件还是复印件均为准确、真实、有效的，绝无任何虚假、伪造或者夸大。我们在此郑重承诺：在本次招标采购活动中，如有违法、违规、弄虚作假及违背诚信的行为，所造成的损失、不良后果及法律责任，一律由我方承担。</w:t>
      </w:r>
    </w:p>
    <w:p>
      <w:pPr>
        <w:snapToGrid w:val="0"/>
        <w:spacing w:line="360" w:lineRule="auto"/>
        <w:ind w:left="-23" w:leftChars="-11" w:right="-214" w:rightChars="-102" w:firstLine="447" w:firstLineChars="213"/>
        <w:jc w:val="left"/>
        <w:rPr>
          <w:rFonts w:ascii="宋体" w:hAnsi="宋体"/>
          <w:color w:val="auto"/>
          <w:szCs w:val="21"/>
          <w:highlight w:val="none"/>
        </w:rPr>
      </w:pPr>
      <w:r>
        <w:rPr>
          <w:rFonts w:hint="eastAsia" w:ascii="宋体" w:hAnsi="宋体"/>
          <w:color w:val="auto"/>
          <w:szCs w:val="21"/>
          <w:highlight w:val="none"/>
        </w:rPr>
        <w:t>5.如果我们提供的声明或承诺不真实，则完全同意认定为我方提供虚假材料，并同意作相应处理。</w:t>
      </w:r>
    </w:p>
    <w:p>
      <w:pPr>
        <w:snapToGrid w:val="0"/>
        <w:spacing w:line="360" w:lineRule="auto"/>
        <w:ind w:left="-23" w:leftChars="-11" w:right="-214" w:rightChars="-102" w:firstLine="447" w:firstLineChars="213"/>
        <w:jc w:val="left"/>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.如我方获得中标，承诺按照招标文件规定的金额、时间和方式支付招标代理服务费。因我方违约致使招标代理机构采取诉讼或仲裁等方式实现债权，为此支付的</w:t>
      </w:r>
      <w:r>
        <w:rPr>
          <w:rFonts w:hint="eastAsia" w:ascii="宋体" w:hAnsi="宋体"/>
          <w:color w:val="auto"/>
          <w:szCs w:val="21"/>
          <w:highlight w:val="none"/>
        </w:rPr>
        <w:t>律师费、诉讼费、</w:t>
      </w:r>
      <w:r>
        <w:rPr>
          <w:rFonts w:ascii="宋体" w:hAnsi="宋体"/>
          <w:color w:val="auto"/>
          <w:szCs w:val="21"/>
          <w:highlight w:val="none"/>
        </w:rPr>
        <w:t>执行费</w:t>
      </w:r>
      <w:r>
        <w:rPr>
          <w:rFonts w:hint="eastAsia" w:ascii="宋体" w:hAnsi="宋体"/>
          <w:color w:val="auto"/>
          <w:szCs w:val="21"/>
          <w:highlight w:val="none"/>
        </w:rPr>
        <w:t>、公证费、认证费、鉴定费、保全费、担保费、差旅费等为</w:t>
      </w:r>
      <w:r>
        <w:rPr>
          <w:rFonts w:ascii="宋体" w:hAnsi="宋体"/>
          <w:color w:val="auto"/>
          <w:szCs w:val="21"/>
          <w:highlight w:val="none"/>
        </w:rPr>
        <w:t>实现债权的一切费用由我方承担。</w:t>
      </w:r>
    </w:p>
    <w:p>
      <w:pPr>
        <w:snapToGrid w:val="0"/>
        <w:spacing w:line="360" w:lineRule="auto"/>
        <w:ind w:left="-23" w:leftChars="-11" w:right="-214" w:rightChars="-102" w:firstLine="447" w:firstLineChars="213"/>
        <w:jc w:val="left"/>
        <w:rPr>
          <w:rFonts w:ascii="宋体" w:hAnsi="宋体"/>
          <w:color w:val="auto"/>
          <w:szCs w:val="21"/>
          <w:highlight w:val="none"/>
        </w:rPr>
      </w:pPr>
      <w:r>
        <w:rPr>
          <w:rFonts w:hint="eastAsia" w:ascii="宋体" w:hAnsi="宋体"/>
          <w:color w:val="auto"/>
          <w:szCs w:val="21"/>
          <w:highlight w:val="none"/>
        </w:rPr>
        <w:t>7.所有有关本次投标的函电请寄：</w:t>
      </w:r>
    </w:p>
    <w:p>
      <w:pPr>
        <w:snapToGrid w:val="0"/>
        <w:spacing w:line="360" w:lineRule="auto"/>
        <w:rPr>
          <w:rFonts w:ascii="宋体" w:hAnsi="宋体"/>
          <w:color w:val="auto"/>
          <w:highlight w:val="none"/>
          <w:u w:val="single"/>
        </w:rPr>
      </w:pPr>
      <w:r>
        <w:rPr>
          <w:rFonts w:hint="eastAsia" w:ascii="宋体" w:hAnsi="宋体"/>
          <w:color w:val="auto"/>
          <w:szCs w:val="21"/>
          <w:highlight w:val="none"/>
        </w:rPr>
        <w:t>地址：</w:t>
      </w:r>
      <w:r>
        <w:rPr>
          <w:rFonts w:hint="eastAsia" w:ascii="宋体" w:hAnsi="宋体"/>
          <w:color w:val="auto"/>
          <w:highlight w:val="none"/>
          <w:u w:val="single"/>
        </w:rPr>
        <w:t xml:space="preserve">                         </w:t>
      </w:r>
      <w:r>
        <w:rPr>
          <w:rFonts w:hint="eastAsia" w:ascii="宋体" w:hAnsi="宋体"/>
          <w:color w:val="auto"/>
          <w:szCs w:val="21"/>
          <w:highlight w:val="none"/>
        </w:rPr>
        <w:t xml:space="preserve">   邮编：</w:t>
      </w:r>
      <w:r>
        <w:rPr>
          <w:rFonts w:hint="eastAsia" w:ascii="宋体" w:hAnsi="宋体"/>
          <w:color w:val="auto"/>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highlight w:val="none"/>
          <w:u w:val="single"/>
        </w:rPr>
        <w:t xml:space="preserve">                         </w:t>
      </w:r>
      <w:r>
        <w:rPr>
          <w:rFonts w:hint="eastAsia" w:ascii="宋体" w:hAnsi="宋体"/>
          <w:color w:val="auto"/>
          <w:szCs w:val="21"/>
          <w:highlight w:val="none"/>
        </w:rPr>
        <w:t xml:space="preserve">   电子邮箱： </w:t>
      </w:r>
      <w:r>
        <w:rPr>
          <w:rFonts w:hint="eastAsia" w:ascii="宋体" w:hAnsi="宋体"/>
          <w:color w:val="auto"/>
          <w:highlight w:val="none"/>
          <w:u w:val="single"/>
        </w:rPr>
        <w:t xml:space="preserve">           </w:t>
      </w:r>
    </w:p>
    <w:p>
      <w:pPr>
        <w:snapToGrid w:val="0"/>
        <w:spacing w:line="360" w:lineRule="auto"/>
        <w:rPr>
          <w:rFonts w:ascii="宋体" w:hAnsi="宋体"/>
          <w:color w:val="auto"/>
          <w:szCs w:val="21"/>
          <w:highlight w:val="none"/>
        </w:rPr>
      </w:pPr>
    </w:p>
    <w:p>
      <w:pPr>
        <w:pStyle w:val="34"/>
        <w:rPr>
          <w:rFonts w:ascii="宋体" w:hAnsi="宋体"/>
          <w:color w:val="auto"/>
          <w:szCs w:val="21"/>
          <w:highlight w:val="none"/>
        </w:rPr>
      </w:pPr>
    </w:p>
    <w:p>
      <w:pPr>
        <w:pStyle w:val="34"/>
        <w:rPr>
          <w:rFonts w:ascii="宋体" w:hAnsi="宋体"/>
          <w:color w:val="auto"/>
          <w:szCs w:val="21"/>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法定代表人（或分行负责人或支行负责人）或授权委托人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rPr>
          <w:rFonts w:ascii="宋体" w:hAnsi="宋体"/>
          <w:color w:val="auto"/>
          <w:szCs w:val="21"/>
          <w:highlight w:val="none"/>
        </w:rPr>
      </w:pPr>
      <w:r>
        <w:rPr>
          <w:rFonts w:hint="eastAsia" w:ascii="宋体" w:hAnsi="宋体" w:cs="宋体"/>
          <w:color w:val="auto"/>
          <w:szCs w:val="21"/>
          <w:highlight w:val="none"/>
        </w:rPr>
        <w:t>日  期：    年    月    日</w:t>
      </w:r>
    </w:p>
    <w:p>
      <w:pPr>
        <w:snapToGrid w:val="0"/>
        <w:spacing w:line="360" w:lineRule="auto"/>
        <w:ind w:left="-23" w:leftChars="-11" w:right="-214" w:rightChars="-102" w:firstLine="21" w:firstLineChars="10"/>
        <w:jc w:val="center"/>
        <w:rPr>
          <w:rFonts w:ascii="宋体" w:hAnsi="宋体"/>
          <w:b/>
          <w:color w:val="auto"/>
          <w:szCs w:val="21"/>
          <w:highlight w:val="none"/>
        </w:rPr>
      </w:pPr>
      <w:r>
        <w:rPr>
          <w:rFonts w:ascii="宋体" w:hAnsi="宋体"/>
          <w:b/>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color w:val="auto"/>
          <w:sz w:val="30"/>
          <w:szCs w:val="30"/>
          <w:highlight w:val="none"/>
        </w:rPr>
      </w:pPr>
      <w:r>
        <w:rPr>
          <w:rFonts w:hint="eastAsia" w:ascii="宋体" w:hAnsi="宋体" w:cs="宋体"/>
          <w:b/>
          <w:color w:val="auto"/>
          <w:sz w:val="30"/>
          <w:szCs w:val="30"/>
          <w:highlight w:val="none"/>
          <w:lang w:val="en-US" w:eastAsia="zh-CN"/>
        </w:rPr>
        <w:t>2</w:t>
      </w:r>
      <w:r>
        <w:rPr>
          <w:rFonts w:hint="eastAsia" w:ascii="宋体" w:hAnsi="宋体" w:eastAsia="宋体" w:cs="宋体"/>
          <w:b/>
          <w:color w:val="auto"/>
          <w:sz w:val="30"/>
          <w:szCs w:val="30"/>
          <w:highlight w:val="none"/>
        </w:rPr>
        <w:t>.</w:t>
      </w:r>
      <w:bookmarkStart w:id="123" w:name="_Hlk76995954"/>
      <w:r>
        <w:rPr>
          <w:rFonts w:hint="eastAsia" w:ascii="宋体" w:hAnsi="宋体" w:eastAsia="宋体" w:cs="宋体"/>
          <w:b/>
          <w:color w:val="auto"/>
          <w:sz w:val="30"/>
          <w:szCs w:val="30"/>
          <w:highlight w:val="none"/>
        </w:rPr>
        <w:t>法定代表人（或分行负责人或支行负责人）身份证明书</w:t>
      </w:r>
      <w:bookmarkEnd w:id="123"/>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的法定代表人（或分行负责人或支行负责人）。</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p>
      <w:pPr>
        <w:spacing w:line="360" w:lineRule="auto"/>
        <w:ind w:firstLine="2835" w:firstLineChars="13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投标人名称（公章）：</w:t>
      </w:r>
      <w:r>
        <w:rPr>
          <w:rFonts w:hint="eastAsia" w:ascii="宋体" w:hAnsi="宋体" w:eastAsia="宋体" w:cs="宋体"/>
          <w:color w:val="auto"/>
          <w:szCs w:val="21"/>
          <w:highlight w:val="none"/>
          <w:u w:val="single"/>
        </w:rPr>
        <w:t xml:space="preserve">                           </w:t>
      </w:r>
    </w:p>
    <w:p>
      <w:pPr>
        <w:spacing w:line="360" w:lineRule="auto"/>
        <w:ind w:firstLine="4200" w:firstLineChars="20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日</w:t>
      </w:r>
    </w:p>
    <w:p>
      <w:pPr>
        <w:rPr>
          <w:rFonts w:hint="eastAsia" w:ascii="宋体" w:hAnsi="宋体" w:cs="Times New Roman"/>
          <w:b/>
          <w:color w:val="auto"/>
          <w:sz w:val="28"/>
          <w:szCs w:val="28"/>
          <w:highlight w:val="none"/>
        </w:rPr>
      </w:pPr>
    </w:p>
    <w:p>
      <w:pPr>
        <w:rPr>
          <w:rFonts w:hint="eastAsia" w:ascii="宋体" w:hAnsi="宋体" w:cs="Times New Roman"/>
          <w:b/>
          <w:color w:val="auto"/>
          <w:sz w:val="28"/>
          <w:szCs w:val="28"/>
          <w:highlight w:val="none"/>
          <w:lang w:val="en-US" w:eastAsia="zh-CN"/>
        </w:rPr>
      </w:pPr>
      <w:r>
        <w:rPr>
          <w:rFonts w:hint="eastAsia" w:ascii="宋体" w:hAnsi="宋体" w:cs="Times New Roman"/>
          <w:b/>
          <w:color w:val="auto"/>
          <w:sz w:val="28"/>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val="0"/>
        <w:spacing w:line="360" w:lineRule="auto"/>
        <w:ind w:left="-23" w:leftChars="-11" w:right="-214" w:rightChars="-102" w:firstLine="28" w:firstLineChars="10"/>
        <w:jc w:val="center"/>
        <w:textAlignment w:val="auto"/>
        <w:outlineLvl w:val="1"/>
        <w:rPr>
          <w:rFonts w:hint="eastAsia" w:ascii="宋体" w:hAnsi="宋体" w:cs="Times New Roman"/>
          <w:b/>
          <w:color w:val="auto"/>
          <w:sz w:val="28"/>
          <w:szCs w:val="28"/>
          <w:highlight w:val="none"/>
        </w:rPr>
      </w:pPr>
      <w:r>
        <w:rPr>
          <w:rFonts w:hint="eastAsia" w:ascii="宋体" w:hAnsi="宋体" w:cs="Times New Roman"/>
          <w:b/>
          <w:color w:val="auto"/>
          <w:sz w:val="28"/>
          <w:szCs w:val="28"/>
          <w:highlight w:val="none"/>
          <w:lang w:val="en-US" w:eastAsia="zh-CN"/>
        </w:rPr>
        <w:t>3</w:t>
      </w:r>
      <w:r>
        <w:rPr>
          <w:rFonts w:hint="eastAsia" w:ascii="宋体" w:hAnsi="宋体" w:cs="Times New Roman"/>
          <w:b/>
          <w:color w:val="auto"/>
          <w:sz w:val="28"/>
          <w:szCs w:val="28"/>
          <w:highlight w:val="none"/>
        </w:rPr>
        <w:t>.法定代表人（或分行负责人或支行负责人）授权委托书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本授权书声明：我</w:t>
      </w:r>
      <w:r>
        <w:rPr>
          <w:rFonts w:hint="eastAsia" w:ascii="宋体" w:hAnsi="宋体" w:cs="宋体"/>
          <w:color w:val="auto"/>
          <w:szCs w:val="21"/>
          <w:highlight w:val="none"/>
          <w:u w:val="single"/>
        </w:rPr>
        <w:t>（姓名）</w:t>
      </w:r>
      <w:r>
        <w:rPr>
          <w:rFonts w:hint="eastAsia" w:ascii="宋体" w:hAnsi="宋体" w:cs="宋体"/>
          <w:color w:val="auto"/>
          <w:szCs w:val="21"/>
          <w:highlight w:val="none"/>
        </w:rPr>
        <w:t>系注册于</w:t>
      </w:r>
      <w:r>
        <w:rPr>
          <w:rFonts w:hint="eastAsia" w:ascii="宋体" w:hAnsi="宋体" w:cs="宋体"/>
          <w:color w:val="auto"/>
          <w:szCs w:val="21"/>
          <w:highlight w:val="none"/>
          <w:u w:val="single"/>
        </w:rPr>
        <w:t>（单位地址）</w:t>
      </w:r>
      <w:r>
        <w:rPr>
          <w:rFonts w:hint="eastAsia" w:ascii="宋体" w:hAnsi="宋体" w:cs="宋体"/>
          <w:color w:val="auto"/>
          <w:szCs w:val="21"/>
          <w:highlight w:val="none"/>
        </w:rPr>
        <w:t>的</w:t>
      </w:r>
      <w:r>
        <w:rPr>
          <w:rFonts w:hint="eastAsia" w:ascii="宋体" w:hAnsi="宋体" w:cs="宋体"/>
          <w:color w:val="auto"/>
          <w:szCs w:val="21"/>
          <w:highlight w:val="none"/>
          <w:u w:val="single"/>
        </w:rPr>
        <w:t>（投标人名称）</w:t>
      </w:r>
      <w:r>
        <w:rPr>
          <w:rFonts w:hint="eastAsia" w:ascii="宋体" w:hAnsi="宋体" w:cs="宋体"/>
          <w:color w:val="auto"/>
          <w:szCs w:val="21"/>
          <w:highlight w:val="none"/>
        </w:rPr>
        <w:t>的法定代表人（或分行负责人或支行负责人），现授权委托</w:t>
      </w:r>
      <w:r>
        <w:rPr>
          <w:rFonts w:hint="eastAsia" w:ascii="宋体" w:hAnsi="宋体" w:cs="宋体"/>
          <w:color w:val="auto"/>
          <w:szCs w:val="21"/>
          <w:highlight w:val="none"/>
          <w:u w:val="single"/>
        </w:rPr>
        <w:t>（被授权人姓名、职务）</w:t>
      </w:r>
      <w:r>
        <w:rPr>
          <w:rFonts w:hint="eastAsia" w:ascii="宋体" w:hAnsi="宋体" w:cs="宋体"/>
          <w:color w:val="auto"/>
          <w:szCs w:val="21"/>
          <w:highlight w:val="none"/>
        </w:rPr>
        <w:t>为我行的合法代理人，以本行的名义参加</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的投标活动。代理人在参与投标过程中所签署的一切文件和处理与之有关的一切事务，我行均予以承认。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本授权书于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日签字生效。特此声明。</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投标人名称（公章）：</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法定代表人（或分行负责人或支行负责人）签字或盖章：</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授权委托人签字：</w:t>
      </w:r>
      <w:r>
        <w:rPr>
          <w:rFonts w:hint="eastAsia" w:ascii="宋体" w:hAnsi="宋体" w:cs="宋体"/>
          <w:color w:val="auto"/>
          <w:szCs w:val="21"/>
          <w:highlight w:val="none"/>
          <w:u w:val="single"/>
        </w:rPr>
        <w:t xml:space="preserve">                                           </w:t>
      </w:r>
    </w:p>
    <w:p>
      <w:pPr>
        <w:snapToGrid w:val="0"/>
        <w:spacing w:line="360" w:lineRule="auto"/>
        <w:ind w:left="-23" w:leftChars="-11" w:right="-214" w:rightChars="-102" w:firstLine="21" w:firstLineChars="10"/>
        <w:jc w:val="center"/>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注：后附授权代表身份证正反面复印件</w:t>
      </w:r>
    </w:p>
    <w:p>
      <w:pPr>
        <w:pStyle w:val="35"/>
        <w:rPr>
          <w:rFonts w:ascii="宋体" w:hAnsi="宋体"/>
          <w:color w:val="auto"/>
          <w:highlight w:val="none"/>
        </w:rPr>
      </w:pPr>
      <w:r>
        <w:rPr>
          <w:rFonts w:ascii="宋体" w:hAnsi="宋体"/>
          <w:color w:val="auto"/>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ind w:left="-23" w:leftChars="-11" w:right="-214" w:rightChars="-102" w:firstLine="28" w:firstLineChars="10"/>
        <w:jc w:val="center"/>
        <w:textAlignment w:val="auto"/>
        <w:outlineLvl w:val="1"/>
        <w:rPr>
          <w:rFonts w:ascii="宋体" w:hAnsi="宋体"/>
          <w:b/>
          <w:color w:val="auto"/>
          <w:sz w:val="28"/>
          <w:szCs w:val="28"/>
          <w:highlight w:val="none"/>
        </w:rPr>
      </w:pPr>
      <w:r>
        <w:rPr>
          <w:rFonts w:hint="eastAsia" w:ascii="宋体" w:hAnsi="宋体"/>
          <w:b/>
          <w:color w:val="auto"/>
          <w:sz w:val="28"/>
          <w:szCs w:val="28"/>
          <w:highlight w:val="none"/>
          <w:lang w:val="en-US" w:eastAsia="zh-CN"/>
        </w:rPr>
        <w:t>4</w:t>
      </w:r>
      <w:r>
        <w:rPr>
          <w:rFonts w:hint="eastAsia" w:ascii="宋体" w:hAnsi="宋体"/>
          <w:b/>
          <w:color w:val="auto"/>
          <w:sz w:val="28"/>
          <w:szCs w:val="28"/>
          <w:highlight w:val="none"/>
        </w:rPr>
        <w:t>.投标人资格声明函</w:t>
      </w:r>
    </w:p>
    <w:p>
      <w:pPr>
        <w:spacing w:line="360" w:lineRule="auto"/>
        <w:jc w:val="left"/>
        <w:rPr>
          <w:rFonts w:hint="default" w:ascii="宋体" w:hAnsi="宋体" w:eastAsia="宋体" w:cs="宋体"/>
          <w:b/>
          <w:color w:val="auto"/>
          <w:kern w:val="1"/>
          <w:szCs w:val="21"/>
          <w:highlight w:val="none"/>
          <w:lang w:val="en-US" w:eastAsia="zh-CN"/>
        </w:rPr>
      </w:pPr>
      <w:r>
        <w:rPr>
          <w:rFonts w:hint="eastAsia" w:ascii="宋体" w:hAnsi="宋体"/>
          <w:bCs/>
          <w:color w:val="auto"/>
          <w:szCs w:val="21"/>
          <w:highlight w:val="none"/>
        </w:rPr>
        <w:t>致：</w:t>
      </w:r>
      <w:r>
        <w:rPr>
          <w:rFonts w:hint="eastAsia" w:ascii="宋体" w:hAnsi="宋体"/>
          <w:color w:val="auto"/>
          <w:szCs w:val="21"/>
          <w:highlight w:val="none"/>
          <w:u w:val="single"/>
          <w:lang w:val="en-US" w:eastAsia="zh-CN"/>
        </w:rPr>
        <w:t xml:space="preserve">   （采购人）</w:t>
      </w:r>
    </w:p>
    <w:p>
      <w:pPr>
        <w:spacing w:line="360" w:lineRule="auto"/>
        <w:ind w:firstLine="424"/>
        <w:jc w:val="left"/>
        <w:rPr>
          <w:rFonts w:ascii="宋体" w:hAnsi="宋体" w:cs="宋体"/>
          <w:b/>
          <w:color w:val="auto"/>
          <w:kern w:val="1"/>
          <w:szCs w:val="21"/>
          <w:highlight w:val="none"/>
        </w:rPr>
      </w:pPr>
      <w:r>
        <w:rPr>
          <w:rFonts w:ascii="宋体" w:hAnsi="宋体" w:cs="宋体"/>
          <w:b/>
          <w:color w:val="auto"/>
          <w:kern w:val="1"/>
          <w:szCs w:val="21"/>
          <w:highlight w:val="none"/>
        </w:rPr>
        <w:t>本单位</w:t>
      </w:r>
      <w:r>
        <w:rPr>
          <w:rFonts w:hint="eastAsia" w:ascii="宋体" w:hAnsi="宋体" w:cs="宋体"/>
          <w:b/>
          <w:color w:val="auto"/>
          <w:kern w:val="1"/>
          <w:szCs w:val="21"/>
          <w:highlight w:val="none"/>
        </w:rPr>
        <w:t>自愿</w:t>
      </w:r>
      <w:r>
        <w:rPr>
          <w:rFonts w:ascii="宋体" w:hAnsi="宋体" w:cs="宋体"/>
          <w:b/>
          <w:color w:val="auto"/>
          <w:kern w:val="1"/>
          <w:szCs w:val="21"/>
          <w:highlight w:val="none"/>
        </w:rPr>
        <w:t>参加投标，并声明</w:t>
      </w:r>
      <w:r>
        <w:rPr>
          <w:rFonts w:hint="eastAsia" w:ascii="宋体" w:hAnsi="宋体" w:cs="宋体"/>
          <w:b/>
          <w:color w:val="auto"/>
          <w:kern w:val="1"/>
          <w:szCs w:val="21"/>
          <w:highlight w:val="none"/>
        </w:rPr>
        <w:t>：</w:t>
      </w:r>
    </w:p>
    <w:p>
      <w:pPr>
        <w:pStyle w:val="35"/>
        <w:spacing w:line="360" w:lineRule="auto"/>
        <w:ind w:left="0" w:leftChars="0" w:firstLineChars="200"/>
        <w:rPr>
          <w:rFonts w:ascii="宋体" w:hAnsi="宋体" w:cs="宋体"/>
          <w:bCs/>
          <w:color w:val="auto"/>
          <w:kern w:val="1"/>
          <w:highlight w:val="none"/>
        </w:rPr>
      </w:pPr>
      <w:r>
        <w:rPr>
          <w:rFonts w:hint="eastAsia" w:ascii="宋体" w:hAnsi="宋体" w:cs="宋体"/>
          <w:bCs/>
          <w:color w:val="auto"/>
          <w:kern w:val="1"/>
          <w:highlight w:val="none"/>
        </w:rPr>
        <w:t>1）我方为在中华人民共和国境内依法设立且在宁波市江北区设有分支机构的国有商业银行、股份制商业银行、邮政储蓄银行、城市商业银行、农村信用合作联社、农村商业银行、农村合作银行及政策性银行等银行机构的总行（总机构在甬）、宁波市市级分行（总机构不在甬）或其在江北区设置的一级支行。</w:t>
      </w:r>
    </w:p>
    <w:p>
      <w:pPr>
        <w:pStyle w:val="35"/>
        <w:spacing w:line="360" w:lineRule="auto"/>
        <w:ind w:left="0" w:leftChars="0" w:firstLineChars="200"/>
        <w:rPr>
          <w:rFonts w:ascii="宋体" w:hAnsi="宋体" w:cs="宋体"/>
          <w:bCs/>
          <w:color w:val="auto"/>
          <w:kern w:val="1"/>
          <w:highlight w:val="none"/>
        </w:rPr>
      </w:pPr>
      <w:r>
        <w:rPr>
          <w:rFonts w:hint="eastAsia" w:ascii="宋体" w:hAnsi="宋体" w:cs="宋体"/>
          <w:bCs/>
          <w:color w:val="auto"/>
          <w:kern w:val="1"/>
          <w:highlight w:val="none"/>
        </w:rPr>
        <w:t>2）依法开展经营活动，近三年内在经营活动中无重大违法违规记录及重大违约事件。</w:t>
      </w:r>
    </w:p>
    <w:p>
      <w:pPr>
        <w:spacing w:line="360" w:lineRule="auto"/>
        <w:ind w:firstLine="420" w:firstLineChars="200"/>
        <w:jc w:val="left"/>
        <w:rPr>
          <w:rFonts w:ascii="宋体" w:hAnsi="宋体" w:cs="宋体"/>
          <w:bCs/>
          <w:color w:val="auto"/>
          <w:kern w:val="1"/>
          <w:highlight w:val="none"/>
        </w:rPr>
      </w:pPr>
      <w:r>
        <w:rPr>
          <w:rFonts w:hint="eastAsia" w:ascii="宋体" w:hAnsi="宋体" w:cs="宋体"/>
          <w:bCs/>
          <w:color w:val="auto"/>
          <w:kern w:val="1"/>
          <w:highlight w:val="none"/>
        </w:rPr>
        <w:t>3）未被信用中国网站（www.creditchina.gov.cn）列入失信被执行人、重大税收违法失信主体（以开标当日查询结果为准）；</w:t>
      </w:r>
    </w:p>
    <w:p>
      <w:pPr>
        <w:spacing w:line="360" w:lineRule="auto"/>
        <w:ind w:firstLine="420" w:firstLineChars="200"/>
        <w:jc w:val="left"/>
        <w:rPr>
          <w:rFonts w:ascii="宋体" w:hAnsi="宋体" w:cs="宋体"/>
          <w:bCs/>
          <w:color w:val="auto"/>
          <w:kern w:val="1"/>
          <w:highlight w:val="none"/>
        </w:rPr>
      </w:pPr>
      <w:r>
        <w:rPr>
          <w:rFonts w:hint="eastAsia"/>
          <w:color w:val="auto"/>
          <w:highlight w:val="none"/>
        </w:rPr>
        <w:t>4）纳入监管评级的银行，人民银行2</w:t>
      </w:r>
      <w:r>
        <w:rPr>
          <w:color w:val="auto"/>
          <w:highlight w:val="none"/>
        </w:rPr>
        <w:t>022</w:t>
      </w:r>
      <w:r>
        <w:rPr>
          <w:rFonts w:hint="eastAsia"/>
          <w:color w:val="auto"/>
          <w:highlight w:val="none"/>
        </w:rPr>
        <w:t>年度综合评价应达到B级及以上，不纳入人民银行评级范围的银行不受此限制。</w:t>
      </w:r>
    </w:p>
    <w:p>
      <w:pPr>
        <w:pStyle w:val="35"/>
        <w:spacing w:line="360" w:lineRule="auto"/>
        <w:ind w:left="0" w:leftChars="0" w:firstLineChars="200"/>
        <w:rPr>
          <w:rFonts w:ascii="宋体" w:hAnsi="宋体" w:cs="宋体"/>
          <w:bCs/>
          <w:color w:val="auto"/>
          <w:kern w:val="1"/>
          <w:highlight w:val="none"/>
        </w:rPr>
      </w:pPr>
      <w:r>
        <w:rPr>
          <w:rFonts w:ascii="宋体" w:hAnsi="宋体" w:cs="宋体"/>
          <w:bCs/>
          <w:color w:val="auto"/>
          <w:kern w:val="1"/>
          <w:highlight w:val="none"/>
        </w:rPr>
        <w:t>5</w:t>
      </w:r>
      <w:r>
        <w:rPr>
          <w:rFonts w:hint="eastAsia" w:ascii="宋体" w:hAnsi="宋体" w:cs="宋体"/>
          <w:bCs/>
          <w:color w:val="auto"/>
          <w:kern w:val="1"/>
          <w:highlight w:val="none"/>
        </w:rPr>
        <w:t>）不属于联合体投标。</w:t>
      </w:r>
    </w:p>
    <w:p>
      <w:pPr>
        <w:pStyle w:val="35"/>
        <w:spacing w:line="360" w:lineRule="auto"/>
        <w:ind w:left="0" w:leftChars="0" w:firstLineChars="200"/>
        <w:rPr>
          <w:rFonts w:ascii="宋体" w:hAnsi="宋体" w:cs="宋体"/>
          <w:bCs/>
          <w:color w:val="auto"/>
          <w:kern w:val="1"/>
          <w:highlight w:val="none"/>
        </w:rPr>
      </w:pPr>
    </w:p>
    <w:p>
      <w:pPr>
        <w:pStyle w:val="35"/>
        <w:spacing w:line="360" w:lineRule="auto"/>
        <w:ind w:left="0" w:leftChars="0" w:firstLineChars="200"/>
        <w:rPr>
          <w:rFonts w:ascii="宋体" w:hAnsi="宋体" w:cs="宋体"/>
          <w:bCs/>
          <w:color w:val="auto"/>
          <w:kern w:val="1"/>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法定代表人（或分行负责人或支行负责人）或授权委托人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rPr>
          <w:rFonts w:ascii="宋体" w:hAnsi="宋体"/>
          <w:color w:val="auto"/>
          <w:szCs w:val="21"/>
          <w:highlight w:val="none"/>
        </w:rPr>
      </w:pPr>
      <w:r>
        <w:rPr>
          <w:rFonts w:hint="eastAsia" w:ascii="宋体" w:hAnsi="宋体" w:cs="宋体"/>
          <w:color w:val="auto"/>
          <w:szCs w:val="21"/>
          <w:highlight w:val="none"/>
        </w:rPr>
        <w:t>日  期：    年    月    日</w:t>
      </w:r>
    </w:p>
    <w:p>
      <w:pPr>
        <w:snapToGrid w:val="0"/>
        <w:spacing w:line="360" w:lineRule="auto"/>
        <w:jc w:val="left"/>
        <w:rPr>
          <w:rFonts w:ascii="宋体" w:hAnsi="宋体"/>
          <w:color w:val="auto"/>
          <w:szCs w:val="21"/>
          <w:highlight w:val="none"/>
        </w:rPr>
      </w:pPr>
    </w:p>
    <w:p>
      <w:pPr>
        <w:snapToGrid w:val="0"/>
        <w:spacing w:line="360" w:lineRule="auto"/>
        <w:jc w:val="left"/>
        <w:rPr>
          <w:rFonts w:ascii="宋体" w:hAnsi="宋体"/>
          <w:color w:val="auto"/>
          <w:szCs w:val="21"/>
          <w:highlight w:val="none"/>
        </w:rPr>
      </w:pPr>
    </w:p>
    <w:p>
      <w:pPr>
        <w:widowControl/>
        <w:jc w:val="left"/>
        <w:rPr>
          <w:rFonts w:ascii="宋体" w:hAnsi="宋体"/>
          <w:b/>
          <w:color w:val="auto"/>
          <w:szCs w:val="21"/>
          <w:highlight w:val="none"/>
        </w:rPr>
      </w:pPr>
      <w:r>
        <w:rPr>
          <w:rFonts w:ascii="宋体" w:hAnsi="宋体"/>
          <w:b/>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ind w:left="-23" w:leftChars="-11" w:right="-214" w:rightChars="-102" w:firstLine="28" w:firstLineChars="10"/>
        <w:jc w:val="center"/>
        <w:textAlignment w:val="auto"/>
        <w:outlineLvl w:val="1"/>
        <w:rPr>
          <w:rFonts w:hint="eastAsia" w:ascii="宋体" w:hAnsi="宋体" w:cs="Times New Roman"/>
          <w:b/>
          <w:color w:val="auto"/>
          <w:sz w:val="28"/>
          <w:szCs w:val="28"/>
          <w:highlight w:val="none"/>
        </w:rPr>
      </w:pPr>
      <w:r>
        <w:rPr>
          <w:rFonts w:hint="eastAsia" w:ascii="宋体" w:hAnsi="宋体" w:cs="Times New Roman"/>
          <w:b/>
          <w:color w:val="auto"/>
          <w:sz w:val="28"/>
          <w:szCs w:val="28"/>
          <w:highlight w:val="none"/>
          <w:lang w:val="en-US" w:eastAsia="zh-CN"/>
        </w:rPr>
        <w:t>5</w:t>
      </w:r>
      <w:r>
        <w:rPr>
          <w:rFonts w:hint="eastAsia" w:ascii="宋体" w:hAnsi="宋体" w:cs="Times New Roman"/>
          <w:b/>
          <w:color w:val="auto"/>
          <w:sz w:val="28"/>
          <w:szCs w:val="28"/>
          <w:highlight w:val="none"/>
        </w:rPr>
        <w:t>.开标一览表</w:t>
      </w:r>
    </w:p>
    <w:tbl>
      <w:tblPr>
        <w:tblStyle w:val="26"/>
        <w:tblpPr w:leftFromText="180" w:rightFromText="180" w:vertAnchor="text" w:horzAnchor="margin" w:tblpY="19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4"/>
        <w:gridCol w:w="7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85" w:type="pct"/>
            <w:tcBorders>
              <w:top w:val="single" w:color="auto" w:sz="4" w:space="0"/>
              <w:left w:val="single" w:color="auto" w:sz="4" w:space="0"/>
              <w:bottom w:val="single" w:color="auto" w:sz="4" w:space="0"/>
              <w:right w:val="single" w:color="auto" w:sz="4" w:space="0"/>
            </w:tcBorders>
            <w:vAlign w:val="center"/>
          </w:tcPr>
          <w:p>
            <w:pPr>
              <w:pStyle w:val="11"/>
              <w:spacing w:line="300" w:lineRule="exact"/>
              <w:ind w:left="457" w:leftChars="0" w:hanging="457" w:hangingChars="218"/>
              <w:jc w:val="center"/>
              <w:rPr>
                <w:rFonts w:ascii="宋体" w:hAnsi="宋体"/>
                <w:color w:val="auto"/>
                <w:kern w:val="2"/>
                <w:sz w:val="21"/>
                <w:szCs w:val="21"/>
                <w:highlight w:val="none"/>
              </w:rPr>
            </w:pPr>
            <w:r>
              <w:rPr>
                <w:rFonts w:ascii="宋体" w:hAnsi="宋体"/>
                <w:color w:val="auto"/>
                <w:kern w:val="2"/>
                <w:sz w:val="21"/>
                <w:szCs w:val="21"/>
                <w:highlight w:val="none"/>
              </w:rPr>
              <w:t>项目名称</w:t>
            </w:r>
          </w:p>
        </w:tc>
        <w:tc>
          <w:tcPr>
            <w:tcW w:w="4114" w:type="pct"/>
            <w:tcBorders>
              <w:top w:val="single" w:color="auto" w:sz="4" w:space="0"/>
              <w:left w:val="single" w:color="auto" w:sz="4" w:space="0"/>
              <w:bottom w:val="single" w:color="auto" w:sz="4" w:space="0"/>
              <w:right w:val="single" w:color="auto" w:sz="4" w:space="0"/>
            </w:tcBorders>
            <w:vAlign w:val="center"/>
          </w:tcPr>
          <w:p>
            <w:pPr>
              <w:pStyle w:val="11"/>
              <w:spacing w:line="300" w:lineRule="exact"/>
              <w:ind w:left="457" w:leftChars="0" w:hanging="457" w:hangingChars="218"/>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85" w:type="pct"/>
            <w:tcBorders>
              <w:top w:val="single" w:color="auto" w:sz="4" w:space="0"/>
              <w:left w:val="single" w:color="auto" w:sz="4" w:space="0"/>
              <w:right w:val="single" w:color="auto" w:sz="4" w:space="0"/>
            </w:tcBorders>
            <w:vAlign w:val="center"/>
          </w:tcPr>
          <w:p>
            <w:pPr>
              <w:pStyle w:val="11"/>
              <w:spacing w:line="300" w:lineRule="exact"/>
              <w:ind w:left="457" w:leftChars="0" w:hanging="457" w:hangingChars="218"/>
              <w:jc w:val="center"/>
              <w:rPr>
                <w:rFonts w:ascii="宋体" w:hAnsi="宋体"/>
                <w:color w:val="auto"/>
                <w:sz w:val="21"/>
                <w:szCs w:val="21"/>
                <w:highlight w:val="none"/>
              </w:rPr>
            </w:pPr>
            <w:r>
              <w:rPr>
                <w:rFonts w:hint="eastAsia" w:ascii="宋体" w:hAnsi="宋体"/>
                <w:color w:val="auto"/>
                <w:kern w:val="2"/>
                <w:sz w:val="21"/>
                <w:szCs w:val="21"/>
                <w:highlight w:val="none"/>
              </w:rPr>
              <w:t>项目编号</w:t>
            </w:r>
          </w:p>
        </w:tc>
        <w:tc>
          <w:tcPr>
            <w:tcW w:w="4114" w:type="pct"/>
            <w:tcBorders>
              <w:top w:val="single" w:color="auto" w:sz="4" w:space="0"/>
              <w:left w:val="single" w:color="auto" w:sz="4" w:space="0"/>
              <w:right w:val="single" w:color="auto" w:sz="4" w:space="0"/>
            </w:tcBorders>
            <w:vAlign w:val="center"/>
          </w:tcPr>
          <w:p>
            <w:pPr>
              <w:pStyle w:val="11"/>
              <w:spacing w:line="300" w:lineRule="exact"/>
              <w:ind w:left="457" w:leftChars="0" w:hanging="457" w:hangingChars="218"/>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85" w:type="pct"/>
            <w:vMerge w:val="restart"/>
            <w:tcBorders>
              <w:top w:val="single" w:color="auto" w:sz="4" w:space="0"/>
              <w:left w:val="single" w:color="auto" w:sz="4" w:space="0"/>
              <w:right w:val="single" w:color="auto" w:sz="4" w:space="0"/>
            </w:tcBorders>
            <w:vAlign w:val="center"/>
          </w:tcPr>
          <w:p>
            <w:pPr>
              <w:pStyle w:val="11"/>
              <w:spacing w:line="300" w:lineRule="exact"/>
              <w:ind w:left="457" w:leftChars="0" w:hanging="457" w:hangingChars="218"/>
              <w:jc w:val="center"/>
              <w:rPr>
                <w:rFonts w:ascii="宋体" w:hAnsi="宋体"/>
                <w:color w:val="auto"/>
                <w:sz w:val="21"/>
                <w:szCs w:val="21"/>
                <w:highlight w:val="none"/>
              </w:rPr>
            </w:pPr>
            <w:r>
              <w:rPr>
                <w:rFonts w:hint="eastAsia" w:ascii="宋体" w:hAnsi="宋体"/>
                <w:color w:val="auto"/>
                <w:kern w:val="2"/>
                <w:sz w:val="21"/>
                <w:szCs w:val="21"/>
                <w:highlight w:val="none"/>
              </w:rPr>
              <w:t>投标报价</w:t>
            </w:r>
          </w:p>
        </w:tc>
        <w:tc>
          <w:tcPr>
            <w:tcW w:w="4114" w:type="pct"/>
            <w:tcBorders>
              <w:top w:val="single" w:color="auto" w:sz="4" w:space="0"/>
              <w:left w:val="single" w:color="auto" w:sz="4" w:space="0"/>
              <w:bottom w:val="single" w:color="auto" w:sz="4" w:space="0"/>
              <w:right w:val="single" w:color="auto" w:sz="4" w:space="0"/>
            </w:tcBorders>
            <w:vAlign w:val="center"/>
          </w:tcPr>
          <w:p>
            <w:pPr>
              <w:pStyle w:val="11"/>
              <w:spacing w:line="320" w:lineRule="exact"/>
              <w:ind w:leftChars="17" w:hanging="384" w:hangingChars="183"/>
              <w:rPr>
                <w:rFonts w:ascii="宋体" w:hAnsi="宋体"/>
                <w:color w:val="auto"/>
                <w:sz w:val="21"/>
                <w:szCs w:val="21"/>
                <w:highlight w:val="none"/>
              </w:rPr>
            </w:pPr>
            <w:r>
              <w:rPr>
                <w:rFonts w:hint="eastAsia" w:ascii="宋体" w:hAnsi="宋体"/>
                <w:color w:val="auto"/>
                <w:sz w:val="21"/>
                <w:szCs w:val="21"/>
                <w:highlight w:val="none"/>
              </w:rPr>
              <w:t>活期存款利率：在央行基准利率基础上加</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85" w:type="pct"/>
            <w:vMerge w:val="continue"/>
            <w:tcBorders>
              <w:left w:val="single" w:color="auto" w:sz="4" w:space="0"/>
              <w:right w:val="single" w:color="auto" w:sz="4" w:space="0"/>
            </w:tcBorders>
            <w:vAlign w:val="center"/>
          </w:tcPr>
          <w:p>
            <w:pPr>
              <w:pStyle w:val="11"/>
              <w:spacing w:line="300" w:lineRule="exact"/>
              <w:ind w:left="457" w:leftChars="0" w:hanging="457" w:hangingChars="218"/>
              <w:jc w:val="center"/>
              <w:rPr>
                <w:rFonts w:ascii="宋体" w:hAnsi="宋体"/>
                <w:color w:val="auto"/>
                <w:kern w:val="2"/>
                <w:sz w:val="21"/>
                <w:szCs w:val="21"/>
                <w:highlight w:val="none"/>
              </w:rPr>
            </w:pPr>
          </w:p>
        </w:tc>
        <w:tc>
          <w:tcPr>
            <w:tcW w:w="4114" w:type="pct"/>
            <w:tcBorders>
              <w:top w:val="single" w:color="auto" w:sz="4" w:space="0"/>
              <w:left w:val="single" w:color="auto" w:sz="4" w:space="0"/>
              <w:bottom w:val="single" w:color="auto" w:sz="4" w:space="0"/>
              <w:right w:val="single" w:color="auto" w:sz="4" w:space="0"/>
            </w:tcBorders>
            <w:vAlign w:val="center"/>
          </w:tcPr>
          <w:p>
            <w:pPr>
              <w:pStyle w:val="11"/>
              <w:spacing w:line="320" w:lineRule="exact"/>
              <w:ind w:left="34" w:leftChars="16"/>
              <w:rPr>
                <w:rFonts w:ascii="宋体" w:hAnsi="宋体"/>
                <w:color w:val="auto"/>
                <w:sz w:val="21"/>
                <w:szCs w:val="21"/>
                <w:highlight w:val="none"/>
              </w:rPr>
            </w:pPr>
            <w:r>
              <w:rPr>
                <w:rFonts w:hint="eastAsia" w:ascii="宋体" w:hAnsi="宋体"/>
                <w:color w:val="auto"/>
                <w:sz w:val="21"/>
                <w:szCs w:val="21"/>
                <w:highlight w:val="none"/>
              </w:rPr>
              <w:t>协定存款利率：在央行基准利率基础上加</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85" w:type="pct"/>
            <w:vMerge w:val="continue"/>
            <w:tcBorders>
              <w:left w:val="single" w:color="auto" w:sz="4" w:space="0"/>
              <w:right w:val="single" w:color="auto" w:sz="4" w:space="0"/>
            </w:tcBorders>
            <w:vAlign w:val="center"/>
          </w:tcPr>
          <w:p>
            <w:pPr>
              <w:pStyle w:val="11"/>
              <w:spacing w:line="300" w:lineRule="exact"/>
              <w:ind w:left="457" w:leftChars="0" w:hanging="457" w:hangingChars="218"/>
              <w:jc w:val="center"/>
              <w:rPr>
                <w:rFonts w:ascii="宋体" w:hAnsi="宋体"/>
                <w:color w:val="auto"/>
                <w:kern w:val="2"/>
                <w:sz w:val="21"/>
                <w:szCs w:val="21"/>
                <w:highlight w:val="none"/>
              </w:rPr>
            </w:pPr>
          </w:p>
        </w:tc>
        <w:tc>
          <w:tcPr>
            <w:tcW w:w="4114" w:type="pct"/>
            <w:tcBorders>
              <w:top w:val="single" w:color="auto" w:sz="4" w:space="0"/>
              <w:left w:val="single" w:color="auto" w:sz="4" w:space="0"/>
              <w:bottom w:val="single" w:color="auto" w:sz="4" w:space="0"/>
              <w:right w:val="single" w:color="auto" w:sz="4" w:space="0"/>
            </w:tcBorders>
            <w:vAlign w:val="center"/>
          </w:tcPr>
          <w:p>
            <w:pPr>
              <w:pStyle w:val="11"/>
              <w:spacing w:line="320" w:lineRule="exact"/>
              <w:ind w:leftChars="17" w:hanging="384" w:hangingChars="183"/>
              <w:rPr>
                <w:rFonts w:ascii="宋体" w:hAnsi="宋体"/>
                <w:color w:val="auto"/>
                <w:sz w:val="21"/>
                <w:szCs w:val="21"/>
                <w:highlight w:val="none"/>
              </w:rPr>
            </w:pPr>
            <w:r>
              <w:rPr>
                <w:rFonts w:hint="eastAsia" w:ascii="宋体" w:hAnsi="宋体"/>
                <w:color w:val="auto"/>
                <w:sz w:val="21"/>
                <w:szCs w:val="21"/>
                <w:highlight w:val="none"/>
              </w:rPr>
              <w:t>七天通知存款利率：在央行基准利率基础上加</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85" w:type="pct"/>
            <w:vMerge w:val="continue"/>
            <w:tcBorders>
              <w:left w:val="single" w:color="auto" w:sz="4" w:space="0"/>
              <w:right w:val="single" w:color="auto" w:sz="4" w:space="0"/>
            </w:tcBorders>
            <w:vAlign w:val="center"/>
          </w:tcPr>
          <w:p>
            <w:pPr>
              <w:pStyle w:val="11"/>
              <w:spacing w:line="300" w:lineRule="exact"/>
              <w:ind w:left="457" w:leftChars="0" w:hanging="457" w:hangingChars="218"/>
              <w:jc w:val="center"/>
              <w:rPr>
                <w:rFonts w:ascii="宋体" w:hAnsi="宋体"/>
                <w:color w:val="auto"/>
                <w:kern w:val="2"/>
                <w:sz w:val="21"/>
                <w:szCs w:val="21"/>
                <w:highlight w:val="none"/>
              </w:rPr>
            </w:pPr>
          </w:p>
        </w:tc>
        <w:tc>
          <w:tcPr>
            <w:tcW w:w="4114" w:type="pct"/>
            <w:tcBorders>
              <w:top w:val="single" w:color="auto" w:sz="4" w:space="0"/>
              <w:left w:val="single" w:color="auto" w:sz="4" w:space="0"/>
              <w:right w:val="single" w:color="auto" w:sz="4" w:space="0"/>
            </w:tcBorders>
            <w:vAlign w:val="center"/>
          </w:tcPr>
          <w:p>
            <w:pPr>
              <w:pStyle w:val="11"/>
              <w:spacing w:line="320" w:lineRule="exact"/>
              <w:ind w:leftChars="17" w:hanging="384" w:hangingChars="183"/>
              <w:rPr>
                <w:rFonts w:ascii="宋体" w:hAnsi="宋体"/>
                <w:color w:val="auto"/>
                <w:sz w:val="21"/>
                <w:szCs w:val="21"/>
                <w:highlight w:val="none"/>
              </w:rPr>
            </w:pPr>
            <w:r>
              <w:rPr>
                <w:rFonts w:hint="eastAsia" w:ascii="宋体" w:hAnsi="宋体" w:cs="宋体"/>
                <w:color w:val="auto"/>
                <w:sz w:val="21"/>
                <w:szCs w:val="21"/>
                <w:highlight w:val="none"/>
              </w:rPr>
              <w:t>一年内（含一年）定期存款利率</w:t>
            </w:r>
            <w:r>
              <w:rPr>
                <w:rFonts w:hint="eastAsia" w:ascii="宋体" w:hAnsi="宋体"/>
                <w:color w:val="auto"/>
                <w:sz w:val="21"/>
                <w:szCs w:val="21"/>
                <w:highlight w:val="none"/>
              </w:rPr>
              <w:t>：在央行基准利率基础上加</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BP</w:t>
            </w:r>
          </w:p>
        </w:tc>
      </w:tr>
    </w:tbl>
    <w:p>
      <w:pPr>
        <w:snapToGrid w:val="0"/>
        <w:spacing w:before="50" w:after="50" w:line="360" w:lineRule="auto"/>
        <w:rPr>
          <w:rFonts w:ascii="宋体" w:hAnsi="宋体" w:cs="宋体"/>
          <w:bCs/>
          <w:color w:val="auto"/>
          <w:szCs w:val="21"/>
          <w:highlight w:val="none"/>
        </w:rPr>
      </w:pPr>
      <w:r>
        <w:rPr>
          <w:rFonts w:hint="eastAsia" w:ascii="宋体" w:hAnsi="宋体" w:cs="宋体"/>
          <w:bCs/>
          <w:color w:val="auto"/>
          <w:szCs w:val="21"/>
          <w:highlight w:val="none"/>
        </w:rPr>
        <w:t>注：报价一经涂改，应在涂改处加盖单位公章或由法定代表人（或分行负责人或支行负责人）或其授权代表签字，否则评标委员会将不接受该修改内容。</w:t>
      </w:r>
    </w:p>
    <w:p>
      <w:pPr>
        <w:pStyle w:val="35"/>
        <w:rPr>
          <w:rFonts w:ascii="宋体" w:hAnsi="宋体"/>
          <w:color w:val="auto"/>
          <w:highlight w:val="none"/>
        </w:rPr>
      </w:pPr>
    </w:p>
    <w:p>
      <w:pPr>
        <w:pStyle w:val="35"/>
        <w:rPr>
          <w:rFonts w:ascii="宋体" w:hAnsi="宋体"/>
          <w:color w:val="auto"/>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法定代表人（或分行负责人或支行负责人）或授权委托人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日  期：    年    月    日</w:t>
      </w:r>
    </w:p>
    <w:p>
      <w:pPr>
        <w:pStyle w:val="35"/>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ind w:left="-23" w:leftChars="-11" w:right="-214" w:rightChars="-102" w:firstLine="28" w:firstLineChars="10"/>
        <w:jc w:val="center"/>
        <w:textAlignment w:val="auto"/>
        <w:outlineLvl w:val="1"/>
        <w:rPr>
          <w:rFonts w:hint="eastAsia" w:ascii="宋体" w:hAnsi="宋体" w:cs="Times New Roman"/>
          <w:b/>
          <w:color w:val="auto"/>
          <w:sz w:val="28"/>
          <w:szCs w:val="28"/>
          <w:highlight w:val="none"/>
        </w:rPr>
      </w:pPr>
      <w:r>
        <w:rPr>
          <w:rFonts w:hint="eastAsia" w:ascii="宋体" w:hAnsi="宋体" w:cs="Times New Roman"/>
          <w:b/>
          <w:color w:val="auto"/>
          <w:sz w:val="28"/>
          <w:szCs w:val="28"/>
          <w:highlight w:val="none"/>
          <w:lang w:val="en-US" w:eastAsia="zh-CN"/>
        </w:rPr>
        <w:t>6</w:t>
      </w:r>
      <w:r>
        <w:rPr>
          <w:rFonts w:hint="eastAsia" w:ascii="宋体" w:hAnsi="宋体" w:cs="Times New Roman"/>
          <w:b/>
          <w:color w:val="auto"/>
          <w:sz w:val="28"/>
          <w:szCs w:val="28"/>
          <w:highlight w:val="none"/>
        </w:rPr>
        <w:t>.评分标准涉及的数据表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Style w:val="34"/>
        <w:spacing w:line="360" w:lineRule="auto"/>
        <w:ind w:firstLine="0" w:firstLineChars="0"/>
        <w:rPr>
          <w:color w:val="auto"/>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2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3160"/>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w:t>
            </w:r>
          </w:p>
        </w:tc>
        <w:tc>
          <w:tcPr>
            <w:tcW w:w="1681"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指标内容</w:t>
            </w:r>
          </w:p>
        </w:tc>
        <w:tc>
          <w:tcPr>
            <w:tcW w:w="2628" w:type="pc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pct"/>
            <w:vAlign w:val="center"/>
          </w:tcPr>
          <w:p>
            <w:pPr>
              <w:jc w:val="center"/>
              <w:rPr>
                <w:rFonts w:ascii="宋体" w:hAnsi="宋体" w:cs="宋体"/>
                <w:color w:val="auto"/>
                <w:szCs w:val="21"/>
                <w:highlight w:val="none"/>
              </w:rPr>
            </w:pPr>
          </w:p>
        </w:tc>
        <w:tc>
          <w:tcPr>
            <w:tcW w:w="1681" w:type="pct"/>
            <w:vAlign w:val="center"/>
          </w:tcPr>
          <w:p>
            <w:pPr>
              <w:jc w:val="center"/>
              <w:rPr>
                <w:rFonts w:ascii="宋体" w:hAnsi="宋体" w:cs="宋体"/>
                <w:color w:val="auto"/>
                <w:szCs w:val="21"/>
                <w:highlight w:val="none"/>
              </w:rPr>
            </w:pPr>
          </w:p>
        </w:tc>
        <w:tc>
          <w:tcPr>
            <w:tcW w:w="2628" w:type="pct"/>
            <w:vAlign w:val="center"/>
          </w:tcPr>
          <w:p>
            <w:pPr>
              <w:jc w:val="center"/>
              <w:rPr>
                <w:rFonts w:ascii="宋体" w:hAnsi="宋体" w:cs="宋体"/>
                <w:color w:val="auto"/>
                <w:szCs w:val="21"/>
                <w:highlight w:val="none"/>
              </w:rPr>
            </w:pPr>
          </w:p>
        </w:tc>
      </w:tr>
    </w:tbl>
    <w:p>
      <w:pPr>
        <w:pStyle w:val="35"/>
        <w:ind w:left="0" w:leftChars="0" w:firstLine="0"/>
        <w:rPr>
          <w:rFonts w:ascii="宋体" w:hAnsi="宋体"/>
          <w:color w:val="auto"/>
          <w:highlight w:val="none"/>
        </w:rPr>
      </w:pPr>
    </w:p>
    <w:p>
      <w:pPr>
        <w:pStyle w:val="35"/>
        <w:ind w:left="0" w:leftChars="0" w:firstLine="0"/>
        <w:rPr>
          <w:rFonts w:ascii="宋体" w:hAnsi="宋体"/>
          <w:color w:val="auto"/>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法定代表人（或分行负责人或支行负责人）或授权委托人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jc w:val="left"/>
        <w:rPr>
          <w:rFonts w:ascii="宋体" w:hAnsi="宋体"/>
          <w:color w:val="auto"/>
          <w:szCs w:val="21"/>
          <w:highlight w:val="none"/>
        </w:rPr>
      </w:pPr>
      <w:r>
        <w:rPr>
          <w:rFonts w:hint="eastAsia" w:ascii="宋体" w:hAnsi="宋体" w:cs="宋体"/>
          <w:color w:val="auto"/>
          <w:szCs w:val="21"/>
          <w:highlight w:val="none"/>
        </w:rPr>
        <w:t>日  期：    年    月    日</w:t>
      </w:r>
    </w:p>
    <w:p>
      <w:pPr>
        <w:pStyle w:val="35"/>
        <w:rPr>
          <w:rFonts w:ascii="宋体" w:hAnsi="宋体"/>
          <w:color w:val="auto"/>
          <w:highlight w:val="none"/>
        </w:rPr>
      </w:pPr>
      <w:r>
        <w:rPr>
          <w:rFonts w:ascii="宋体" w:hAnsi="宋体"/>
          <w:color w:val="auto"/>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ind w:left="-23" w:leftChars="-11" w:right="-214" w:rightChars="-102" w:firstLine="28" w:firstLineChars="10"/>
        <w:jc w:val="center"/>
        <w:textAlignment w:val="auto"/>
        <w:outlineLvl w:val="1"/>
        <w:rPr>
          <w:rFonts w:hint="eastAsia" w:ascii="宋体" w:hAnsi="宋体" w:cs="Times New Roman"/>
          <w:b/>
          <w:color w:val="auto"/>
          <w:sz w:val="28"/>
          <w:szCs w:val="28"/>
          <w:highlight w:val="none"/>
        </w:rPr>
      </w:pPr>
      <w:r>
        <w:rPr>
          <w:rFonts w:hint="eastAsia" w:ascii="宋体" w:hAnsi="宋体" w:cs="Times New Roman"/>
          <w:b/>
          <w:color w:val="auto"/>
          <w:sz w:val="28"/>
          <w:szCs w:val="28"/>
          <w:highlight w:val="none"/>
          <w:lang w:val="en-US" w:eastAsia="zh-CN"/>
        </w:rPr>
        <w:t>7</w:t>
      </w:r>
      <w:r>
        <w:rPr>
          <w:rFonts w:hint="eastAsia" w:ascii="宋体" w:hAnsi="宋体" w:cs="Times New Roman"/>
          <w:b/>
          <w:color w:val="auto"/>
          <w:sz w:val="28"/>
          <w:szCs w:val="28"/>
          <w:highlight w:val="none"/>
        </w:rPr>
        <w:t>.服务承诺对照表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rPr>
          <w:rFonts w:ascii="宋体" w:hAnsi="宋体" w:cs="宋体"/>
          <w:b/>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rPr>
        <w:t xml:space="preserve">                                       </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4060"/>
        <w:gridCol w:w="1873"/>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jc w:val="center"/>
        </w:trPr>
        <w:tc>
          <w:tcPr>
            <w:tcW w:w="942"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项目</w:t>
            </w:r>
          </w:p>
        </w:tc>
        <w:tc>
          <w:tcPr>
            <w:tcW w:w="4060"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招标文件要求</w:t>
            </w:r>
          </w:p>
        </w:tc>
        <w:tc>
          <w:tcPr>
            <w:tcW w:w="1873"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是否响应</w:t>
            </w:r>
          </w:p>
        </w:tc>
        <w:tc>
          <w:tcPr>
            <w:tcW w:w="2214" w:type="dxa"/>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942" w:type="dxa"/>
            <w:vAlign w:val="center"/>
          </w:tcPr>
          <w:p>
            <w:pPr>
              <w:jc w:val="center"/>
              <w:rPr>
                <w:rFonts w:ascii="宋体" w:hAnsi="宋体" w:cs="宋体"/>
                <w:color w:val="auto"/>
                <w:kern w:val="0"/>
                <w:szCs w:val="21"/>
                <w:highlight w:val="none"/>
              </w:rPr>
            </w:pPr>
          </w:p>
        </w:tc>
        <w:tc>
          <w:tcPr>
            <w:tcW w:w="4060" w:type="dxa"/>
            <w:vAlign w:val="center"/>
          </w:tcPr>
          <w:p>
            <w:pPr>
              <w:rPr>
                <w:rFonts w:ascii="宋体" w:hAnsi="宋体" w:cs="宋体"/>
                <w:color w:val="auto"/>
                <w:kern w:val="0"/>
                <w:szCs w:val="21"/>
                <w:highlight w:val="none"/>
              </w:rPr>
            </w:pPr>
          </w:p>
        </w:tc>
        <w:tc>
          <w:tcPr>
            <w:tcW w:w="1873" w:type="dxa"/>
            <w:vAlign w:val="center"/>
          </w:tcPr>
          <w:p>
            <w:pPr>
              <w:rPr>
                <w:rFonts w:ascii="宋体" w:hAnsi="宋体" w:cs="宋体"/>
                <w:color w:val="auto"/>
                <w:szCs w:val="21"/>
                <w:highlight w:val="none"/>
              </w:rPr>
            </w:pPr>
          </w:p>
        </w:tc>
        <w:tc>
          <w:tcPr>
            <w:tcW w:w="2214" w:type="dxa"/>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42" w:type="dxa"/>
            <w:vAlign w:val="center"/>
          </w:tcPr>
          <w:p>
            <w:pPr>
              <w:jc w:val="center"/>
              <w:rPr>
                <w:rFonts w:ascii="宋体" w:hAnsi="宋体" w:cs="宋体"/>
                <w:color w:val="auto"/>
                <w:kern w:val="0"/>
                <w:szCs w:val="21"/>
                <w:highlight w:val="none"/>
              </w:rPr>
            </w:pPr>
          </w:p>
        </w:tc>
        <w:tc>
          <w:tcPr>
            <w:tcW w:w="4060" w:type="dxa"/>
            <w:vAlign w:val="center"/>
          </w:tcPr>
          <w:p>
            <w:pPr>
              <w:rPr>
                <w:rFonts w:ascii="宋体" w:hAnsi="宋体" w:cs="宋体"/>
                <w:color w:val="auto"/>
                <w:kern w:val="0"/>
                <w:szCs w:val="21"/>
                <w:highlight w:val="none"/>
              </w:rPr>
            </w:pPr>
          </w:p>
        </w:tc>
        <w:tc>
          <w:tcPr>
            <w:tcW w:w="1873" w:type="dxa"/>
            <w:vAlign w:val="center"/>
          </w:tcPr>
          <w:p>
            <w:pPr>
              <w:rPr>
                <w:rFonts w:ascii="宋体" w:hAnsi="宋体" w:cs="宋体"/>
                <w:color w:val="auto"/>
                <w:szCs w:val="21"/>
                <w:highlight w:val="none"/>
              </w:rPr>
            </w:pPr>
          </w:p>
        </w:tc>
        <w:tc>
          <w:tcPr>
            <w:tcW w:w="2214" w:type="dxa"/>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42" w:type="dxa"/>
            <w:vAlign w:val="center"/>
          </w:tcPr>
          <w:p>
            <w:pPr>
              <w:jc w:val="center"/>
              <w:rPr>
                <w:rFonts w:ascii="宋体" w:hAnsi="宋体" w:cs="宋体"/>
                <w:color w:val="auto"/>
                <w:kern w:val="0"/>
                <w:szCs w:val="21"/>
                <w:highlight w:val="none"/>
              </w:rPr>
            </w:pPr>
          </w:p>
        </w:tc>
        <w:tc>
          <w:tcPr>
            <w:tcW w:w="4060" w:type="dxa"/>
            <w:vAlign w:val="center"/>
          </w:tcPr>
          <w:p>
            <w:pPr>
              <w:rPr>
                <w:rFonts w:ascii="宋体" w:hAnsi="宋体" w:cs="宋体"/>
                <w:color w:val="auto"/>
                <w:kern w:val="0"/>
                <w:szCs w:val="21"/>
                <w:highlight w:val="none"/>
              </w:rPr>
            </w:pPr>
          </w:p>
        </w:tc>
        <w:tc>
          <w:tcPr>
            <w:tcW w:w="1873" w:type="dxa"/>
            <w:vAlign w:val="center"/>
          </w:tcPr>
          <w:p>
            <w:pPr>
              <w:rPr>
                <w:rFonts w:ascii="宋体" w:hAnsi="宋体" w:cs="宋体"/>
                <w:color w:val="auto"/>
                <w:szCs w:val="21"/>
                <w:highlight w:val="none"/>
              </w:rPr>
            </w:pPr>
          </w:p>
        </w:tc>
        <w:tc>
          <w:tcPr>
            <w:tcW w:w="2214" w:type="dxa"/>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42" w:type="dxa"/>
            <w:vAlign w:val="center"/>
          </w:tcPr>
          <w:p>
            <w:pPr>
              <w:jc w:val="center"/>
              <w:rPr>
                <w:rFonts w:ascii="宋体" w:hAnsi="宋体" w:cs="宋体"/>
                <w:color w:val="auto"/>
                <w:kern w:val="0"/>
                <w:szCs w:val="21"/>
                <w:highlight w:val="none"/>
              </w:rPr>
            </w:pPr>
          </w:p>
        </w:tc>
        <w:tc>
          <w:tcPr>
            <w:tcW w:w="4060" w:type="dxa"/>
            <w:vAlign w:val="center"/>
          </w:tcPr>
          <w:p>
            <w:pPr>
              <w:rPr>
                <w:rFonts w:ascii="宋体" w:hAnsi="宋体" w:cs="宋体"/>
                <w:color w:val="auto"/>
                <w:kern w:val="0"/>
                <w:szCs w:val="21"/>
                <w:highlight w:val="none"/>
              </w:rPr>
            </w:pPr>
          </w:p>
        </w:tc>
        <w:tc>
          <w:tcPr>
            <w:tcW w:w="1873" w:type="dxa"/>
            <w:vAlign w:val="center"/>
          </w:tcPr>
          <w:p>
            <w:pPr>
              <w:rPr>
                <w:rFonts w:ascii="宋体" w:hAnsi="宋体" w:cs="宋体"/>
                <w:color w:val="auto"/>
                <w:szCs w:val="21"/>
                <w:highlight w:val="none"/>
              </w:rPr>
            </w:pPr>
          </w:p>
        </w:tc>
        <w:tc>
          <w:tcPr>
            <w:tcW w:w="2214" w:type="dxa"/>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42" w:type="dxa"/>
            <w:vAlign w:val="center"/>
          </w:tcPr>
          <w:p>
            <w:pPr>
              <w:jc w:val="center"/>
              <w:rPr>
                <w:rFonts w:ascii="宋体" w:hAnsi="宋体" w:cs="宋体"/>
                <w:color w:val="auto"/>
                <w:kern w:val="0"/>
                <w:szCs w:val="21"/>
                <w:highlight w:val="none"/>
              </w:rPr>
            </w:pPr>
          </w:p>
        </w:tc>
        <w:tc>
          <w:tcPr>
            <w:tcW w:w="4060" w:type="dxa"/>
            <w:vAlign w:val="center"/>
          </w:tcPr>
          <w:p>
            <w:pPr>
              <w:rPr>
                <w:rFonts w:ascii="宋体" w:hAnsi="宋体" w:cs="宋体"/>
                <w:color w:val="auto"/>
                <w:kern w:val="0"/>
                <w:szCs w:val="21"/>
                <w:highlight w:val="none"/>
              </w:rPr>
            </w:pPr>
          </w:p>
        </w:tc>
        <w:tc>
          <w:tcPr>
            <w:tcW w:w="1873" w:type="dxa"/>
            <w:vAlign w:val="center"/>
          </w:tcPr>
          <w:p>
            <w:pPr>
              <w:rPr>
                <w:rFonts w:ascii="宋体" w:hAnsi="宋体" w:cs="宋体"/>
                <w:color w:val="auto"/>
                <w:szCs w:val="21"/>
                <w:highlight w:val="none"/>
              </w:rPr>
            </w:pPr>
          </w:p>
        </w:tc>
        <w:tc>
          <w:tcPr>
            <w:tcW w:w="2214" w:type="dxa"/>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42" w:type="dxa"/>
            <w:vAlign w:val="center"/>
          </w:tcPr>
          <w:p>
            <w:pPr>
              <w:jc w:val="center"/>
              <w:rPr>
                <w:rFonts w:ascii="宋体" w:hAnsi="宋体" w:cs="宋体"/>
                <w:color w:val="auto"/>
                <w:kern w:val="0"/>
                <w:szCs w:val="21"/>
                <w:highlight w:val="none"/>
              </w:rPr>
            </w:pPr>
          </w:p>
        </w:tc>
        <w:tc>
          <w:tcPr>
            <w:tcW w:w="4060" w:type="dxa"/>
            <w:vAlign w:val="center"/>
          </w:tcPr>
          <w:p>
            <w:pPr>
              <w:rPr>
                <w:rFonts w:ascii="宋体" w:hAnsi="宋体" w:cs="宋体"/>
                <w:color w:val="auto"/>
                <w:kern w:val="0"/>
                <w:szCs w:val="21"/>
                <w:highlight w:val="none"/>
              </w:rPr>
            </w:pPr>
          </w:p>
        </w:tc>
        <w:tc>
          <w:tcPr>
            <w:tcW w:w="1873" w:type="dxa"/>
            <w:vAlign w:val="center"/>
          </w:tcPr>
          <w:p>
            <w:pPr>
              <w:rPr>
                <w:rFonts w:ascii="宋体" w:hAnsi="宋体" w:cs="宋体"/>
                <w:color w:val="auto"/>
                <w:szCs w:val="21"/>
                <w:highlight w:val="none"/>
              </w:rPr>
            </w:pPr>
          </w:p>
        </w:tc>
        <w:tc>
          <w:tcPr>
            <w:tcW w:w="2214" w:type="dxa"/>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42" w:type="dxa"/>
            <w:vAlign w:val="center"/>
          </w:tcPr>
          <w:p>
            <w:pPr>
              <w:jc w:val="center"/>
              <w:rPr>
                <w:rFonts w:ascii="宋体" w:hAnsi="宋体" w:cs="宋体"/>
                <w:color w:val="auto"/>
                <w:kern w:val="0"/>
                <w:szCs w:val="21"/>
                <w:highlight w:val="none"/>
              </w:rPr>
            </w:pPr>
          </w:p>
        </w:tc>
        <w:tc>
          <w:tcPr>
            <w:tcW w:w="4060" w:type="dxa"/>
            <w:vAlign w:val="center"/>
          </w:tcPr>
          <w:p>
            <w:pPr>
              <w:rPr>
                <w:rFonts w:ascii="宋体" w:hAnsi="宋体" w:cs="宋体"/>
                <w:color w:val="auto"/>
                <w:kern w:val="0"/>
                <w:szCs w:val="21"/>
                <w:highlight w:val="none"/>
              </w:rPr>
            </w:pPr>
          </w:p>
        </w:tc>
        <w:tc>
          <w:tcPr>
            <w:tcW w:w="1873" w:type="dxa"/>
            <w:vAlign w:val="center"/>
          </w:tcPr>
          <w:p>
            <w:pPr>
              <w:rPr>
                <w:rFonts w:ascii="宋体" w:hAnsi="宋体" w:cs="宋体"/>
                <w:color w:val="auto"/>
                <w:szCs w:val="21"/>
                <w:highlight w:val="none"/>
              </w:rPr>
            </w:pPr>
          </w:p>
        </w:tc>
        <w:tc>
          <w:tcPr>
            <w:tcW w:w="2214" w:type="dxa"/>
            <w:vAlign w:val="center"/>
          </w:tcPr>
          <w:p>
            <w:pPr>
              <w:rPr>
                <w:rFonts w:ascii="宋体" w:hAnsi="宋体" w:cs="宋体"/>
                <w:color w:val="auto"/>
                <w:szCs w:val="21"/>
                <w:highlight w:val="none"/>
              </w:rPr>
            </w:pPr>
          </w:p>
        </w:tc>
      </w:tr>
    </w:tbl>
    <w:p>
      <w:pPr>
        <w:spacing w:line="360" w:lineRule="auto"/>
        <w:rPr>
          <w:rFonts w:ascii="宋体" w:hAnsi="宋体" w:cs="宋体"/>
          <w:b/>
          <w:color w:val="auto"/>
          <w:szCs w:val="21"/>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法定代表人（或分行负责人或支行负责人）或授权委托人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日  期：    年    月    日</w:t>
      </w:r>
    </w:p>
    <w:p>
      <w:pPr>
        <w:widowControl/>
        <w:jc w:val="left"/>
        <w:rPr>
          <w:rFonts w:ascii="宋体" w:hAnsi="宋体" w:cs="宋体"/>
          <w:b/>
          <w:color w:val="auto"/>
          <w:kern w:val="0"/>
          <w:sz w:val="24"/>
          <w:szCs w:val="21"/>
          <w:highlight w:val="none"/>
        </w:rPr>
      </w:pPr>
      <w:r>
        <w:rPr>
          <w:rFonts w:ascii="宋体" w:hAnsi="宋体" w:cs="宋体"/>
          <w:b/>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ind w:left="-23" w:leftChars="-11" w:right="-214" w:rightChars="-102" w:firstLine="28" w:firstLineChars="10"/>
        <w:jc w:val="center"/>
        <w:textAlignment w:val="auto"/>
        <w:outlineLvl w:val="1"/>
        <w:rPr>
          <w:rFonts w:hint="eastAsia" w:ascii="宋体" w:hAnsi="宋体" w:cs="Times New Roman"/>
          <w:b/>
          <w:color w:val="auto"/>
          <w:sz w:val="28"/>
          <w:szCs w:val="28"/>
          <w:highlight w:val="none"/>
        </w:rPr>
      </w:pPr>
      <w:r>
        <w:rPr>
          <w:rFonts w:hint="eastAsia" w:ascii="宋体" w:hAnsi="宋体" w:cs="Times New Roman"/>
          <w:b/>
          <w:color w:val="auto"/>
          <w:sz w:val="28"/>
          <w:szCs w:val="28"/>
          <w:highlight w:val="none"/>
          <w:lang w:val="en-US" w:eastAsia="zh-CN"/>
        </w:rPr>
        <w:t>8</w:t>
      </w:r>
      <w:r>
        <w:rPr>
          <w:rFonts w:hint="eastAsia" w:ascii="宋体" w:hAnsi="宋体" w:cs="Times New Roman"/>
          <w:b/>
          <w:color w:val="auto"/>
          <w:sz w:val="28"/>
          <w:szCs w:val="28"/>
          <w:highlight w:val="none"/>
          <w:lang w:eastAsia="zh-CN"/>
        </w:rPr>
        <w:t>.</w:t>
      </w:r>
      <w:r>
        <w:rPr>
          <w:rFonts w:hint="eastAsia" w:ascii="宋体" w:hAnsi="宋体" w:cs="Times New Roman"/>
          <w:b/>
          <w:color w:val="auto"/>
          <w:sz w:val="28"/>
          <w:szCs w:val="28"/>
          <w:highlight w:val="none"/>
        </w:rPr>
        <w:t>项目负责人及服务小组人员情况一览表</w:t>
      </w:r>
    </w:p>
    <w:p>
      <w:pPr>
        <w:snapToGrid w:val="0"/>
        <w:spacing w:line="460" w:lineRule="exact"/>
        <w:jc w:val="left"/>
        <w:rPr>
          <w:rFonts w:ascii="宋体" w:hAnsi="宋体" w:cs="宋体"/>
          <w:color w:val="auto"/>
          <w:szCs w:val="21"/>
          <w:highlight w:val="none"/>
        </w:rPr>
      </w:pPr>
      <w:r>
        <w:rPr>
          <w:rFonts w:hint="eastAsia" w:ascii="宋体" w:hAnsi="宋体" w:cs="宋体"/>
          <w:color w:val="auto"/>
          <w:szCs w:val="21"/>
          <w:highlight w:val="none"/>
        </w:rPr>
        <w:t>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460" w:lineRule="exact"/>
        <w:jc w:val="left"/>
        <w:rPr>
          <w:rFonts w:ascii="宋体" w:hAnsi="宋体" w:cs="宋体"/>
          <w:b/>
          <w:color w:val="auto"/>
          <w:szCs w:val="21"/>
          <w:highlight w:val="non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3"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823"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职务</w:t>
            </w:r>
          </w:p>
        </w:tc>
        <w:tc>
          <w:tcPr>
            <w:tcW w:w="1823"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专业技术资格</w:t>
            </w:r>
          </w:p>
        </w:tc>
        <w:tc>
          <w:tcPr>
            <w:tcW w:w="1823"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证书编号</w:t>
            </w:r>
          </w:p>
        </w:tc>
        <w:tc>
          <w:tcPr>
            <w:tcW w:w="1808" w:type="dxa"/>
            <w:vAlign w:val="center"/>
          </w:tcPr>
          <w:p>
            <w:pPr>
              <w:snapToGrid w:val="0"/>
              <w:jc w:val="center"/>
              <w:rPr>
                <w:rFonts w:ascii="宋体" w:hAnsi="宋体" w:cs="宋体"/>
                <w:bCs/>
                <w:color w:val="auto"/>
                <w:szCs w:val="21"/>
                <w:highlight w:val="none"/>
              </w:rPr>
            </w:pPr>
            <w:r>
              <w:rPr>
                <w:rFonts w:hint="eastAsia" w:ascii="宋体" w:hAnsi="宋体" w:cs="宋体"/>
                <w:bCs/>
                <w:color w:val="auto"/>
                <w:szCs w:val="21"/>
                <w:highlight w:val="none"/>
              </w:rPr>
              <w:t>参加本单位工作时间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08" w:type="dxa"/>
          </w:tcPr>
          <w:p>
            <w:pPr>
              <w:snapToGrid w:val="0"/>
              <w:spacing w:line="460" w:lineRule="exact"/>
              <w:jc w:val="left"/>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08" w:type="dxa"/>
          </w:tcPr>
          <w:p>
            <w:pPr>
              <w:snapToGrid w:val="0"/>
              <w:spacing w:line="460" w:lineRule="exact"/>
              <w:jc w:val="left"/>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08" w:type="dxa"/>
          </w:tcPr>
          <w:p>
            <w:pPr>
              <w:snapToGrid w:val="0"/>
              <w:spacing w:line="460" w:lineRule="exact"/>
              <w:jc w:val="left"/>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23" w:type="dxa"/>
          </w:tcPr>
          <w:p>
            <w:pPr>
              <w:snapToGrid w:val="0"/>
              <w:spacing w:line="460" w:lineRule="exact"/>
              <w:jc w:val="left"/>
              <w:rPr>
                <w:rFonts w:ascii="宋体" w:hAnsi="宋体" w:cs="宋体"/>
                <w:b/>
                <w:color w:val="auto"/>
                <w:szCs w:val="21"/>
                <w:highlight w:val="none"/>
              </w:rPr>
            </w:pPr>
          </w:p>
        </w:tc>
        <w:tc>
          <w:tcPr>
            <w:tcW w:w="1808" w:type="dxa"/>
          </w:tcPr>
          <w:p>
            <w:pPr>
              <w:snapToGrid w:val="0"/>
              <w:spacing w:line="460" w:lineRule="exact"/>
              <w:jc w:val="left"/>
              <w:rPr>
                <w:rFonts w:ascii="宋体" w:hAnsi="宋体" w:cs="宋体"/>
                <w:b/>
                <w:color w:val="auto"/>
                <w:szCs w:val="21"/>
                <w:highlight w:val="none"/>
              </w:rPr>
            </w:pPr>
          </w:p>
        </w:tc>
      </w:tr>
    </w:tbl>
    <w:p>
      <w:pPr>
        <w:snapToGrid w:val="0"/>
        <w:spacing w:line="460" w:lineRule="exact"/>
        <w:jc w:val="left"/>
        <w:rPr>
          <w:rFonts w:ascii="宋体" w:hAnsi="宋体" w:cs="宋体"/>
          <w:color w:val="auto"/>
          <w:szCs w:val="21"/>
          <w:highlight w:val="none"/>
        </w:rPr>
      </w:pPr>
      <w:r>
        <w:rPr>
          <w:rFonts w:hint="eastAsia" w:ascii="宋体" w:hAnsi="宋体" w:cs="宋体"/>
          <w:color w:val="auto"/>
          <w:szCs w:val="21"/>
          <w:highlight w:val="none"/>
        </w:rPr>
        <w:t>注： 本表格如不适合投标单位的实际情况， 可根据本表格式自行划表填写。</w:t>
      </w:r>
    </w:p>
    <w:p>
      <w:pPr>
        <w:pStyle w:val="34"/>
        <w:rPr>
          <w:rFonts w:ascii="宋体" w:hAnsi="宋体" w:cs="宋体"/>
          <w:color w:val="auto"/>
          <w:szCs w:val="21"/>
          <w:highlight w:val="none"/>
        </w:rPr>
      </w:pPr>
    </w:p>
    <w:p>
      <w:pPr>
        <w:pStyle w:val="34"/>
        <w:rPr>
          <w:rFonts w:ascii="宋体" w:hAnsi="宋体" w:cs="宋体"/>
          <w:color w:val="auto"/>
          <w:szCs w:val="21"/>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法定代表人（或分行负责人或支行负责人）或授权委托人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napToGrid w:val="0"/>
        <w:spacing w:line="460" w:lineRule="exact"/>
        <w:jc w:val="left"/>
        <w:rPr>
          <w:rFonts w:ascii="宋体" w:hAnsi="宋体" w:cs="宋体"/>
          <w:color w:val="auto"/>
          <w:szCs w:val="21"/>
          <w:highlight w:val="none"/>
        </w:rPr>
      </w:pPr>
      <w:r>
        <w:rPr>
          <w:rFonts w:hint="eastAsia" w:ascii="宋体" w:hAnsi="宋体" w:cs="宋体"/>
          <w:color w:val="auto"/>
          <w:szCs w:val="21"/>
          <w:highlight w:val="none"/>
        </w:rPr>
        <w:t>日  期：    年    月    日</w:t>
      </w:r>
    </w:p>
    <w:p>
      <w:pPr>
        <w:snapToGrid w:val="0"/>
        <w:spacing w:line="460" w:lineRule="exact"/>
        <w:jc w:val="left"/>
        <w:rPr>
          <w:rFonts w:ascii="宋体" w:hAnsi="宋体" w:cs="宋体"/>
          <w:color w:val="auto"/>
          <w:szCs w:val="21"/>
          <w:highlight w:val="none"/>
        </w:rPr>
      </w:pPr>
    </w:p>
    <w:p>
      <w:pPr>
        <w:snapToGrid w:val="0"/>
        <w:spacing w:line="460" w:lineRule="exact"/>
        <w:jc w:val="left"/>
        <w:rPr>
          <w:rFonts w:ascii="宋体" w:hAnsi="宋体" w:cs="宋体"/>
          <w:color w:val="auto"/>
          <w:szCs w:val="21"/>
          <w:highlight w:val="none"/>
        </w:rPr>
      </w:pPr>
    </w:p>
    <w:p>
      <w:pPr>
        <w:widowControl/>
        <w:jc w:val="left"/>
        <w:rPr>
          <w:rFonts w:ascii="宋体" w:hAnsi="宋体" w:cs="宋体"/>
          <w:b/>
          <w:color w:val="auto"/>
          <w:kern w:val="0"/>
          <w:sz w:val="24"/>
          <w:szCs w:val="21"/>
          <w:highlight w:val="none"/>
        </w:rPr>
      </w:pPr>
    </w:p>
    <w:p>
      <w:pPr>
        <w:widowControl/>
        <w:jc w:val="left"/>
        <w:rPr>
          <w:rFonts w:ascii="宋体" w:hAnsi="宋体" w:cs="宋体"/>
          <w:b/>
          <w:color w:val="auto"/>
          <w:kern w:val="0"/>
          <w:sz w:val="24"/>
          <w:szCs w:val="21"/>
          <w:highlight w:val="none"/>
        </w:rPr>
      </w:pPr>
      <w:r>
        <w:rPr>
          <w:rFonts w:ascii="宋体" w:hAnsi="宋体" w:cs="宋体"/>
          <w:b/>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val="0"/>
        <w:spacing w:line="360" w:lineRule="auto"/>
        <w:ind w:left="-23" w:leftChars="-11" w:right="-214" w:rightChars="-102" w:firstLine="28" w:firstLineChars="10"/>
        <w:jc w:val="center"/>
        <w:textAlignment w:val="auto"/>
        <w:outlineLvl w:val="1"/>
        <w:rPr>
          <w:rFonts w:hint="eastAsia" w:ascii="宋体" w:hAnsi="宋体" w:cs="Times New Roman"/>
          <w:b/>
          <w:color w:val="auto"/>
          <w:sz w:val="28"/>
          <w:szCs w:val="28"/>
          <w:highlight w:val="none"/>
        </w:rPr>
      </w:pPr>
      <w:r>
        <w:rPr>
          <w:rFonts w:hint="eastAsia" w:ascii="宋体" w:hAnsi="宋体" w:cs="Times New Roman"/>
          <w:b/>
          <w:color w:val="auto"/>
          <w:sz w:val="28"/>
          <w:szCs w:val="28"/>
          <w:highlight w:val="none"/>
          <w:lang w:val="en-US" w:eastAsia="zh-CN"/>
        </w:rPr>
        <w:t>9</w:t>
      </w:r>
      <w:r>
        <w:rPr>
          <w:rFonts w:hint="eastAsia" w:ascii="宋体" w:hAnsi="宋体" w:cs="Times New Roman"/>
          <w:b/>
          <w:color w:val="auto"/>
          <w:sz w:val="28"/>
          <w:szCs w:val="28"/>
          <w:highlight w:val="none"/>
        </w:rPr>
        <w:t>.廉政承诺书</w:t>
      </w:r>
    </w:p>
    <w:p>
      <w:pPr>
        <w:spacing w:line="360" w:lineRule="auto"/>
        <w:ind w:left="420" w:hanging="420" w:hangingChars="200"/>
        <w:rPr>
          <w:rFonts w:hint="eastAsia" w:ascii="宋体" w:hAnsi="宋体" w:eastAsia="宋体" w:cs="宋体"/>
          <w:color w:val="auto"/>
          <w:highlight w:val="none"/>
          <w:lang w:val="en-US" w:eastAsia="zh-CN"/>
        </w:rPr>
      </w:pPr>
      <w:r>
        <w:rPr>
          <w:rFonts w:hint="eastAsia" w:ascii="宋体" w:hAnsi="宋体"/>
          <w:color w:val="auto"/>
          <w:highlight w:val="none"/>
        </w:rPr>
        <w:t>致：</w:t>
      </w:r>
      <w:r>
        <w:rPr>
          <w:rFonts w:hint="eastAsia" w:ascii="宋体" w:hAnsi="宋体" w:cs="宋体"/>
          <w:color w:val="auto"/>
          <w:kern w:val="1"/>
          <w:highlight w:val="none"/>
          <w:u w:val="single"/>
          <w:lang w:eastAsia="zh-CN"/>
        </w:rPr>
        <w:t>（</w:t>
      </w:r>
      <w:r>
        <w:rPr>
          <w:rFonts w:hint="eastAsia" w:ascii="宋体" w:hAnsi="宋体" w:cs="宋体"/>
          <w:color w:val="auto"/>
          <w:kern w:val="1"/>
          <w:highlight w:val="none"/>
          <w:u w:val="single"/>
          <w:lang w:val="en-US" w:eastAsia="zh-CN"/>
        </w:rPr>
        <w:t>采购单位</w:t>
      </w:r>
      <w:r>
        <w:rPr>
          <w:rFonts w:hint="eastAsia" w:ascii="宋体" w:hAnsi="宋体" w:cs="宋体"/>
          <w:color w:val="auto"/>
          <w:kern w:val="1"/>
          <w:highlight w:val="none"/>
          <w:u w:val="single"/>
          <w:lang w:eastAsia="zh-CN"/>
        </w:rPr>
        <w:t>）</w:t>
      </w:r>
    </w:p>
    <w:p>
      <w:pPr>
        <w:spacing w:line="360" w:lineRule="auto"/>
        <w:ind w:firstLine="420" w:firstLineChars="200"/>
        <w:rPr>
          <w:rFonts w:ascii="宋体" w:hAnsi="宋体" w:cs="宋体"/>
          <w:color w:val="auto"/>
          <w:highlight w:val="none"/>
        </w:rPr>
      </w:pPr>
      <w:r>
        <w:rPr>
          <w:rFonts w:ascii="宋体" w:hAnsi="宋体" w:cs="宋体"/>
          <w:color w:val="auto"/>
          <w:highlight w:val="none"/>
        </w:rPr>
        <w:t>根据《关于防止领导干部在公款存放方面发生利益冲突和利益输送的办法》的通知（甬党办［2017]41号）、《宁波市财政局关于进一步加强财政部门和市级预算单位资金存放管理的通知》（甬财政发［2018]725号）相关规定，现就本行参加贵单位</w:t>
      </w:r>
      <w:r>
        <w:rPr>
          <w:rFonts w:hint="eastAsia" w:ascii="宋体" w:hAnsi="宋体"/>
          <w:color w:val="auto"/>
          <w:highlight w:val="none"/>
          <w:u w:val="single"/>
          <w:lang w:val="en-US" w:eastAsia="zh-CN"/>
        </w:rPr>
        <w:t xml:space="preserve">   （项目名称）  </w:t>
      </w:r>
      <w:r>
        <w:rPr>
          <w:rFonts w:ascii="宋体" w:hAnsi="宋体" w:cs="宋体"/>
          <w:color w:val="auto"/>
          <w:highlight w:val="none"/>
        </w:rPr>
        <w:t>作出如下承诺：</w:t>
      </w:r>
    </w:p>
    <w:p>
      <w:pPr>
        <w:spacing w:line="360" w:lineRule="auto"/>
        <w:ind w:firstLine="420" w:firstLineChars="200"/>
        <w:rPr>
          <w:rFonts w:ascii="宋体" w:hAnsi="宋体" w:cs="宋体"/>
          <w:color w:val="auto"/>
          <w:highlight w:val="none"/>
        </w:rPr>
      </w:pPr>
      <w:r>
        <w:rPr>
          <w:rFonts w:ascii="宋体" w:hAnsi="宋体" w:cs="宋体"/>
          <w:color w:val="auto"/>
          <w:highlight w:val="none"/>
        </w:rPr>
        <w:t>1.不向贵单位负责公款存放管理的领导及相关人员进行利益输送；</w:t>
      </w:r>
    </w:p>
    <w:p>
      <w:pPr>
        <w:spacing w:line="360" w:lineRule="auto"/>
        <w:ind w:firstLine="420" w:firstLineChars="200"/>
        <w:rPr>
          <w:rFonts w:ascii="宋体" w:hAnsi="宋体" w:cs="宋体"/>
          <w:color w:val="auto"/>
          <w:highlight w:val="none"/>
        </w:rPr>
      </w:pPr>
      <w:r>
        <w:rPr>
          <w:rFonts w:ascii="宋体" w:hAnsi="宋体" w:cs="宋体"/>
          <w:color w:val="auto"/>
          <w:highlight w:val="none"/>
        </w:rPr>
        <w:t>2.不将公款存放与贵单位负责公款存放管理的领导及相关人员在本行的配偶、子女及其配偶和其他直接利益相关人员的业绩、收入、晋升等利益挂钩；</w:t>
      </w:r>
    </w:p>
    <w:p>
      <w:pPr>
        <w:spacing w:line="360" w:lineRule="auto"/>
        <w:ind w:firstLine="420" w:firstLineChars="200"/>
        <w:rPr>
          <w:rFonts w:ascii="宋体" w:hAnsi="宋体" w:cs="宋体"/>
          <w:color w:val="auto"/>
          <w:highlight w:val="none"/>
        </w:rPr>
      </w:pPr>
      <w:r>
        <w:rPr>
          <w:rFonts w:ascii="宋体" w:hAnsi="宋体" w:cs="宋体"/>
          <w:color w:val="auto"/>
          <w:highlight w:val="none"/>
        </w:rPr>
        <w:t>3.严格执行利益回避制度，贵单位负责公款竞争性存放相关人员的配偶、子女及其配偶和其他直接利益相关人员为本行工作人员的，不参与公款竞争性存放工作；</w:t>
      </w:r>
    </w:p>
    <w:p>
      <w:pPr>
        <w:spacing w:line="360" w:lineRule="auto"/>
        <w:ind w:firstLine="420" w:firstLineChars="200"/>
        <w:rPr>
          <w:rFonts w:ascii="宋体" w:hAnsi="宋体" w:cs="宋体"/>
          <w:color w:val="auto"/>
          <w:highlight w:val="none"/>
        </w:rPr>
      </w:pPr>
      <w:r>
        <w:rPr>
          <w:rFonts w:ascii="宋体" w:hAnsi="宋体" w:cs="宋体"/>
          <w:color w:val="auto"/>
          <w:highlight w:val="none"/>
        </w:rPr>
        <w:t>4.不发生除上述行为之外的其他任何利益输送行为。</w:t>
      </w:r>
    </w:p>
    <w:p>
      <w:pPr>
        <w:spacing w:line="360" w:lineRule="auto"/>
        <w:ind w:firstLine="420" w:firstLineChars="200"/>
        <w:rPr>
          <w:rFonts w:ascii="宋体" w:hAnsi="宋体" w:cs="宋体"/>
          <w:color w:val="auto"/>
          <w:highlight w:val="none"/>
        </w:rPr>
      </w:pPr>
      <w:r>
        <w:rPr>
          <w:rFonts w:ascii="宋体" w:hAnsi="宋体" w:cs="宋体"/>
          <w:color w:val="auto"/>
          <w:highlight w:val="none"/>
        </w:rPr>
        <w:t>未遵守以上承诺的，本行自愿接受财政部门通报和处理，承担相应的一切后果。</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（盖章）</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法定代表人（或分行负责人或支行负责人）或授权委托人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（签字或盖章）</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日  期：    年    月    日</w:t>
      </w:r>
    </w:p>
    <w:p>
      <w:pPr>
        <w:rPr>
          <w:rFonts w:ascii="宋体" w:hAnsi="宋体"/>
          <w:color w:val="auto"/>
          <w:szCs w:val="21"/>
          <w:highlight w:val="none"/>
        </w:rPr>
      </w:pPr>
      <w:r>
        <w:rPr>
          <w:rFonts w:ascii="宋体" w:hAnsi="宋体"/>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color w:val="auto"/>
          <w:sz w:val="28"/>
          <w:szCs w:val="28"/>
          <w:highlight w:val="none"/>
        </w:rPr>
      </w:pPr>
      <w:r>
        <w:rPr>
          <w:rFonts w:hint="eastAsia" w:ascii="宋体" w:hAnsi="宋体" w:cs="宋体"/>
          <w:b/>
          <w:color w:val="auto"/>
          <w:sz w:val="30"/>
          <w:szCs w:val="30"/>
          <w:highlight w:val="none"/>
          <w:lang w:val="en-US" w:eastAsia="zh-CN"/>
        </w:rPr>
        <w:t>10.</w:t>
      </w:r>
      <w:r>
        <w:rPr>
          <w:rFonts w:hint="eastAsia" w:ascii="宋体" w:hAnsi="宋体" w:eastAsia="宋体" w:cs="宋体"/>
          <w:b/>
          <w:color w:val="auto"/>
          <w:sz w:val="28"/>
          <w:szCs w:val="28"/>
          <w:highlight w:val="none"/>
        </w:rPr>
        <w:t>自评分表</w:t>
      </w:r>
    </w:p>
    <w:tbl>
      <w:tblPr>
        <w:tblStyle w:val="26"/>
        <w:tblW w:w="4997" w:type="pct"/>
        <w:tblInd w:w="0" w:type="dxa"/>
        <w:tblLayout w:type="autofit"/>
        <w:tblCellMar>
          <w:top w:w="0" w:type="dxa"/>
          <w:left w:w="108" w:type="dxa"/>
          <w:bottom w:w="0" w:type="dxa"/>
          <w:right w:w="108" w:type="dxa"/>
        </w:tblCellMar>
      </w:tblPr>
      <w:tblGrid>
        <w:gridCol w:w="883"/>
        <w:gridCol w:w="5261"/>
        <w:gridCol w:w="1626"/>
        <w:gridCol w:w="1624"/>
      </w:tblGrid>
      <w:tr>
        <w:tblPrEx>
          <w:tblCellMar>
            <w:top w:w="0" w:type="dxa"/>
            <w:left w:w="108" w:type="dxa"/>
            <w:bottom w:w="0" w:type="dxa"/>
            <w:right w:w="108" w:type="dxa"/>
          </w:tblCellMar>
        </w:tblPrEx>
        <w:trPr>
          <w:trHeight w:val="610"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证明文件</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自评分</w:t>
            </w:r>
          </w:p>
        </w:tc>
      </w:tr>
      <w:tr>
        <w:tblPrEx>
          <w:tblCellMar>
            <w:top w:w="0" w:type="dxa"/>
            <w:left w:w="108" w:type="dxa"/>
            <w:bottom w:w="0" w:type="dxa"/>
            <w:right w:w="108" w:type="dxa"/>
          </w:tblCellMar>
        </w:tblPrEx>
        <w:trPr>
          <w:trHeight w:val="607" w:hRule="atLeast"/>
        </w:trPr>
        <w:tc>
          <w:tcPr>
            <w:tcW w:w="470" w:type="pct"/>
            <w:tcBorders>
              <w:top w:val="nil"/>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nil"/>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nil"/>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nil"/>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7" w:hRule="atLeast"/>
        </w:trPr>
        <w:tc>
          <w:tcPr>
            <w:tcW w:w="470" w:type="pct"/>
            <w:tcBorders>
              <w:top w:val="nil"/>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nil"/>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nil"/>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nil"/>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34" w:hRule="atLeast"/>
        </w:trPr>
        <w:tc>
          <w:tcPr>
            <w:tcW w:w="470" w:type="pct"/>
            <w:tcBorders>
              <w:top w:val="nil"/>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nil"/>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nil"/>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nil"/>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545" w:hRule="atLeast"/>
        </w:trPr>
        <w:tc>
          <w:tcPr>
            <w:tcW w:w="470" w:type="pct"/>
            <w:tcBorders>
              <w:top w:val="nil"/>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nil"/>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nil"/>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nil"/>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1"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9"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622"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775" w:hRule="atLeast"/>
        </w:trPr>
        <w:tc>
          <w:tcPr>
            <w:tcW w:w="470"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2799" w:type="pct"/>
            <w:tcBorders>
              <w:top w:val="single" w:color="auto" w:sz="4" w:space="0"/>
              <w:left w:val="single" w:color="auto" w:sz="4" w:space="0"/>
              <w:bottom w:val="single" w:color="auto" w:sz="4" w:space="0"/>
              <w:right w:val="single" w:color="auto" w:sz="4" w:space="0"/>
            </w:tcBorders>
            <w:noWrap w:val="0"/>
            <w:vAlign w:val="center"/>
          </w:tcPr>
          <w:p>
            <w:pPr>
              <w:tabs>
                <w:tab w:val="left" w:pos="5940"/>
              </w:tabs>
              <w:rPr>
                <w:rFonts w:hint="eastAsia" w:ascii="宋体" w:hAnsi="宋体" w:eastAsia="宋体" w:cs="宋体"/>
                <w:color w:val="auto"/>
                <w:highlight w:val="none"/>
              </w:rPr>
            </w:pPr>
          </w:p>
        </w:tc>
        <w:tc>
          <w:tcPr>
            <w:tcW w:w="865"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c>
          <w:tcPr>
            <w:tcW w:w="864" w:type="pct"/>
            <w:tcBorders>
              <w:top w:val="single" w:color="auto" w:sz="4" w:space="0"/>
              <w:left w:val="nil"/>
              <w:bottom w:val="single" w:color="auto" w:sz="4" w:space="0"/>
              <w:right w:val="single" w:color="auto" w:sz="4" w:space="0"/>
            </w:tcBorders>
            <w:noWrap w:val="0"/>
            <w:vAlign w:val="center"/>
          </w:tcPr>
          <w:p>
            <w:pPr>
              <w:tabs>
                <w:tab w:val="left" w:pos="5940"/>
              </w:tabs>
              <w:jc w:val="center"/>
              <w:rPr>
                <w:rFonts w:hint="eastAsia" w:ascii="宋体" w:hAnsi="宋体" w:eastAsia="宋体" w:cs="宋体"/>
                <w:color w:val="auto"/>
                <w:highlight w:val="none"/>
              </w:rPr>
            </w:pPr>
          </w:p>
        </w:tc>
      </w:tr>
    </w:tbl>
    <w:p>
      <w:pPr>
        <w:tabs>
          <w:tab w:val="left" w:pos="5940"/>
        </w:tabs>
        <w:spacing w:before="120" w:beforeLines="50"/>
        <w:rPr>
          <w:rFonts w:hint="eastAsia" w:ascii="宋体" w:hAnsi="宋体" w:eastAsia="宋体" w:cs="宋体"/>
          <w:b/>
          <w:color w:val="auto"/>
          <w:highlight w:val="none"/>
        </w:rPr>
      </w:pPr>
      <w:r>
        <w:rPr>
          <w:rFonts w:hint="eastAsia" w:ascii="宋体" w:hAnsi="宋体" w:eastAsia="宋体" w:cs="宋体"/>
          <w:b/>
          <w:color w:val="auto"/>
          <w:highlight w:val="none"/>
        </w:rPr>
        <w:t>根据评分标准逐条填写。</w:t>
      </w:r>
    </w:p>
    <w:p>
      <w:pPr>
        <w:tabs>
          <w:tab w:val="left" w:pos="5940"/>
        </w:tabs>
        <w:rPr>
          <w:rFonts w:hint="eastAsia" w:ascii="宋体" w:hAnsi="宋体" w:eastAsia="宋体" w:cs="宋体"/>
          <w:color w:val="auto"/>
          <w:highlight w:val="none"/>
        </w:rPr>
      </w:pPr>
    </w:p>
    <w:p>
      <w:pPr>
        <w:tabs>
          <w:tab w:val="left" w:pos="5940"/>
        </w:tabs>
        <w:rPr>
          <w:rFonts w:hint="eastAsia" w:ascii="宋体" w:hAnsi="宋体" w:eastAsia="宋体" w:cs="宋体"/>
          <w:color w:val="auto"/>
          <w:highlight w:val="none"/>
        </w:rPr>
      </w:pPr>
    </w:p>
    <w:p>
      <w:pPr>
        <w:pStyle w:val="25"/>
        <w:rPr>
          <w:rFonts w:hint="eastAsia" w:ascii="宋体" w:hAnsi="宋体" w:eastAsia="宋体" w:cs="宋体"/>
          <w:color w:val="auto"/>
          <w:highlight w:val="none"/>
        </w:rPr>
      </w:pP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（盖章）</w:t>
      </w:r>
    </w:p>
    <w:p>
      <w:pPr>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法定代表人（或分行负责人或支行负责人）或授权委托人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  期：    年    月    日</w:t>
      </w:r>
    </w:p>
    <w:sectPr>
      <w:footerReference r:id="rId4" w:type="default"/>
      <w:pgSz w:w="11906" w:h="16838"/>
      <w:pgMar w:top="1304" w:right="1361" w:bottom="1304" w:left="1361" w:header="851"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posOffset>2880360</wp:posOffset>
              </wp:positionH>
              <wp:positionV relativeFrom="paragraph">
                <wp:posOffset>1905</wp:posOffset>
              </wp:positionV>
              <wp:extent cx="334010" cy="246380"/>
              <wp:effectExtent l="0" t="0" r="9525" b="1270"/>
              <wp:wrapNone/>
              <wp:docPr id="1" name="文本框 1"/>
              <wp:cNvGraphicFramePr/>
              <a:graphic xmlns:a="http://schemas.openxmlformats.org/drawingml/2006/main">
                <a:graphicData uri="http://schemas.microsoft.com/office/word/2010/wordprocessingShape">
                  <wps:wsp>
                    <wps:cNvSpPr txBox="1"/>
                    <wps:spPr>
                      <a:xfrm>
                        <a:off x="0" y="0"/>
                        <a:ext cx="333955" cy="246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6.8pt;margin-top:0.15pt;height:19.4pt;width:26.3pt;mso-position-horizontal-relative:margin;z-index:251659264;mso-width-relative:page;mso-height-relative:page;" filled="f" stroked="f" coordsize="21600,21600" o:gfxdata="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xxK+tUAAAAHAQAADwAAAAAAAAABACAAAAAiAAAAZHJzL2Rvd25yZXYueG1sUEsB&#10;AhQAFAAAAAgAh07iQIO+omgxAgAAVQQAAA4AAAAAAAAAAQAgAAAAJAEAAGRycy9lMm9Eb2MueG1s&#10;UEsFBgAAAAAGAAYAWQEAAMcFAAAAAA==&#10;">
              <v:fill on="f" focussize="0,0"/>
              <v:stroke on="f" weight="0.5pt"/>
              <v:imagedata o:title=""/>
              <o:lock v:ext="edit" aspectratio="f"/>
              <v:textbox inset="0mm,0mm,0mm,0mm">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B5C36"/>
    <w:multiLevelType w:val="singleLevel"/>
    <w:tmpl w:val="E3FB5C36"/>
    <w:lvl w:ilvl="0" w:tentative="0">
      <w:start w:val="1"/>
      <w:numFmt w:val="decimal"/>
      <w:suff w:val="nothing"/>
      <w:lvlText w:val="%1．"/>
      <w:lvlJc w:val="left"/>
      <w:pPr>
        <w:ind w:left="0" w:firstLine="400"/>
      </w:pPr>
      <w:rPr>
        <w:rFonts w:hint="default"/>
      </w:rPr>
    </w:lvl>
  </w:abstractNum>
  <w:abstractNum w:abstractNumId="1">
    <w:nsid w:val="E559E475"/>
    <w:multiLevelType w:val="singleLevel"/>
    <w:tmpl w:val="E559E475"/>
    <w:lvl w:ilvl="0" w:tentative="0">
      <w:start w:val="2"/>
      <w:numFmt w:val="decimal"/>
      <w:suff w:val="nothing"/>
      <w:lvlText w:val="（%1）"/>
      <w:lvlJc w:val="left"/>
    </w:lvl>
  </w:abstractNum>
  <w:abstractNum w:abstractNumId="2">
    <w:nsid w:val="00000005"/>
    <w:multiLevelType w:val="multilevel"/>
    <w:tmpl w:val="00000005"/>
    <w:lvl w:ilvl="0" w:tentative="0">
      <w:start w:val="1"/>
      <w:numFmt w:val="decimal"/>
      <w:pStyle w:val="7"/>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7B834F50"/>
    <w:multiLevelType w:val="singleLevel"/>
    <w:tmpl w:val="7B834F50"/>
    <w:lvl w:ilvl="0" w:tentative="0">
      <w:start w:val="1"/>
      <w:numFmt w:val="decimal"/>
      <w:suff w:val="nothing"/>
      <w:lvlText w:val="%1．"/>
      <w:lvlJc w:val="left"/>
      <w:pPr>
        <w:ind w:left="0" w:firstLine="4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iNWNmYTljNDAwNjIyNDMwNzRiM2M4YjBmZWY4ZDUifQ=="/>
  </w:docVars>
  <w:rsids>
    <w:rsidRoot w:val="0052745B"/>
    <w:rsid w:val="0000019C"/>
    <w:rsid w:val="00000271"/>
    <w:rsid w:val="00000765"/>
    <w:rsid w:val="000025D2"/>
    <w:rsid w:val="0000352C"/>
    <w:rsid w:val="0000428F"/>
    <w:rsid w:val="000044AC"/>
    <w:rsid w:val="0000470D"/>
    <w:rsid w:val="00004AC6"/>
    <w:rsid w:val="000050C8"/>
    <w:rsid w:val="00005943"/>
    <w:rsid w:val="00005D68"/>
    <w:rsid w:val="00006210"/>
    <w:rsid w:val="000068EC"/>
    <w:rsid w:val="00006A26"/>
    <w:rsid w:val="0000705E"/>
    <w:rsid w:val="00007563"/>
    <w:rsid w:val="000101DB"/>
    <w:rsid w:val="000106F9"/>
    <w:rsid w:val="000108A3"/>
    <w:rsid w:val="00010E44"/>
    <w:rsid w:val="00010F94"/>
    <w:rsid w:val="00011211"/>
    <w:rsid w:val="00011694"/>
    <w:rsid w:val="00011AF7"/>
    <w:rsid w:val="000126C5"/>
    <w:rsid w:val="00012BC8"/>
    <w:rsid w:val="00012D70"/>
    <w:rsid w:val="000135B9"/>
    <w:rsid w:val="0001378A"/>
    <w:rsid w:val="000138A2"/>
    <w:rsid w:val="00013B9C"/>
    <w:rsid w:val="00014072"/>
    <w:rsid w:val="00014A12"/>
    <w:rsid w:val="00014DD4"/>
    <w:rsid w:val="000159B5"/>
    <w:rsid w:val="00015DD6"/>
    <w:rsid w:val="00015EC3"/>
    <w:rsid w:val="00015FA8"/>
    <w:rsid w:val="00016B24"/>
    <w:rsid w:val="00017781"/>
    <w:rsid w:val="00017D68"/>
    <w:rsid w:val="00017E50"/>
    <w:rsid w:val="0002096F"/>
    <w:rsid w:val="00021044"/>
    <w:rsid w:val="00021AFB"/>
    <w:rsid w:val="00021BCB"/>
    <w:rsid w:val="000223E0"/>
    <w:rsid w:val="00022435"/>
    <w:rsid w:val="0002256B"/>
    <w:rsid w:val="00022A7B"/>
    <w:rsid w:val="00022DF6"/>
    <w:rsid w:val="0002364F"/>
    <w:rsid w:val="000237C6"/>
    <w:rsid w:val="00024336"/>
    <w:rsid w:val="000246AE"/>
    <w:rsid w:val="000248D0"/>
    <w:rsid w:val="00025019"/>
    <w:rsid w:val="0002560B"/>
    <w:rsid w:val="00026337"/>
    <w:rsid w:val="00027554"/>
    <w:rsid w:val="000278B2"/>
    <w:rsid w:val="0003000C"/>
    <w:rsid w:val="00030873"/>
    <w:rsid w:val="00030F89"/>
    <w:rsid w:val="00031410"/>
    <w:rsid w:val="000325FC"/>
    <w:rsid w:val="000327C8"/>
    <w:rsid w:val="00032B0D"/>
    <w:rsid w:val="000330FB"/>
    <w:rsid w:val="0003322C"/>
    <w:rsid w:val="00033A2D"/>
    <w:rsid w:val="00033EB7"/>
    <w:rsid w:val="00033F0B"/>
    <w:rsid w:val="00034E97"/>
    <w:rsid w:val="000350EE"/>
    <w:rsid w:val="00035F1A"/>
    <w:rsid w:val="000364AA"/>
    <w:rsid w:val="00036E05"/>
    <w:rsid w:val="00037A53"/>
    <w:rsid w:val="00037DDE"/>
    <w:rsid w:val="000409AD"/>
    <w:rsid w:val="00040C74"/>
    <w:rsid w:val="00041986"/>
    <w:rsid w:val="00041D21"/>
    <w:rsid w:val="0004287B"/>
    <w:rsid w:val="000429B4"/>
    <w:rsid w:val="00042DCA"/>
    <w:rsid w:val="00042ECB"/>
    <w:rsid w:val="00042FE8"/>
    <w:rsid w:val="000436D2"/>
    <w:rsid w:val="00043ADD"/>
    <w:rsid w:val="0004420B"/>
    <w:rsid w:val="000443D7"/>
    <w:rsid w:val="00044EEF"/>
    <w:rsid w:val="000451B3"/>
    <w:rsid w:val="0004590A"/>
    <w:rsid w:val="00045E14"/>
    <w:rsid w:val="00046014"/>
    <w:rsid w:val="00046744"/>
    <w:rsid w:val="00046D89"/>
    <w:rsid w:val="00046E55"/>
    <w:rsid w:val="00046EC7"/>
    <w:rsid w:val="000473C5"/>
    <w:rsid w:val="0004753B"/>
    <w:rsid w:val="00047773"/>
    <w:rsid w:val="00050915"/>
    <w:rsid w:val="00051300"/>
    <w:rsid w:val="000519AF"/>
    <w:rsid w:val="00052359"/>
    <w:rsid w:val="0005276C"/>
    <w:rsid w:val="00053096"/>
    <w:rsid w:val="000531BA"/>
    <w:rsid w:val="000533D2"/>
    <w:rsid w:val="00053934"/>
    <w:rsid w:val="00053A4E"/>
    <w:rsid w:val="00053AFD"/>
    <w:rsid w:val="00053C94"/>
    <w:rsid w:val="000542AB"/>
    <w:rsid w:val="00054422"/>
    <w:rsid w:val="00055C79"/>
    <w:rsid w:val="00055CB0"/>
    <w:rsid w:val="00056302"/>
    <w:rsid w:val="000566AE"/>
    <w:rsid w:val="00056726"/>
    <w:rsid w:val="00057AA7"/>
    <w:rsid w:val="000600EF"/>
    <w:rsid w:val="00060F55"/>
    <w:rsid w:val="0006192B"/>
    <w:rsid w:val="00061A0F"/>
    <w:rsid w:val="00061F25"/>
    <w:rsid w:val="00062714"/>
    <w:rsid w:val="0006282A"/>
    <w:rsid w:val="00064212"/>
    <w:rsid w:val="000649B5"/>
    <w:rsid w:val="00064C22"/>
    <w:rsid w:val="00064D25"/>
    <w:rsid w:val="0006545B"/>
    <w:rsid w:val="00065968"/>
    <w:rsid w:val="000661E9"/>
    <w:rsid w:val="00066526"/>
    <w:rsid w:val="000666B6"/>
    <w:rsid w:val="00066C9C"/>
    <w:rsid w:val="00067417"/>
    <w:rsid w:val="0006768A"/>
    <w:rsid w:val="000676C9"/>
    <w:rsid w:val="00067AA2"/>
    <w:rsid w:val="00070AA0"/>
    <w:rsid w:val="00070ADB"/>
    <w:rsid w:val="00072176"/>
    <w:rsid w:val="000727DE"/>
    <w:rsid w:val="0007284B"/>
    <w:rsid w:val="00072884"/>
    <w:rsid w:val="00072F7C"/>
    <w:rsid w:val="000730A6"/>
    <w:rsid w:val="000731D2"/>
    <w:rsid w:val="00073244"/>
    <w:rsid w:val="000752D1"/>
    <w:rsid w:val="00075B1C"/>
    <w:rsid w:val="0007612F"/>
    <w:rsid w:val="00076D91"/>
    <w:rsid w:val="00076E50"/>
    <w:rsid w:val="000772BA"/>
    <w:rsid w:val="0007753B"/>
    <w:rsid w:val="000775BA"/>
    <w:rsid w:val="00077D7B"/>
    <w:rsid w:val="00077F2E"/>
    <w:rsid w:val="0008001A"/>
    <w:rsid w:val="00080A69"/>
    <w:rsid w:val="000823D5"/>
    <w:rsid w:val="000826A6"/>
    <w:rsid w:val="0008283A"/>
    <w:rsid w:val="00082B3B"/>
    <w:rsid w:val="00082BC1"/>
    <w:rsid w:val="0008322D"/>
    <w:rsid w:val="000835EA"/>
    <w:rsid w:val="00083963"/>
    <w:rsid w:val="00083C02"/>
    <w:rsid w:val="00083C43"/>
    <w:rsid w:val="00085591"/>
    <w:rsid w:val="00085851"/>
    <w:rsid w:val="00085CEE"/>
    <w:rsid w:val="00085DAE"/>
    <w:rsid w:val="00086271"/>
    <w:rsid w:val="000863BC"/>
    <w:rsid w:val="00086536"/>
    <w:rsid w:val="00086E21"/>
    <w:rsid w:val="00086F2D"/>
    <w:rsid w:val="000876AB"/>
    <w:rsid w:val="000876F6"/>
    <w:rsid w:val="000878C3"/>
    <w:rsid w:val="00087AF2"/>
    <w:rsid w:val="00087DFA"/>
    <w:rsid w:val="000905E4"/>
    <w:rsid w:val="00090A8C"/>
    <w:rsid w:val="00090E46"/>
    <w:rsid w:val="00091A29"/>
    <w:rsid w:val="00091EAF"/>
    <w:rsid w:val="00092F5D"/>
    <w:rsid w:val="000951A5"/>
    <w:rsid w:val="00095318"/>
    <w:rsid w:val="00095322"/>
    <w:rsid w:val="00095449"/>
    <w:rsid w:val="00095913"/>
    <w:rsid w:val="000962F8"/>
    <w:rsid w:val="000969AD"/>
    <w:rsid w:val="00097107"/>
    <w:rsid w:val="00097196"/>
    <w:rsid w:val="000977EE"/>
    <w:rsid w:val="00097CB4"/>
    <w:rsid w:val="00097DBF"/>
    <w:rsid w:val="000A0699"/>
    <w:rsid w:val="000A15E0"/>
    <w:rsid w:val="000A19D7"/>
    <w:rsid w:val="000A32CB"/>
    <w:rsid w:val="000A3800"/>
    <w:rsid w:val="000A381E"/>
    <w:rsid w:val="000A38DD"/>
    <w:rsid w:val="000A3A17"/>
    <w:rsid w:val="000A41FC"/>
    <w:rsid w:val="000A43FA"/>
    <w:rsid w:val="000A466D"/>
    <w:rsid w:val="000A4B8F"/>
    <w:rsid w:val="000A50D4"/>
    <w:rsid w:val="000A528C"/>
    <w:rsid w:val="000A5DDC"/>
    <w:rsid w:val="000A5DE1"/>
    <w:rsid w:val="000A5F34"/>
    <w:rsid w:val="000A62A2"/>
    <w:rsid w:val="000A6632"/>
    <w:rsid w:val="000A6BE3"/>
    <w:rsid w:val="000A6D9D"/>
    <w:rsid w:val="000A793E"/>
    <w:rsid w:val="000B00F7"/>
    <w:rsid w:val="000B0414"/>
    <w:rsid w:val="000B07FE"/>
    <w:rsid w:val="000B096F"/>
    <w:rsid w:val="000B0CF6"/>
    <w:rsid w:val="000B10A0"/>
    <w:rsid w:val="000B149C"/>
    <w:rsid w:val="000B170B"/>
    <w:rsid w:val="000B1898"/>
    <w:rsid w:val="000B18C8"/>
    <w:rsid w:val="000B22FA"/>
    <w:rsid w:val="000B232A"/>
    <w:rsid w:val="000B23A5"/>
    <w:rsid w:val="000B240F"/>
    <w:rsid w:val="000B2703"/>
    <w:rsid w:val="000B2A3F"/>
    <w:rsid w:val="000B2A4E"/>
    <w:rsid w:val="000B2BB9"/>
    <w:rsid w:val="000B310E"/>
    <w:rsid w:val="000B347C"/>
    <w:rsid w:val="000B41A5"/>
    <w:rsid w:val="000B41DB"/>
    <w:rsid w:val="000B429B"/>
    <w:rsid w:val="000B450C"/>
    <w:rsid w:val="000B4CCA"/>
    <w:rsid w:val="000B50BD"/>
    <w:rsid w:val="000B573C"/>
    <w:rsid w:val="000B6169"/>
    <w:rsid w:val="000B655B"/>
    <w:rsid w:val="000B6578"/>
    <w:rsid w:val="000B6B66"/>
    <w:rsid w:val="000B71C7"/>
    <w:rsid w:val="000B71CE"/>
    <w:rsid w:val="000B76E1"/>
    <w:rsid w:val="000C0149"/>
    <w:rsid w:val="000C0B4C"/>
    <w:rsid w:val="000C13C0"/>
    <w:rsid w:val="000C1868"/>
    <w:rsid w:val="000C188C"/>
    <w:rsid w:val="000C1BC3"/>
    <w:rsid w:val="000C1C41"/>
    <w:rsid w:val="000C1C67"/>
    <w:rsid w:val="000C202F"/>
    <w:rsid w:val="000C214C"/>
    <w:rsid w:val="000C4678"/>
    <w:rsid w:val="000C48C5"/>
    <w:rsid w:val="000C4AE1"/>
    <w:rsid w:val="000C576B"/>
    <w:rsid w:val="000C5C3B"/>
    <w:rsid w:val="000C5CFB"/>
    <w:rsid w:val="000C66B6"/>
    <w:rsid w:val="000C7068"/>
    <w:rsid w:val="000C71E0"/>
    <w:rsid w:val="000C79C4"/>
    <w:rsid w:val="000C7AE0"/>
    <w:rsid w:val="000C7E3B"/>
    <w:rsid w:val="000D0944"/>
    <w:rsid w:val="000D0990"/>
    <w:rsid w:val="000D0AB7"/>
    <w:rsid w:val="000D0E3E"/>
    <w:rsid w:val="000D0EFA"/>
    <w:rsid w:val="000D1531"/>
    <w:rsid w:val="000D1562"/>
    <w:rsid w:val="000D19C3"/>
    <w:rsid w:val="000D1B1F"/>
    <w:rsid w:val="000D1C5A"/>
    <w:rsid w:val="000D2816"/>
    <w:rsid w:val="000D2BBF"/>
    <w:rsid w:val="000D2D55"/>
    <w:rsid w:val="000D3518"/>
    <w:rsid w:val="000D3547"/>
    <w:rsid w:val="000D38F7"/>
    <w:rsid w:val="000D3D3D"/>
    <w:rsid w:val="000D3DBC"/>
    <w:rsid w:val="000D4BD5"/>
    <w:rsid w:val="000D50A6"/>
    <w:rsid w:val="000D529F"/>
    <w:rsid w:val="000D53C9"/>
    <w:rsid w:val="000D584F"/>
    <w:rsid w:val="000D5F81"/>
    <w:rsid w:val="000D626F"/>
    <w:rsid w:val="000D6542"/>
    <w:rsid w:val="000D674B"/>
    <w:rsid w:val="000D67FC"/>
    <w:rsid w:val="000D6A1B"/>
    <w:rsid w:val="000D76B9"/>
    <w:rsid w:val="000D7BBC"/>
    <w:rsid w:val="000D7D37"/>
    <w:rsid w:val="000E08E2"/>
    <w:rsid w:val="000E08ED"/>
    <w:rsid w:val="000E0982"/>
    <w:rsid w:val="000E0C10"/>
    <w:rsid w:val="000E0D2D"/>
    <w:rsid w:val="000E1243"/>
    <w:rsid w:val="000E1290"/>
    <w:rsid w:val="000E133C"/>
    <w:rsid w:val="000E21E6"/>
    <w:rsid w:val="000E313B"/>
    <w:rsid w:val="000E382F"/>
    <w:rsid w:val="000E3C48"/>
    <w:rsid w:val="000E3E5E"/>
    <w:rsid w:val="000E41CD"/>
    <w:rsid w:val="000E4227"/>
    <w:rsid w:val="000E451C"/>
    <w:rsid w:val="000E479B"/>
    <w:rsid w:val="000E4926"/>
    <w:rsid w:val="000E4DFF"/>
    <w:rsid w:val="000E50D7"/>
    <w:rsid w:val="000E50EE"/>
    <w:rsid w:val="000E586B"/>
    <w:rsid w:val="000E5CAB"/>
    <w:rsid w:val="000E63EF"/>
    <w:rsid w:val="000E6FFF"/>
    <w:rsid w:val="000E7190"/>
    <w:rsid w:val="000E7A5A"/>
    <w:rsid w:val="000E7E34"/>
    <w:rsid w:val="000E7FE1"/>
    <w:rsid w:val="000F0260"/>
    <w:rsid w:val="000F07D2"/>
    <w:rsid w:val="000F07F8"/>
    <w:rsid w:val="000F0958"/>
    <w:rsid w:val="000F0A62"/>
    <w:rsid w:val="000F1E5D"/>
    <w:rsid w:val="000F2FAA"/>
    <w:rsid w:val="000F324B"/>
    <w:rsid w:val="000F33B9"/>
    <w:rsid w:val="000F3E53"/>
    <w:rsid w:val="000F4409"/>
    <w:rsid w:val="000F46CE"/>
    <w:rsid w:val="000F4D4F"/>
    <w:rsid w:val="000F4E15"/>
    <w:rsid w:val="000F5001"/>
    <w:rsid w:val="000F5F93"/>
    <w:rsid w:val="000F601E"/>
    <w:rsid w:val="000F6139"/>
    <w:rsid w:val="000F6760"/>
    <w:rsid w:val="000F73E2"/>
    <w:rsid w:val="000F750F"/>
    <w:rsid w:val="000F7BE7"/>
    <w:rsid w:val="000F7C3E"/>
    <w:rsid w:val="000F7D67"/>
    <w:rsid w:val="000F7EEA"/>
    <w:rsid w:val="0010027A"/>
    <w:rsid w:val="00100474"/>
    <w:rsid w:val="0010094F"/>
    <w:rsid w:val="00100AB5"/>
    <w:rsid w:val="00100F1E"/>
    <w:rsid w:val="0010115F"/>
    <w:rsid w:val="001012E1"/>
    <w:rsid w:val="0010159D"/>
    <w:rsid w:val="0010180C"/>
    <w:rsid w:val="00101C22"/>
    <w:rsid w:val="00101CC3"/>
    <w:rsid w:val="00101CFD"/>
    <w:rsid w:val="00102529"/>
    <w:rsid w:val="00102EBE"/>
    <w:rsid w:val="00102F63"/>
    <w:rsid w:val="00103340"/>
    <w:rsid w:val="001057F7"/>
    <w:rsid w:val="00105D67"/>
    <w:rsid w:val="0010617E"/>
    <w:rsid w:val="00106718"/>
    <w:rsid w:val="00106992"/>
    <w:rsid w:val="00107913"/>
    <w:rsid w:val="00107BD7"/>
    <w:rsid w:val="00107C40"/>
    <w:rsid w:val="001108CF"/>
    <w:rsid w:val="00110DEF"/>
    <w:rsid w:val="00111691"/>
    <w:rsid w:val="001121D8"/>
    <w:rsid w:val="0011443A"/>
    <w:rsid w:val="00114EF9"/>
    <w:rsid w:val="00116172"/>
    <w:rsid w:val="0011680C"/>
    <w:rsid w:val="001170BF"/>
    <w:rsid w:val="0011751B"/>
    <w:rsid w:val="001175DE"/>
    <w:rsid w:val="00117BF2"/>
    <w:rsid w:val="00117CF7"/>
    <w:rsid w:val="00117E4E"/>
    <w:rsid w:val="0012009F"/>
    <w:rsid w:val="00120679"/>
    <w:rsid w:val="0012130F"/>
    <w:rsid w:val="00121AEC"/>
    <w:rsid w:val="0012292D"/>
    <w:rsid w:val="001229FD"/>
    <w:rsid w:val="0012301B"/>
    <w:rsid w:val="00123284"/>
    <w:rsid w:val="001240B1"/>
    <w:rsid w:val="0012436B"/>
    <w:rsid w:val="0012466B"/>
    <w:rsid w:val="0012481B"/>
    <w:rsid w:val="001248B4"/>
    <w:rsid w:val="00125233"/>
    <w:rsid w:val="00125BCD"/>
    <w:rsid w:val="00125D39"/>
    <w:rsid w:val="0012646B"/>
    <w:rsid w:val="00127289"/>
    <w:rsid w:val="001272D1"/>
    <w:rsid w:val="00127597"/>
    <w:rsid w:val="001277DF"/>
    <w:rsid w:val="00127AFC"/>
    <w:rsid w:val="00130138"/>
    <w:rsid w:val="0013068F"/>
    <w:rsid w:val="00130DF1"/>
    <w:rsid w:val="00131638"/>
    <w:rsid w:val="00131921"/>
    <w:rsid w:val="00131B5F"/>
    <w:rsid w:val="00131E80"/>
    <w:rsid w:val="00132017"/>
    <w:rsid w:val="00132510"/>
    <w:rsid w:val="001328E0"/>
    <w:rsid w:val="00132AC5"/>
    <w:rsid w:val="00132E76"/>
    <w:rsid w:val="001331FE"/>
    <w:rsid w:val="001342B5"/>
    <w:rsid w:val="00134335"/>
    <w:rsid w:val="0013463B"/>
    <w:rsid w:val="001354F2"/>
    <w:rsid w:val="001360D4"/>
    <w:rsid w:val="001363EF"/>
    <w:rsid w:val="00136B3A"/>
    <w:rsid w:val="00136B71"/>
    <w:rsid w:val="00136F64"/>
    <w:rsid w:val="001407F6"/>
    <w:rsid w:val="0014091E"/>
    <w:rsid w:val="00140BC6"/>
    <w:rsid w:val="00141259"/>
    <w:rsid w:val="0014244D"/>
    <w:rsid w:val="001426AF"/>
    <w:rsid w:val="001426CF"/>
    <w:rsid w:val="001431F1"/>
    <w:rsid w:val="00144090"/>
    <w:rsid w:val="00144AA9"/>
    <w:rsid w:val="0014553B"/>
    <w:rsid w:val="0014556D"/>
    <w:rsid w:val="0014578B"/>
    <w:rsid w:val="00146579"/>
    <w:rsid w:val="00146B07"/>
    <w:rsid w:val="00147B60"/>
    <w:rsid w:val="00147E21"/>
    <w:rsid w:val="00150882"/>
    <w:rsid w:val="00150B01"/>
    <w:rsid w:val="00150E8A"/>
    <w:rsid w:val="0015160E"/>
    <w:rsid w:val="00151B7A"/>
    <w:rsid w:val="001520AE"/>
    <w:rsid w:val="00152D10"/>
    <w:rsid w:val="00152F9D"/>
    <w:rsid w:val="00153288"/>
    <w:rsid w:val="00154695"/>
    <w:rsid w:val="001549D7"/>
    <w:rsid w:val="00154AF1"/>
    <w:rsid w:val="00156079"/>
    <w:rsid w:val="00156441"/>
    <w:rsid w:val="0015693E"/>
    <w:rsid w:val="001572C1"/>
    <w:rsid w:val="0016041D"/>
    <w:rsid w:val="00160644"/>
    <w:rsid w:val="00160918"/>
    <w:rsid w:val="001611BC"/>
    <w:rsid w:val="0016120D"/>
    <w:rsid w:val="0016126E"/>
    <w:rsid w:val="00161589"/>
    <w:rsid w:val="00161841"/>
    <w:rsid w:val="0016202E"/>
    <w:rsid w:val="00162D50"/>
    <w:rsid w:val="001631C8"/>
    <w:rsid w:val="001637BC"/>
    <w:rsid w:val="00163B51"/>
    <w:rsid w:val="00163C0A"/>
    <w:rsid w:val="00163C6B"/>
    <w:rsid w:val="00163C9F"/>
    <w:rsid w:val="0016445B"/>
    <w:rsid w:val="001644C5"/>
    <w:rsid w:val="001656E5"/>
    <w:rsid w:val="001659F9"/>
    <w:rsid w:val="0016692B"/>
    <w:rsid w:val="00166985"/>
    <w:rsid w:val="00166B70"/>
    <w:rsid w:val="00166C62"/>
    <w:rsid w:val="00166CEC"/>
    <w:rsid w:val="00167620"/>
    <w:rsid w:val="0016763E"/>
    <w:rsid w:val="00167694"/>
    <w:rsid w:val="00167AB6"/>
    <w:rsid w:val="001701B0"/>
    <w:rsid w:val="001706A5"/>
    <w:rsid w:val="00170CE3"/>
    <w:rsid w:val="00170F41"/>
    <w:rsid w:val="0017109A"/>
    <w:rsid w:val="00171164"/>
    <w:rsid w:val="001711EB"/>
    <w:rsid w:val="00171223"/>
    <w:rsid w:val="0017124B"/>
    <w:rsid w:val="001715E0"/>
    <w:rsid w:val="00171675"/>
    <w:rsid w:val="00171E56"/>
    <w:rsid w:val="00171FE5"/>
    <w:rsid w:val="0017296D"/>
    <w:rsid w:val="0017307F"/>
    <w:rsid w:val="0017327C"/>
    <w:rsid w:val="001737B3"/>
    <w:rsid w:val="00173C43"/>
    <w:rsid w:val="00174146"/>
    <w:rsid w:val="001741A4"/>
    <w:rsid w:val="0017523A"/>
    <w:rsid w:val="0017550D"/>
    <w:rsid w:val="0017686C"/>
    <w:rsid w:val="00176961"/>
    <w:rsid w:val="00176A8E"/>
    <w:rsid w:val="00176AD7"/>
    <w:rsid w:val="00176ADD"/>
    <w:rsid w:val="00176B9F"/>
    <w:rsid w:val="00176E9E"/>
    <w:rsid w:val="00177033"/>
    <w:rsid w:val="00177360"/>
    <w:rsid w:val="001777FD"/>
    <w:rsid w:val="00177CDC"/>
    <w:rsid w:val="00180129"/>
    <w:rsid w:val="0018023D"/>
    <w:rsid w:val="0018056D"/>
    <w:rsid w:val="00180E3F"/>
    <w:rsid w:val="001810DE"/>
    <w:rsid w:val="001819BF"/>
    <w:rsid w:val="00182949"/>
    <w:rsid w:val="00182B13"/>
    <w:rsid w:val="00182B98"/>
    <w:rsid w:val="00182E52"/>
    <w:rsid w:val="001834A0"/>
    <w:rsid w:val="001838E3"/>
    <w:rsid w:val="00183A74"/>
    <w:rsid w:val="001846E4"/>
    <w:rsid w:val="00184D9D"/>
    <w:rsid w:val="00184E4E"/>
    <w:rsid w:val="001852DA"/>
    <w:rsid w:val="00185719"/>
    <w:rsid w:val="001858B5"/>
    <w:rsid w:val="00185CCD"/>
    <w:rsid w:val="0018642F"/>
    <w:rsid w:val="0018665B"/>
    <w:rsid w:val="0018769D"/>
    <w:rsid w:val="00187AC4"/>
    <w:rsid w:val="00187AEF"/>
    <w:rsid w:val="00187D13"/>
    <w:rsid w:val="001902C3"/>
    <w:rsid w:val="00191A47"/>
    <w:rsid w:val="0019247A"/>
    <w:rsid w:val="00192591"/>
    <w:rsid w:val="001929FB"/>
    <w:rsid w:val="00192E87"/>
    <w:rsid w:val="00193363"/>
    <w:rsid w:val="001934A1"/>
    <w:rsid w:val="001935EB"/>
    <w:rsid w:val="0019368F"/>
    <w:rsid w:val="001944A5"/>
    <w:rsid w:val="001947A6"/>
    <w:rsid w:val="00194F49"/>
    <w:rsid w:val="00195911"/>
    <w:rsid w:val="00196E81"/>
    <w:rsid w:val="001970F4"/>
    <w:rsid w:val="001971FD"/>
    <w:rsid w:val="001972B6"/>
    <w:rsid w:val="001976F6"/>
    <w:rsid w:val="001A05DD"/>
    <w:rsid w:val="001A0682"/>
    <w:rsid w:val="001A0CAF"/>
    <w:rsid w:val="001A1153"/>
    <w:rsid w:val="001A11A7"/>
    <w:rsid w:val="001A1467"/>
    <w:rsid w:val="001A18E2"/>
    <w:rsid w:val="001A18EF"/>
    <w:rsid w:val="001A20CB"/>
    <w:rsid w:val="001A23F1"/>
    <w:rsid w:val="001A27DC"/>
    <w:rsid w:val="001A284E"/>
    <w:rsid w:val="001A398A"/>
    <w:rsid w:val="001A406E"/>
    <w:rsid w:val="001A43F7"/>
    <w:rsid w:val="001A4F97"/>
    <w:rsid w:val="001A5148"/>
    <w:rsid w:val="001A551F"/>
    <w:rsid w:val="001A65D0"/>
    <w:rsid w:val="001A6969"/>
    <w:rsid w:val="001A74AC"/>
    <w:rsid w:val="001A756F"/>
    <w:rsid w:val="001A773E"/>
    <w:rsid w:val="001A7A26"/>
    <w:rsid w:val="001A7E79"/>
    <w:rsid w:val="001B0352"/>
    <w:rsid w:val="001B112A"/>
    <w:rsid w:val="001B133C"/>
    <w:rsid w:val="001B1AE9"/>
    <w:rsid w:val="001B2301"/>
    <w:rsid w:val="001B2846"/>
    <w:rsid w:val="001B2A27"/>
    <w:rsid w:val="001B2BFD"/>
    <w:rsid w:val="001B3453"/>
    <w:rsid w:val="001B3C32"/>
    <w:rsid w:val="001B488B"/>
    <w:rsid w:val="001B51FB"/>
    <w:rsid w:val="001B5B6C"/>
    <w:rsid w:val="001B5B72"/>
    <w:rsid w:val="001B6086"/>
    <w:rsid w:val="001B6251"/>
    <w:rsid w:val="001B70B4"/>
    <w:rsid w:val="001B7C18"/>
    <w:rsid w:val="001B7CB8"/>
    <w:rsid w:val="001C1565"/>
    <w:rsid w:val="001C16F4"/>
    <w:rsid w:val="001C1853"/>
    <w:rsid w:val="001C2184"/>
    <w:rsid w:val="001C22BD"/>
    <w:rsid w:val="001C2931"/>
    <w:rsid w:val="001C3500"/>
    <w:rsid w:val="001C363E"/>
    <w:rsid w:val="001C4C86"/>
    <w:rsid w:val="001C5005"/>
    <w:rsid w:val="001C5EB7"/>
    <w:rsid w:val="001C60A1"/>
    <w:rsid w:val="001C654F"/>
    <w:rsid w:val="001C6C0C"/>
    <w:rsid w:val="001C6E88"/>
    <w:rsid w:val="001C734A"/>
    <w:rsid w:val="001D054E"/>
    <w:rsid w:val="001D06A2"/>
    <w:rsid w:val="001D0CAA"/>
    <w:rsid w:val="001D1BDC"/>
    <w:rsid w:val="001D1CF5"/>
    <w:rsid w:val="001D20FD"/>
    <w:rsid w:val="001D22DB"/>
    <w:rsid w:val="001D282D"/>
    <w:rsid w:val="001D4B4C"/>
    <w:rsid w:val="001D5296"/>
    <w:rsid w:val="001D58CF"/>
    <w:rsid w:val="001D5A9A"/>
    <w:rsid w:val="001D658C"/>
    <w:rsid w:val="001D6717"/>
    <w:rsid w:val="001D6A3B"/>
    <w:rsid w:val="001D6BAF"/>
    <w:rsid w:val="001D70FD"/>
    <w:rsid w:val="001D7132"/>
    <w:rsid w:val="001D7522"/>
    <w:rsid w:val="001D78DA"/>
    <w:rsid w:val="001D7AAD"/>
    <w:rsid w:val="001E0E30"/>
    <w:rsid w:val="001E108E"/>
    <w:rsid w:val="001E11C0"/>
    <w:rsid w:val="001E1838"/>
    <w:rsid w:val="001E198E"/>
    <w:rsid w:val="001E1B5B"/>
    <w:rsid w:val="001E1FA0"/>
    <w:rsid w:val="001E29C2"/>
    <w:rsid w:val="001E2C67"/>
    <w:rsid w:val="001E2EFB"/>
    <w:rsid w:val="001E2F87"/>
    <w:rsid w:val="001E3147"/>
    <w:rsid w:val="001E314A"/>
    <w:rsid w:val="001E4028"/>
    <w:rsid w:val="001E5F2B"/>
    <w:rsid w:val="001E61DC"/>
    <w:rsid w:val="001E63B4"/>
    <w:rsid w:val="001E644F"/>
    <w:rsid w:val="001E6A0C"/>
    <w:rsid w:val="001E6C37"/>
    <w:rsid w:val="001E7422"/>
    <w:rsid w:val="001E7534"/>
    <w:rsid w:val="001E77DA"/>
    <w:rsid w:val="001E79DC"/>
    <w:rsid w:val="001E7EF8"/>
    <w:rsid w:val="001F01AA"/>
    <w:rsid w:val="001F01DC"/>
    <w:rsid w:val="001F03BA"/>
    <w:rsid w:val="001F04E6"/>
    <w:rsid w:val="001F0719"/>
    <w:rsid w:val="001F0BFA"/>
    <w:rsid w:val="001F0E5E"/>
    <w:rsid w:val="001F0E8D"/>
    <w:rsid w:val="001F0E96"/>
    <w:rsid w:val="001F0F1A"/>
    <w:rsid w:val="001F15C0"/>
    <w:rsid w:val="001F280D"/>
    <w:rsid w:val="001F2B07"/>
    <w:rsid w:val="001F2B45"/>
    <w:rsid w:val="001F34F7"/>
    <w:rsid w:val="001F3DE1"/>
    <w:rsid w:val="001F4157"/>
    <w:rsid w:val="001F42D6"/>
    <w:rsid w:val="001F4DD1"/>
    <w:rsid w:val="001F5337"/>
    <w:rsid w:val="001F555C"/>
    <w:rsid w:val="001F57DE"/>
    <w:rsid w:val="001F59C7"/>
    <w:rsid w:val="001F6461"/>
    <w:rsid w:val="001F75A2"/>
    <w:rsid w:val="001F76CC"/>
    <w:rsid w:val="001F787C"/>
    <w:rsid w:val="001F7F35"/>
    <w:rsid w:val="001F7FB4"/>
    <w:rsid w:val="00200611"/>
    <w:rsid w:val="002011CE"/>
    <w:rsid w:val="002015E6"/>
    <w:rsid w:val="00202800"/>
    <w:rsid w:val="00202F20"/>
    <w:rsid w:val="0020313A"/>
    <w:rsid w:val="002035B0"/>
    <w:rsid w:val="00203664"/>
    <w:rsid w:val="002041EC"/>
    <w:rsid w:val="002050CE"/>
    <w:rsid w:val="00205D96"/>
    <w:rsid w:val="00206B63"/>
    <w:rsid w:val="00206B9B"/>
    <w:rsid w:val="002077A8"/>
    <w:rsid w:val="0020797F"/>
    <w:rsid w:val="00207B6B"/>
    <w:rsid w:val="0021041A"/>
    <w:rsid w:val="0021047B"/>
    <w:rsid w:val="00210EB0"/>
    <w:rsid w:val="00211651"/>
    <w:rsid w:val="00211669"/>
    <w:rsid w:val="002117FA"/>
    <w:rsid w:val="0021213B"/>
    <w:rsid w:val="002127FD"/>
    <w:rsid w:val="0021375D"/>
    <w:rsid w:val="0021397A"/>
    <w:rsid w:val="00213CDD"/>
    <w:rsid w:val="00214039"/>
    <w:rsid w:val="0021435F"/>
    <w:rsid w:val="00214C21"/>
    <w:rsid w:val="00214F21"/>
    <w:rsid w:val="00215114"/>
    <w:rsid w:val="002159DA"/>
    <w:rsid w:val="002160E4"/>
    <w:rsid w:val="002167AA"/>
    <w:rsid w:val="00216898"/>
    <w:rsid w:val="00216B6F"/>
    <w:rsid w:val="00217410"/>
    <w:rsid w:val="00217C7A"/>
    <w:rsid w:val="00220387"/>
    <w:rsid w:val="0022042A"/>
    <w:rsid w:val="00220AD8"/>
    <w:rsid w:val="00220BB8"/>
    <w:rsid w:val="00220DA5"/>
    <w:rsid w:val="002217DF"/>
    <w:rsid w:val="002218B0"/>
    <w:rsid w:val="00221BDC"/>
    <w:rsid w:val="00221ED3"/>
    <w:rsid w:val="002223A5"/>
    <w:rsid w:val="0022266D"/>
    <w:rsid w:val="0022328C"/>
    <w:rsid w:val="002234A6"/>
    <w:rsid w:val="002237E1"/>
    <w:rsid w:val="00224069"/>
    <w:rsid w:val="0022445C"/>
    <w:rsid w:val="00225404"/>
    <w:rsid w:val="0022577F"/>
    <w:rsid w:val="002257EA"/>
    <w:rsid w:val="002258EA"/>
    <w:rsid w:val="00225FD2"/>
    <w:rsid w:val="00226063"/>
    <w:rsid w:val="00226AD9"/>
    <w:rsid w:val="00226C17"/>
    <w:rsid w:val="00226CEB"/>
    <w:rsid w:val="00227E58"/>
    <w:rsid w:val="00227F45"/>
    <w:rsid w:val="002301F8"/>
    <w:rsid w:val="0023049E"/>
    <w:rsid w:val="00230673"/>
    <w:rsid w:val="00230A08"/>
    <w:rsid w:val="00230BDB"/>
    <w:rsid w:val="002312F6"/>
    <w:rsid w:val="00231419"/>
    <w:rsid w:val="00231C16"/>
    <w:rsid w:val="00232157"/>
    <w:rsid w:val="00232A13"/>
    <w:rsid w:val="00232CA2"/>
    <w:rsid w:val="00232FE3"/>
    <w:rsid w:val="0023306E"/>
    <w:rsid w:val="0023342B"/>
    <w:rsid w:val="00233435"/>
    <w:rsid w:val="00233E18"/>
    <w:rsid w:val="00233ED3"/>
    <w:rsid w:val="0023470E"/>
    <w:rsid w:val="00234FD5"/>
    <w:rsid w:val="00235882"/>
    <w:rsid w:val="00235E39"/>
    <w:rsid w:val="002363EC"/>
    <w:rsid w:val="00236CCD"/>
    <w:rsid w:val="00236DF4"/>
    <w:rsid w:val="002373DE"/>
    <w:rsid w:val="00237414"/>
    <w:rsid w:val="002374F4"/>
    <w:rsid w:val="00237649"/>
    <w:rsid w:val="0023787D"/>
    <w:rsid w:val="0024012D"/>
    <w:rsid w:val="00240422"/>
    <w:rsid w:val="002404C3"/>
    <w:rsid w:val="0024113D"/>
    <w:rsid w:val="0024113F"/>
    <w:rsid w:val="0024170B"/>
    <w:rsid w:val="00242598"/>
    <w:rsid w:val="00242AA5"/>
    <w:rsid w:val="00243361"/>
    <w:rsid w:val="002435E4"/>
    <w:rsid w:val="00243FBD"/>
    <w:rsid w:val="00244835"/>
    <w:rsid w:val="002449C5"/>
    <w:rsid w:val="00244D90"/>
    <w:rsid w:val="00244E99"/>
    <w:rsid w:val="00246670"/>
    <w:rsid w:val="002466B8"/>
    <w:rsid w:val="0024680E"/>
    <w:rsid w:val="00246FBA"/>
    <w:rsid w:val="0024717F"/>
    <w:rsid w:val="00247560"/>
    <w:rsid w:val="00247823"/>
    <w:rsid w:val="00247C97"/>
    <w:rsid w:val="0025059A"/>
    <w:rsid w:val="0025063E"/>
    <w:rsid w:val="002513AE"/>
    <w:rsid w:val="00251ED1"/>
    <w:rsid w:val="00252340"/>
    <w:rsid w:val="002527C5"/>
    <w:rsid w:val="00252D8D"/>
    <w:rsid w:val="002534DD"/>
    <w:rsid w:val="0025370F"/>
    <w:rsid w:val="00253A64"/>
    <w:rsid w:val="00253AB5"/>
    <w:rsid w:val="00253F8E"/>
    <w:rsid w:val="0025402E"/>
    <w:rsid w:val="002541F1"/>
    <w:rsid w:val="002541F6"/>
    <w:rsid w:val="00254B43"/>
    <w:rsid w:val="00254C6F"/>
    <w:rsid w:val="0025512D"/>
    <w:rsid w:val="00255290"/>
    <w:rsid w:val="00255E8D"/>
    <w:rsid w:val="0025605A"/>
    <w:rsid w:val="0025622F"/>
    <w:rsid w:val="002570C5"/>
    <w:rsid w:val="0025737E"/>
    <w:rsid w:val="00257F50"/>
    <w:rsid w:val="00260116"/>
    <w:rsid w:val="002605F6"/>
    <w:rsid w:val="00260CD4"/>
    <w:rsid w:val="00260E3B"/>
    <w:rsid w:val="002612C9"/>
    <w:rsid w:val="0026159F"/>
    <w:rsid w:val="00261E0E"/>
    <w:rsid w:val="00261FBE"/>
    <w:rsid w:val="002629C3"/>
    <w:rsid w:val="00262AC7"/>
    <w:rsid w:val="00262B5E"/>
    <w:rsid w:val="002631E2"/>
    <w:rsid w:val="002631F9"/>
    <w:rsid w:val="00263700"/>
    <w:rsid w:val="00263743"/>
    <w:rsid w:val="00263976"/>
    <w:rsid w:val="00264357"/>
    <w:rsid w:val="00264554"/>
    <w:rsid w:val="00265010"/>
    <w:rsid w:val="00265290"/>
    <w:rsid w:val="0026541F"/>
    <w:rsid w:val="0026561E"/>
    <w:rsid w:val="0026697F"/>
    <w:rsid w:val="00267D15"/>
    <w:rsid w:val="002705A2"/>
    <w:rsid w:val="002708DE"/>
    <w:rsid w:val="00271658"/>
    <w:rsid w:val="0027222D"/>
    <w:rsid w:val="002724DF"/>
    <w:rsid w:val="00272586"/>
    <w:rsid w:val="002729CE"/>
    <w:rsid w:val="00272C05"/>
    <w:rsid w:val="00272F5C"/>
    <w:rsid w:val="00273D44"/>
    <w:rsid w:val="002744A7"/>
    <w:rsid w:val="002749D0"/>
    <w:rsid w:val="00274EFA"/>
    <w:rsid w:val="0027514A"/>
    <w:rsid w:val="002753F5"/>
    <w:rsid w:val="00275406"/>
    <w:rsid w:val="0027570D"/>
    <w:rsid w:val="00275A5F"/>
    <w:rsid w:val="00275F2A"/>
    <w:rsid w:val="002763F1"/>
    <w:rsid w:val="002766EA"/>
    <w:rsid w:val="00277433"/>
    <w:rsid w:val="0027786C"/>
    <w:rsid w:val="002779B6"/>
    <w:rsid w:val="00280A63"/>
    <w:rsid w:val="00280BE2"/>
    <w:rsid w:val="00280DE3"/>
    <w:rsid w:val="00280E89"/>
    <w:rsid w:val="00281362"/>
    <w:rsid w:val="0028148E"/>
    <w:rsid w:val="002814C4"/>
    <w:rsid w:val="00281537"/>
    <w:rsid w:val="00281720"/>
    <w:rsid w:val="00282AD2"/>
    <w:rsid w:val="00283640"/>
    <w:rsid w:val="00283CC0"/>
    <w:rsid w:val="002841A3"/>
    <w:rsid w:val="00284EB9"/>
    <w:rsid w:val="002857C2"/>
    <w:rsid w:val="00285BC0"/>
    <w:rsid w:val="00285EEB"/>
    <w:rsid w:val="00286195"/>
    <w:rsid w:val="00286F0D"/>
    <w:rsid w:val="002874B4"/>
    <w:rsid w:val="002878F9"/>
    <w:rsid w:val="00287D72"/>
    <w:rsid w:val="0029033D"/>
    <w:rsid w:val="0029069C"/>
    <w:rsid w:val="0029110D"/>
    <w:rsid w:val="00291309"/>
    <w:rsid w:val="00291F84"/>
    <w:rsid w:val="002927B7"/>
    <w:rsid w:val="00292D74"/>
    <w:rsid w:val="0029310A"/>
    <w:rsid w:val="0029350D"/>
    <w:rsid w:val="00293A95"/>
    <w:rsid w:val="00294304"/>
    <w:rsid w:val="00294593"/>
    <w:rsid w:val="0029551E"/>
    <w:rsid w:val="0029552C"/>
    <w:rsid w:val="00296411"/>
    <w:rsid w:val="00297485"/>
    <w:rsid w:val="0029748E"/>
    <w:rsid w:val="00297725"/>
    <w:rsid w:val="0029772E"/>
    <w:rsid w:val="002A056F"/>
    <w:rsid w:val="002A075A"/>
    <w:rsid w:val="002A0A25"/>
    <w:rsid w:val="002A1777"/>
    <w:rsid w:val="002A18B5"/>
    <w:rsid w:val="002A1C24"/>
    <w:rsid w:val="002A1F92"/>
    <w:rsid w:val="002A2625"/>
    <w:rsid w:val="002A30F7"/>
    <w:rsid w:val="002A317A"/>
    <w:rsid w:val="002A4B25"/>
    <w:rsid w:val="002A4B88"/>
    <w:rsid w:val="002A5218"/>
    <w:rsid w:val="002A5F26"/>
    <w:rsid w:val="002A6ABC"/>
    <w:rsid w:val="002A6DE8"/>
    <w:rsid w:val="002A70D4"/>
    <w:rsid w:val="002A7501"/>
    <w:rsid w:val="002A7796"/>
    <w:rsid w:val="002B1056"/>
    <w:rsid w:val="002B1473"/>
    <w:rsid w:val="002B1D6B"/>
    <w:rsid w:val="002B1F30"/>
    <w:rsid w:val="002B2AE4"/>
    <w:rsid w:val="002B2B88"/>
    <w:rsid w:val="002B2E78"/>
    <w:rsid w:val="002B3CD9"/>
    <w:rsid w:val="002B3E6E"/>
    <w:rsid w:val="002B4480"/>
    <w:rsid w:val="002B4702"/>
    <w:rsid w:val="002B5387"/>
    <w:rsid w:val="002B58B9"/>
    <w:rsid w:val="002B6060"/>
    <w:rsid w:val="002B6558"/>
    <w:rsid w:val="002B65D1"/>
    <w:rsid w:val="002B78C0"/>
    <w:rsid w:val="002C060D"/>
    <w:rsid w:val="002C12EF"/>
    <w:rsid w:val="002C14FD"/>
    <w:rsid w:val="002C17CE"/>
    <w:rsid w:val="002C1C9F"/>
    <w:rsid w:val="002C1ED5"/>
    <w:rsid w:val="002C2356"/>
    <w:rsid w:val="002C247E"/>
    <w:rsid w:val="002C2A55"/>
    <w:rsid w:val="002C37AE"/>
    <w:rsid w:val="002C3F52"/>
    <w:rsid w:val="002C3FB4"/>
    <w:rsid w:val="002C4498"/>
    <w:rsid w:val="002C4800"/>
    <w:rsid w:val="002C4B0E"/>
    <w:rsid w:val="002C507B"/>
    <w:rsid w:val="002C54AE"/>
    <w:rsid w:val="002C5B23"/>
    <w:rsid w:val="002C6D27"/>
    <w:rsid w:val="002C70E0"/>
    <w:rsid w:val="002C7B49"/>
    <w:rsid w:val="002C7D5C"/>
    <w:rsid w:val="002D0340"/>
    <w:rsid w:val="002D0470"/>
    <w:rsid w:val="002D1376"/>
    <w:rsid w:val="002D1674"/>
    <w:rsid w:val="002D18B2"/>
    <w:rsid w:val="002D1B1B"/>
    <w:rsid w:val="002D25F8"/>
    <w:rsid w:val="002D2AD8"/>
    <w:rsid w:val="002D2B71"/>
    <w:rsid w:val="002D45AC"/>
    <w:rsid w:val="002D4A92"/>
    <w:rsid w:val="002D4B0C"/>
    <w:rsid w:val="002D5594"/>
    <w:rsid w:val="002D5AA9"/>
    <w:rsid w:val="002D5CCD"/>
    <w:rsid w:val="002D6239"/>
    <w:rsid w:val="002D6519"/>
    <w:rsid w:val="002D67CA"/>
    <w:rsid w:val="002D6C6A"/>
    <w:rsid w:val="002D7DAA"/>
    <w:rsid w:val="002E0449"/>
    <w:rsid w:val="002E04BE"/>
    <w:rsid w:val="002E0C20"/>
    <w:rsid w:val="002E0D0C"/>
    <w:rsid w:val="002E117D"/>
    <w:rsid w:val="002E118B"/>
    <w:rsid w:val="002E11E6"/>
    <w:rsid w:val="002E1208"/>
    <w:rsid w:val="002E1EA0"/>
    <w:rsid w:val="002E28E9"/>
    <w:rsid w:val="002E296A"/>
    <w:rsid w:val="002E2D32"/>
    <w:rsid w:val="002E30EB"/>
    <w:rsid w:val="002E390D"/>
    <w:rsid w:val="002E3934"/>
    <w:rsid w:val="002E3BF1"/>
    <w:rsid w:val="002E43D0"/>
    <w:rsid w:val="002E4D81"/>
    <w:rsid w:val="002E4E9A"/>
    <w:rsid w:val="002E5DB7"/>
    <w:rsid w:val="002E5F52"/>
    <w:rsid w:val="002E62C5"/>
    <w:rsid w:val="002E65F4"/>
    <w:rsid w:val="002E700A"/>
    <w:rsid w:val="002E70A8"/>
    <w:rsid w:val="002E73EB"/>
    <w:rsid w:val="002E773B"/>
    <w:rsid w:val="002E7F9F"/>
    <w:rsid w:val="002E7FD5"/>
    <w:rsid w:val="002F0D3F"/>
    <w:rsid w:val="002F0D71"/>
    <w:rsid w:val="002F24AD"/>
    <w:rsid w:val="002F27CE"/>
    <w:rsid w:val="002F3BEB"/>
    <w:rsid w:val="002F5175"/>
    <w:rsid w:val="002F5762"/>
    <w:rsid w:val="002F6A07"/>
    <w:rsid w:val="002F6B16"/>
    <w:rsid w:val="002F7856"/>
    <w:rsid w:val="002F7DE5"/>
    <w:rsid w:val="002F7FCA"/>
    <w:rsid w:val="00300825"/>
    <w:rsid w:val="00301011"/>
    <w:rsid w:val="003011D4"/>
    <w:rsid w:val="0030159C"/>
    <w:rsid w:val="00301A07"/>
    <w:rsid w:val="00301D88"/>
    <w:rsid w:val="0030225D"/>
    <w:rsid w:val="00302356"/>
    <w:rsid w:val="00302695"/>
    <w:rsid w:val="003027FD"/>
    <w:rsid w:val="00303402"/>
    <w:rsid w:val="00303FDD"/>
    <w:rsid w:val="00304542"/>
    <w:rsid w:val="003047FD"/>
    <w:rsid w:val="00304C2D"/>
    <w:rsid w:val="00305A82"/>
    <w:rsid w:val="00305DAA"/>
    <w:rsid w:val="00307C27"/>
    <w:rsid w:val="003103AF"/>
    <w:rsid w:val="003105C4"/>
    <w:rsid w:val="0031061F"/>
    <w:rsid w:val="003109B5"/>
    <w:rsid w:val="00310D8A"/>
    <w:rsid w:val="003114F9"/>
    <w:rsid w:val="0031165F"/>
    <w:rsid w:val="0031166C"/>
    <w:rsid w:val="003119B0"/>
    <w:rsid w:val="00311F87"/>
    <w:rsid w:val="0031204D"/>
    <w:rsid w:val="00312131"/>
    <w:rsid w:val="00312F40"/>
    <w:rsid w:val="00313075"/>
    <w:rsid w:val="00313798"/>
    <w:rsid w:val="00313A72"/>
    <w:rsid w:val="00314242"/>
    <w:rsid w:val="00314373"/>
    <w:rsid w:val="00314EDB"/>
    <w:rsid w:val="00315143"/>
    <w:rsid w:val="00315841"/>
    <w:rsid w:val="00315B62"/>
    <w:rsid w:val="0031613E"/>
    <w:rsid w:val="00316744"/>
    <w:rsid w:val="00316909"/>
    <w:rsid w:val="00316C07"/>
    <w:rsid w:val="00316F37"/>
    <w:rsid w:val="0031759E"/>
    <w:rsid w:val="00317D52"/>
    <w:rsid w:val="0032039A"/>
    <w:rsid w:val="003203CF"/>
    <w:rsid w:val="00320511"/>
    <w:rsid w:val="003206D1"/>
    <w:rsid w:val="003210E1"/>
    <w:rsid w:val="00321D3A"/>
    <w:rsid w:val="00321D4B"/>
    <w:rsid w:val="00321D4F"/>
    <w:rsid w:val="00321E9F"/>
    <w:rsid w:val="003220A8"/>
    <w:rsid w:val="00322A45"/>
    <w:rsid w:val="00322D3F"/>
    <w:rsid w:val="003235ED"/>
    <w:rsid w:val="00324672"/>
    <w:rsid w:val="00324BB6"/>
    <w:rsid w:val="00325595"/>
    <w:rsid w:val="00325C22"/>
    <w:rsid w:val="0032679C"/>
    <w:rsid w:val="003274A9"/>
    <w:rsid w:val="003278C3"/>
    <w:rsid w:val="00327A63"/>
    <w:rsid w:val="00327A70"/>
    <w:rsid w:val="00327C4A"/>
    <w:rsid w:val="0033023F"/>
    <w:rsid w:val="00330249"/>
    <w:rsid w:val="0033059A"/>
    <w:rsid w:val="00330C65"/>
    <w:rsid w:val="003311CB"/>
    <w:rsid w:val="003319B4"/>
    <w:rsid w:val="003319E6"/>
    <w:rsid w:val="00331A7B"/>
    <w:rsid w:val="00332491"/>
    <w:rsid w:val="00332E73"/>
    <w:rsid w:val="00333368"/>
    <w:rsid w:val="003339CD"/>
    <w:rsid w:val="0033444F"/>
    <w:rsid w:val="003345E5"/>
    <w:rsid w:val="00334A1C"/>
    <w:rsid w:val="00334B2A"/>
    <w:rsid w:val="00334CF1"/>
    <w:rsid w:val="00335260"/>
    <w:rsid w:val="0033597C"/>
    <w:rsid w:val="0033599C"/>
    <w:rsid w:val="00335E5D"/>
    <w:rsid w:val="003375B7"/>
    <w:rsid w:val="00337C4E"/>
    <w:rsid w:val="003403E7"/>
    <w:rsid w:val="00340676"/>
    <w:rsid w:val="00340E9B"/>
    <w:rsid w:val="00342205"/>
    <w:rsid w:val="00342ABD"/>
    <w:rsid w:val="00343653"/>
    <w:rsid w:val="0034366B"/>
    <w:rsid w:val="00343935"/>
    <w:rsid w:val="00343E0D"/>
    <w:rsid w:val="003442F7"/>
    <w:rsid w:val="00344C15"/>
    <w:rsid w:val="00344F42"/>
    <w:rsid w:val="0034556F"/>
    <w:rsid w:val="0034647E"/>
    <w:rsid w:val="00346A5C"/>
    <w:rsid w:val="003502A4"/>
    <w:rsid w:val="003516EF"/>
    <w:rsid w:val="00351E73"/>
    <w:rsid w:val="003527F3"/>
    <w:rsid w:val="00352EB1"/>
    <w:rsid w:val="00352FD5"/>
    <w:rsid w:val="003532AB"/>
    <w:rsid w:val="0035342F"/>
    <w:rsid w:val="00353590"/>
    <w:rsid w:val="00354327"/>
    <w:rsid w:val="00354417"/>
    <w:rsid w:val="0035474E"/>
    <w:rsid w:val="0035475A"/>
    <w:rsid w:val="00355918"/>
    <w:rsid w:val="00355BF2"/>
    <w:rsid w:val="0035699B"/>
    <w:rsid w:val="003569D9"/>
    <w:rsid w:val="00356EEB"/>
    <w:rsid w:val="003606A3"/>
    <w:rsid w:val="003607C9"/>
    <w:rsid w:val="0036148A"/>
    <w:rsid w:val="00361A02"/>
    <w:rsid w:val="00361D35"/>
    <w:rsid w:val="00361DCF"/>
    <w:rsid w:val="00361F08"/>
    <w:rsid w:val="003622BA"/>
    <w:rsid w:val="0036258F"/>
    <w:rsid w:val="0036288B"/>
    <w:rsid w:val="00362C28"/>
    <w:rsid w:val="00363213"/>
    <w:rsid w:val="00363B29"/>
    <w:rsid w:val="0036410C"/>
    <w:rsid w:val="003652C3"/>
    <w:rsid w:val="00365491"/>
    <w:rsid w:val="003657DA"/>
    <w:rsid w:val="00366112"/>
    <w:rsid w:val="003663DC"/>
    <w:rsid w:val="00366B12"/>
    <w:rsid w:val="00370F74"/>
    <w:rsid w:val="00371182"/>
    <w:rsid w:val="003724D0"/>
    <w:rsid w:val="00372956"/>
    <w:rsid w:val="003736AE"/>
    <w:rsid w:val="003738EC"/>
    <w:rsid w:val="00373B4C"/>
    <w:rsid w:val="00373DE1"/>
    <w:rsid w:val="00373E95"/>
    <w:rsid w:val="003752A5"/>
    <w:rsid w:val="0037532A"/>
    <w:rsid w:val="0037633F"/>
    <w:rsid w:val="00376C46"/>
    <w:rsid w:val="003776C4"/>
    <w:rsid w:val="00377D1B"/>
    <w:rsid w:val="00377E62"/>
    <w:rsid w:val="00380928"/>
    <w:rsid w:val="00380E11"/>
    <w:rsid w:val="00380E35"/>
    <w:rsid w:val="00380EFD"/>
    <w:rsid w:val="00381095"/>
    <w:rsid w:val="003810E3"/>
    <w:rsid w:val="00381143"/>
    <w:rsid w:val="003814CB"/>
    <w:rsid w:val="003817CB"/>
    <w:rsid w:val="0038186A"/>
    <w:rsid w:val="003824F5"/>
    <w:rsid w:val="0038281C"/>
    <w:rsid w:val="00382A9C"/>
    <w:rsid w:val="00383277"/>
    <w:rsid w:val="00383B57"/>
    <w:rsid w:val="00383D32"/>
    <w:rsid w:val="00384091"/>
    <w:rsid w:val="003844F3"/>
    <w:rsid w:val="003845FC"/>
    <w:rsid w:val="00384626"/>
    <w:rsid w:val="003846D9"/>
    <w:rsid w:val="00384988"/>
    <w:rsid w:val="003849EE"/>
    <w:rsid w:val="003851E3"/>
    <w:rsid w:val="00385946"/>
    <w:rsid w:val="00386119"/>
    <w:rsid w:val="003861DC"/>
    <w:rsid w:val="00386DA1"/>
    <w:rsid w:val="0038702E"/>
    <w:rsid w:val="00387227"/>
    <w:rsid w:val="0038751D"/>
    <w:rsid w:val="00390310"/>
    <w:rsid w:val="003904CB"/>
    <w:rsid w:val="00390BD2"/>
    <w:rsid w:val="00391356"/>
    <w:rsid w:val="003916CE"/>
    <w:rsid w:val="00391C81"/>
    <w:rsid w:val="003926F5"/>
    <w:rsid w:val="003929D0"/>
    <w:rsid w:val="00392B0B"/>
    <w:rsid w:val="003938C9"/>
    <w:rsid w:val="00393A0C"/>
    <w:rsid w:val="00393C32"/>
    <w:rsid w:val="00393EAF"/>
    <w:rsid w:val="00394674"/>
    <w:rsid w:val="00394F2F"/>
    <w:rsid w:val="0039525A"/>
    <w:rsid w:val="00395C28"/>
    <w:rsid w:val="003973D0"/>
    <w:rsid w:val="00397F0A"/>
    <w:rsid w:val="003A05F2"/>
    <w:rsid w:val="003A0A99"/>
    <w:rsid w:val="003A0B7D"/>
    <w:rsid w:val="003A1253"/>
    <w:rsid w:val="003A1DEF"/>
    <w:rsid w:val="003A2979"/>
    <w:rsid w:val="003A2F89"/>
    <w:rsid w:val="003A3957"/>
    <w:rsid w:val="003A4359"/>
    <w:rsid w:val="003A488B"/>
    <w:rsid w:val="003A5694"/>
    <w:rsid w:val="003A60BB"/>
    <w:rsid w:val="003A63CC"/>
    <w:rsid w:val="003A63FB"/>
    <w:rsid w:val="003A6573"/>
    <w:rsid w:val="003A679C"/>
    <w:rsid w:val="003A6826"/>
    <w:rsid w:val="003A6906"/>
    <w:rsid w:val="003A69BE"/>
    <w:rsid w:val="003A6C45"/>
    <w:rsid w:val="003A6C5C"/>
    <w:rsid w:val="003A6FD9"/>
    <w:rsid w:val="003A74CB"/>
    <w:rsid w:val="003A786E"/>
    <w:rsid w:val="003A7E78"/>
    <w:rsid w:val="003B09C7"/>
    <w:rsid w:val="003B0DAC"/>
    <w:rsid w:val="003B1310"/>
    <w:rsid w:val="003B1DC4"/>
    <w:rsid w:val="003B2544"/>
    <w:rsid w:val="003B2C29"/>
    <w:rsid w:val="003B303A"/>
    <w:rsid w:val="003B3063"/>
    <w:rsid w:val="003B34A9"/>
    <w:rsid w:val="003B3605"/>
    <w:rsid w:val="003B3AF0"/>
    <w:rsid w:val="003B3CBD"/>
    <w:rsid w:val="003B3F35"/>
    <w:rsid w:val="003B4682"/>
    <w:rsid w:val="003B4D76"/>
    <w:rsid w:val="003B562E"/>
    <w:rsid w:val="003B5C09"/>
    <w:rsid w:val="003B616D"/>
    <w:rsid w:val="003B6D84"/>
    <w:rsid w:val="003B775E"/>
    <w:rsid w:val="003B7856"/>
    <w:rsid w:val="003B7AC6"/>
    <w:rsid w:val="003B7DDF"/>
    <w:rsid w:val="003B7E90"/>
    <w:rsid w:val="003C00BD"/>
    <w:rsid w:val="003C22B1"/>
    <w:rsid w:val="003C22D9"/>
    <w:rsid w:val="003C247F"/>
    <w:rsid w:val="003C283C"/>
    <w:rsid w:val="003C300C"/>
    <w:rsid w:val="003C3233"/>
    <w:rsid w:val="003C4B04"/>
    <w:rsid w:val="003C5B3D"/>
    <w:rsid w:val="003C5EE1"/>
    <w:rsid w:val="003C6737"/>
    <w:rsid w:val="003C746D"/>
    <w:rsid w:val="003C7B18"/>
    <w:rsid w:val="003D14FA"/>
    <w:rsid w:val="003D1708"/>
    <w:rsid w:val="003D1D64"/>
    <w:rsid w:val="003D222D"/>
    <w:rsid w:val="003D36B3"/>
    <w:rsid w:val="003D38A2"/>
    <w:rsid w:val="003D3BA0"/>
    <w:rsid w:val="003D41D5"/>
    <w:rsid w:val="003D438D"/>
    <w:rsid w:val="003D4749"/>
    <w:rsid w:val="003D4770"/>
    <w:rsid w:val="003D4E47"/>
    <w:rsid w:val="003D500E"/>
    <w:rsid w:val="003D502F"/>
    <w:rsid w:val="003D5139"/>
    <w:rsid w:val="003D5147"/>
    <w:rsid w:val="003D5EFB"/>
    <w:rsid w:val="003D62BB"/>
    <w:rsid w:val="003D693B"/>
    <w:rsid w:val="003D76E8"/>
    <w:rsid w:val="003D7710"/>
    <w:rsid w:val="003E0099"/>
    <w:rsid w:val="003E0399"/>
    <w:rsid w:val="003E0864"/>
    <w:rsid w:val="003E08F0"/>
    <w:rsid w:val="003E0C19"/>
    <w:rsid w:val="003E0F06"/>
    <w:rsid w:val="003E1A84"/>
    <w:rsid w:val="003E2031"/>
    <w:rsid w:val="003E235E"/>
    <w:rsid w:val="003E2478"/>
    <w:rsid w:val="003E29A6"/>
    <w:rsid w:val="003E2E5B"/>
    <w:rsid w:val="003E2E6D"/>
    <w:rsid w:val="003E2F93"/>
    <w:rsid w:val="003E3065"/>
    <w:rsid w:val="003E3854"/>
    <w:rsid w:val="003E3BAF"/>
    <w:rsid w:val="003E3E79"/>
    <w:rsid w:val="003E41D5"/>
    <w:rsid w:val="003E4ADD"/>
    <w:rsid w:val="003E4E14"/>
    <w:rsid w:val="003E548E"/>
    <w:rsid w:val="003E568F"/>
    <w:rsid w:val="003E5882"/>
    <w:rsid w:val="003E6009"/>
    <w:rsid w:val="003E7E4C"/>
    <w:rsid w:val="003E7EBA"/>
    <w:rsid w:val="003F0221"/>
    <w:rsid w:val="003F0510"/>
    <w:rsid w:val="003F066E"/>
    <w:rsid w:val="003F0A0E"/>
    <w:rsid w:val="003F151B"/>
    <w:rsid w:val="003F1620"/>
    <w:rsid w:val="003F1983"/>
    <w:rsid w:val="003F2126"/>
    <w:rsid w:val="003F2169"/>
    <w:rsid w:val="003F28EB"/>
    <w:rsid w:val="003F2956"/>
    <w:rsid w:val="003F343E"/>
    <w:rsid w:val="003F3B7B"/>
    <w:rsid w:val="003F3D60"/>
    <w:rsid w:val="003F3E21"/>
    <w:rsid w:val="003F40DD"/>
    <w:rsid w:val="003F4A39"/>
    <w:rsid w:val="003F4CF1"/>
    <w:rsid w:val="003F4EBD"/>
    <w:rsid w:val="003F54A0"/>
    <w:rsid w:val="003F59E8"/>
    <w:rsid w:val="003F5DC5"/>
    <w:rsid w:val="003F62D9"/>
    <w:rsid w:val="003F672B"/>
    <w:rsid w:val="003F6E97"/>
    <w:rsid w:val="003F7BA9"/>
    <w:rsid w:val="003F7BD2"/>
    <w:rsid w:val="003F7C68"/>
    <w:rsid w:val="003F7FB6"/>
    <w:rsid w:val="00400519"/>
    <w:rsid w:val="00400D6E"/>
    <w:rsid w:val="00400FAC"/>
    <w:rsid w:val="004022C7"/>
    <w:rsid w:val="00402393"/>
    <w:rsid w:val="00403363"/>
    <w:rsid w:val="0040380D"/>
    <w:rsid w:val="004039EF"/>
    <w:rsid w:val="00403B31"/>
    <w:rsid w:val="00403D7D"/>
    <w:rsid w:val="00403FF6"/>
    <w:rsid w:val="004043A6"/>
    <w:rsid w:val="00404463"/>
    <w:rsid w:val="00404B90"/>
    <w:rsid w:val="00404C9D"/>
    <w:rsid w:val="00405365"/>
    <w:rsid w:val="0040563C"/>
    <w:rsid w:val="004058FB"/>
    <w:rsid w:val="00406575"/>
    <w:rsid w:val="00406F49"/>
    <w:rsid w:val="00407C0B"/>
    <w:rsid w:val="00407DAE"/>
    <w:rsid w:val="00410250"/>
    <w:rsid w:val="004110ED"/>
    <w:rsid w:val="0041165B"/>
    <w:rsid w:val="004117FD"/>
    <w:rsid w:val="00411B24"/>
    <w:rsid w:val="004123ED"/>
    <w:rsid w:val="00412516"/>
    <w:rsid w:val="00412A3B"/>
    <w:rsid w:val="00412FAE"/>
    <w:rsid w:val="0041304B"/>
    <w:rsid w:val="00413083"/>
    <w:rsid w:val="00413A2C"/>
    <w:rsid w:val="00413E2D"/>
    <w:rsid w:val="00414495"/>
    <w:rsid w:val="00414506"/>
    <w:rsid w:val="004147E7"/>
    <w:rsid w:val="00414BD9"/>
    <w:rsid w:val="004154B7"/>
    <w:rsid w:val="00415BEC"/>
    <w:rsid w:val="00415D86"/>
    <w:rsid w:val="00417E1D"/>
    <w:rsid w:val="00417EB9"/>
    <w:rsid w:val="004212F4"/>
    <w:rsid w:val="00423333"/>
    <w:rsid w:val="00424492"/>
    <w:rsid w:val="00424646"/>
    <w:rsid w:val="00425BF3"/>
    <w:rsid w:val="00425D54"/>
    <w:rsid w:val="0042666C"/>
    <w:rsid w:val="0042684E"/>
    <w:rsid w:val="004272EF"/>
    <w:rsid w:val="004308A4"/>
    <w:rsid w:val="00430CC8"/>
    <w:rsid w:val="004323AD"/>
    <w:rsid w:val="004323C7"/>
    <w:rsid w:val="00432F34"/>
    <w:rsid w:val="00433CCE"/>
    <w:rsid w:val="00433EF6"/>
    <w:rsid w:val="0043487E"/>
    <w:rsid w:val="00434D92"/>
    <w:rsid w:val="00435630"/>
    <w:rsid w:val="00435F3A"/>
    <w:rsid w:val="004361D8"/>
    <w:rsid w:val="00436590"/>
    <w:rsid w:val="0043686B"/>
    <w:rsid w:val="00436F72"/>
    <w:rsid w:val="004373C8"/>
    <w:rsid w:val="00437676"/>
    <w:rsid w:val="00437DEE"/>
    <w:rsid w:val="00437F01"/>
    <w:rsid w:val="00440BF4"/>
    <w:rsid w:val="00440DB6"/>
    <w:rsid w:val="00440E53"/>
    <w:rsid w:val="00441BFE"/>
    <w:rsid w:val="00441C4F"/>
    <w:rsid w:val="00441FCA"/>
    <w:rsid w:val="00442281"/>
    <w:rsid w:val="00442410"/>
    <w:rsid w:val="00443568"/>
    <w:rsid w:val="004435C5"/>
    <w:rsid w:val="00443C1A"/>
    <w:rsid w:val="00443EE1"/>
    <w:rsid w:val="004450E8"/>
    <w:rsid w:val="0044552A"/>
    <w:rsid w:val="00445604"/>
    <w:rsid w:val="00445945"/>
    <w:rsid w:val="0044706E"/>
    <w:rsid w:val="00447924"/>
    <w:rsid w:val="004479F4"/>
    <w:rsid w:val="004504A3"/>
    <w:rsid w:val="0045099A"/>
    <w:rsid w:val="00450C49"/>
    <w:rsid w:val="004516DA"/>
    <w:rsid w:val="004518C6"/>
    <w:rsid w:val="004527F6"/>
    <w:rsid w:val="00452C1E"/>
    <w:rsid w:val="00452C61"/>
    <w:rsid w:val="00452FAE"/>
    <w:rsid w:val="004538E1"/>
    <w:rsid w:val="00453C05"/>
    <w:rsid w:val="004543F4"/>
    <w:rsid w:val="00454BB3"/>
    <w:rsid w:val="004550EC"/>
    <w:rsid w:val="0045535F"/>
    <w:rsid w:val="00455432"/>
    <w:rsid w:val="004557E0"/>
    <w:rsid w:val="00455E03"/>
    <w:rsid w:val="0045633B"/>
    <w:rsid w:val="004569CA"/>
    <w:rsid w:val="00456A97"/>
    <w:rsid w:val="004574EA"/>
    <w:rsid w:val="00457AB3"/>
    <w:rsid w:val="00460197"/>
    <w:rsid w:val="004602FF"/>
    <w:rsid w:val="00460605"/>
    <w:rsid w:val="00460DE9"/>
    <w:rsid w:val="00461479"/>
    <w:rsid w:val="00461B63"/>
    <w:rsid w:val="004623A6"/>
    <w:rsid w:val="004623D9"/>
    <w:rsid w:val="00462B08"/>
    <w:rsid w:val="00462B95"/>
    <w:rsid w:val="00462EED"/>
    <w:rsid w:val="004631EA"/>
    <w:rsid w:val="00463494"/>
    <w:rsid w:val="00463BE7"/>
    <w:rsid w:val="00464554"/>
    <w:rsid w:val="00465307"/>
    <w:rsid w:val="00465BC1"/>
    <w:rsid w:val="00465BE5"/>
    <w:rsid w:val="004660B7"/>
    <w:rsid w:val="0046641B"/>
    <w:rsid w:val="00466AA7"/>
    <w:rsid w:val="00466F8D"/>
    <w:rsid w:val="0046777D"/>
    <w:rsid w:val="004677B1"/>
    <w:rsid w:val="00467E11"/>
    <w:rsid w:val="00467E1D"/>
    <w:rsid w:val="0047035F"/>
    <w:rsid w:val="00470EA4"/>
    <w:rsid w:val="00471490"/>
    <w:rsid w:val="00471648"/>
    <w:rsid w:val="00471C82"/>
    <w:rsid w:val="00472721"/>
    <w:rsid w:val="00472A77"/>
    <w:rsid w:val="00472ECD"/>
    <w:rsid w:val="00472F80"/>
    <w:rsid w:val="00473072"/>
    <w:rsid w:val="0047362C"/>
    <w:rsid w:val="004737A3"/>
    <w:rsid w:val="004738EA"/>
    <w:rsid w:val="00473A38"/>
    <w:rsid w:val="00473A94"/>
    <w:rsid w:val="00474499"/>
    <w:rsid w:val="004744DA"/>
    <w:rsid w:val="004747B9"/>
    <w:rsid w:val="00474D11"/>
    <w:rsid w:val="00475A9D"/>
    <w:rsid w:val="00476327"/>
    <w:rsid w:val="00476DDF"/>
    <w:rsid w:val="004772A2"/>
    <w:rsid w:val="00477FC5"/>
    <w:rsid w:val="00480830"/>
    <w:rsid w:val="0048099C"/>
    <w:rsid w:val="00480A26"/>
    <w:rsid w:val="00480B18"/>
    <w:rsid w:val="00481EE1"/>
    <w:rsid w:val="00481F2D"/>
    <w:rsid w:val="004826D7"/>
    <w:rsid w:val="00482C9F"/>
    <w:rsid w:val="00482D23"/>
    <w:rsid w:val="00483B82"/>
    <w:rsid w:val="00483BF5"/>
    <w:rsid w:val="00484162"/>
    <w:rsid w:val="004843EF"/>
    <w:rsid w:val="00485532"/>
    <w:rsid w:val="00485F04"/>
    <w:rsid w:val="0048631F"/>
    <w:rsid w:val="004865E5"/>
    <w:rsid w:val="0048698F"/>
    <w:rsid w:val="00486ECE"/>
    <w:rsid w:val="00486EE4"/>
    <w:rsid w:val="00487983"/>
    <w:rsid w:val="00487A64"/>
    <w:rsid w:val="0049009F"/>
    <w:rsid w:val="004907CE"/>
    <w:rsid w:val="00491519"/>
    <w:rsid w:val="004915DD"/>
    <w:rsid w:val="004917A3"/>
    <w:rsid w:val="00491B09"/>
    <w:rsid w:val="00492D28"/>
    <w:rsid w:val="00494A9A"/>
    <w:rsid w:val="00494F47"/>
    <w:rsid w:val="004955B5"/>
    <w:rsid w:val="00495EC7"/>
    <w:rsid w:val="00495F06"/>
    <w:rsid w:val="0049604E"/>
    <w:rsid w:val="004966C3"/>
    <w:rsid w:val="0049682D"/>
    <w:rsid w:val="00496D92"/>
    <w:rsid w:val="00496FDB"/>
    <w:rsid w:val="00497941"/>
    <w:rsid w:val="00497B63"/>
    <w:rsid w:val="00497DAA"/>
    <w:rsid w:val="004A00D2"/>
    <w:rsid w:val="004A096B"/>
    <w:rsid w:val="004A0A69"/>
    <w:rsid w:val="004A1409"/>
    <w:rsid w:val="004A16D5"/>
    <w:rsid w:val="004A18E2"/>
    <w:rsid w:val="004A1D6B"/>
    <w:rsid w:val="004A1EFD"/>
    <w:rsid w:val="004A26AA"/>
    <w:rsid w:val="004A27C4"/>
    <w:rsid w:val="004A288C"/>
    <w:rsid w:val="004A2FFD"/>
    <w:rsid w:val="004A3209"/>
    <w:rsid w:val="004A3BCD"/>
    <w:rsid w:val="004A4117"/>
    <w:rsid w:val="004A4738"/>
    <w:rsid w:val="004A478B"/>
    <w:rsid w:val="004A48A0"/>
    <w:rsid w:val="004A4F14"/>
    <w:rsid w:val="004A565A"/>
    <w:rsid w:val="004A5BDD"/>
    <w:rsid w:val="004A5CA7"/>
    <w:rsid w:val="004A694E"/>
    <w:rsid w:val="004A796F"/>
    <w:rsid w:val="004B0B51"/>
    <w:rsid w:val="004B1C5D"/>
    <w:rsid w:val="004B21B0"/>
    <w:rsid w:val="004B2600"/>
    <w:rsid w:val="004B2734"/>
    <w:rsid w:val="004B2A6A"/>
    <w:rsid w:val="004B2DF3"/>
    <w:rsid w:val="004B2EF5"/>
    <w:rsid w:val="004B33C9"/>
    <w:rsid w:val="004B48E9"/>
    <w:rsid w:val="004B4FEE"/>
    <w:rsid w:val="004B52DA"/>
    <w:rsid w:val="004B55C5"/>
    <w:rsid w:val="004B55E3"/>
    <w:rsid w:val="004B5A77"/>
    <w:rsid w:val="004B676F"/>
    <w:rsid w:val="004B6B1B"/>
    <w:rsid w:val="004B7565"/>
    <w:rsid w:val="004B7641"/>
    <w:rsid w:val="004B7678"/>
    <w:rsid w:val="004B7B88"/>
    <w:rsid w:val="004B7E97"/>
    <w:rsid w:val="004B7F29"/>
    <w:rsid w:val="004B7F8C"/>
    <w:rsid w:val="004C02C8"/>
    <w:rsid w:val="004C0F48"/>
    <w:rsid w:val="004C1454"/>
    <w:rsid w:val="004C1AF9"/>
    <w:rsid w:val="004C22B8"/>
    <w:rsid w:val="004C232D"/>
    <w:rsid w:val="004C2EDB"/>
    <w:rsid w:val="004C2FDC"/>
    <w:rsid w:val="004C2FE8"/>
    <w:rsid w:val="004C3153"/>
    <w:rsid w:val="004C480A"/>
    <w:rsid w:val="004C4BD7"/>
    <w:rsid w:val="004C4D40"/>
    <w:rsid w:val="004C4D9F"/>
    <w:rsid w:val="004C4E63"/>
    <w:rsid w:val="004C5782"/>
    <w:rsid w:val="004C618A"/>
    <w:rsid w:val="004C665B"/>
    <w:rsid w:val="004C6832"/>
    <w:rsid w:val="004C7109"/>
    <w:rsid w:val="004C71BA"/>
    <w:rsid w:val="004C7325"/>
    <w:rsid w:val="004C7545"/>
    <w:rsid w:val="004C79AD"/>
    <w:rsid w:val="004C7B74"/>
    <w:rsid w:val="004C7E96"/>
    <w:rsid w:val="004C7F97"/>
    <w:rsid w:val="004D008D"/>
    <w:rsid w:val="004D07E7"/>
    <w:rsid w:val="004D0BBA"/>
    <w:rsid w:val="004D14EE"/>
    <w:rsid w:val="004D18F8"/>
    <w:rsid w:val="004D1A92"/>
    <w:rsid w:val="004D1D9C"/>
    <w:rsid w:val="004D1DD2"/>
    <w:rsid w:val="004D2C4C"/>
    <w:rsid w:val="004D2C8A"/>
    <w:rsid w:val="004D2D44"/>
    <w:rsid w:val="004D3011"/>
    <w:rsid w:val="004D345D"/>
    <w:rsid w:val="004D35A7"/>
    <w:rsid w:val="004D3A18"/>
    <w:rsid w:val="004D3C75"/>
    <w:rsid w:val="004D430C"/>
    <w:rsid w:val="004D4E76"/>
    <w:rsid w:val="004D501B"/>
    <w:rsid w:val="004D5770"/>
    <w:rsid w:val="004D5CD9"/>
    <w:rsid w:val="004D5F21"/>
    <w:rsid w:val="004D6356"/>
    <w:rsid w:val="004D6BCF"/>
    <w:rsid w:val="004D6C2F"/>
    <w:rsid w:val="004D71E9"/>
    <w:rsid w:val="004D7356"/>
    <w:rsid w:val="004D7601"/>
    <w:rsid w:val="004D79C0"/>
    <w:rsid w:val="004D7EDE"/>
    <w:rsid w:val="004E09DC"/>
    <w:rsid w:val="004E0F48"/>
    <w:rsid w:val="004E0FC4"/>
    <w:rsid w:val="004E1583"/>
    <w:rsid w:val="004E1639"/>
    <w:rsid w:val="004E1D25"/>
    <w:rsid w:val="004E1F84"/>
    <w:rsid w:val="004E206D"/>
    <w:rsid w:val="004E2A1D"/>
    <w:rsid w:val="004E3517"/>
    <w:rsid w:val="004E42B5"/>
    <w:rsid w:val="004E4382"/>
    <w:rsid w:val="004E45EF"/>
    <w:rsid w:val="004E4E2C"/>
    <w:rsid w:val="004E4E3F"/>
    <w:rsid w:val="004E5DDD"/>
    <w:rsid w:val="004E5FD3"/>
    <w:rsid w:val="004E618D"/>
    <w:rsid w:val="004E629C"/>
    <w:rsid w:val="004E6E45"/>
    <w:rsid w:val="004E7632"/>
    <w:rsid w:val="004E7992"/>
    <w:rsid w:val="004F0201"/>
    <w:rsid w:val="004F0286"/>
    <w:rsid w:val="004F0D2D"/>
    <w:rsid w:val="004F130F"/>
    <w:rsid w:val="004F1A21"/>
    <w:rsid w:val="004F2540"/>
    <w:rsid w:val="004F2FB6"/>
    <w:rsid w:val="004F3189"/>
    <w:rsid w:val="004F3211"/>
    <w:rsid w:val="004F3A7B"/>
    <w:rsid w:val="004F3D2D"/>
    <w:rsid w:val="004F3DCC"/>
    <w:rsid w:val="004F3E4F"/>
    <w:rsid w:val="004F41BF"/>
    <w:rsid w:val="004F444B"/>
    <w:rsid w:val="004F4864"/>
    <w:rsid w:val="004F4DD2"/>
    <w:rsid w:val="004F50D2"/>
    <w:rsid w:val="004F55F7"/>
    <w:rsid w:val="004F5A57"/>
    <w:rsid w:val="004F5DF2"/>
    <w:rsid w:val="004F68A8"/>
    <w:rsid w:val="004F7384"/>
    <w:rsid w:val="0050076D"/>
    <w:rsid w:val="0050089E"/>
    <w:rsid w:val="00500F28"/>
    <w:rsid w:val="00501DB2"/>
    <w:rsid w:val="00501E81"/>
    <w:rsid w:val="00501ECF"/>
    <w:rsid w:val="005024ED"/>
    <w:rsid w:val="00502A1A"/>
    <w:rsid w:val="00503B05"/>
    <w:rsid w:val="0050510D"/>
    <w:rsid w:val="00506022"/>
    <w:rsid w:val="00506937"/>
    <w:rsid w:val="00507A3A"/>
    <w:rsid w:val="00507D32"/>
    <w:rsid w:val="00507E24"/>
    <w:rsid w:val="00510252"/>
    <w:rsid w:val="00510653"/>
    <w:rsid w:val="005111B7"/>
    <w:rsid w:val="005115B2"/>
    <w:rsid w:val="005118C6"/>
    <w:rsid w:val="00511CF3"/>
    <w:rsid w:val="005120FE"/>
    <w:rsid w:val="00512135"/>
    <w:rsid w:val="0051222C"/>
    <w:rsid w:val="0051246A"/>
    <w:rsid w:val="00512696"/>
    <w:rsid w:val="005137DD"/>
    <w:rsid w:val="00513CFC"/>
    <w:rsid w:val="00513DC4"/>
    <w:rsid w:val="00514111"/>
    <w:rsid w:val="005149CD"/>
    <w:rsid w:val="00514AC4"/>
    <w:rsid w:val="00515032"/>
    <w:rsid w:val="0051575E"/>
    <w:rsid w:val="0051589E"/>
    <w:rsid w:val="005159B9"/>
    <w:rsid w:val="00515A89"/>
    <w:rsid w:val="00515EBB"/>
    <w:rsid w:val="005161AC"/>
    <w:rsid w:val="00516C10"/>
    <w:rsid w:val="00516C7B"/>
    <w:rsid w:val="00516E94"/>
    <w:rsid w:val="00517526"/>
    <w:rsid w:val="005201B1"/>
    <w:rsid w:val="005203C8"/>
    <w:rsid w:val="00520862"/>
    <w:rsid w:val="00520D5A"/>
    <w:rsid w:val="00520FF5"/>
    <w:rsid w:val="00521219"/>
    <w:rsid w:val="00521785"/>
    <w:rsid w:val="00521B97"/>
    <w:rsid w:val="00522D7C"/>
    <w:rsid w:val="00523257"/>
    <w:rsid w:val="00523A1D"/>
    <w:rsid w:val="005243D9"/>
    <w:rsid w:val="00524554"/>
    <w:rsid w:val="0052588C"/>
    <w:rsid w:val="00525D4F"/>
    <w:rsid w:val="0052623C"/>
    <w:rsid w:val="0052659A"/>
    <w:rsid w:val="00526BED"/>
    <w:rsid w:val="00526E7E"/>
    <w:rsid w:val="00526F44"/>
    <w:rsid w:val="005272CD"/>
    <w:rsid w:val="0052745B"/>
    <w:rsid w:val="005275E1"/>
    <w:rsid w:val="00527799"/>
    <w:rsid w:val="0053030D"/>
    <w:rsid w:val="00530341"/>
    <w:rsid w:val="0053059D"/>
    <w:rsid w:val="00530956"/>
    <w:rsid w:val="00530EAE"/>
    <w:rsid w:val="00530F9F"/>
    <w:rsid w:val="005318D5"/>
    <w:rsid w:val="0053209E"/>
    <w:rsid w:val="005322E4"/>
    <w:rsid w:val="005331CD"/>
    <w:rsid w:val="005331E8"/>
    <w:rsid w:val="00533748"/>
    <w:rsid w:val="005349B3"/>
    <w:rsid w:val="00535022"/>
    <w:rsid w:val="005358B0"/>
    <w:rsid w:val="00535A6A"/>
    <w:rsid w:val="005366B3"/>
    <w:rsid w:val="00536973"/>
    <w:rsid w:val="00536DB8"/>
    <w:rsid w:val="00537139"/>
    <w:rsid w:val="005372FE"/>
    <w:rsid w:val="00537D0C"/>
    <w:rsid w:val="00540512"/>
    <w:rsid w:val="00541054"/>
    <w:rsid w:val="00541DEE"/>
    <w:rsid w:val="00541E2A"/>
    <w:rsid w:val="00542003"/>
    <w:rsid w:val="00542335"/>
    <w:rsid w:val="005426CB"/>
    <w:rsid w:val="00542E1F"/>
    <w:rsid w:val="00543570"/>
    <w:rsid w:val="005435CA"/>
    <w:rsid w:val="00543887"/>
    <w:rsid w:val="00543C10"/>
    <w:rsid w:val="0054444F"/>
    <w:rsid w:val="00545DD9"/>
    <w:rsid w:val="00545EEA"/>
    <w:rsid w:val="00546182"/>
    <w:rsid w:val="005462B7"/>
    <w:rsid w:val="00546357"/>
    <w:rsid w:val="005463E2"/>
    <w:rsid w:val="0054661D"/>
    <w:rsid w:val="00547CF4"/>
    <w:rsid w:val="00547F57"/>
    <w:rsid w:val="00550227"/>
    <w:rsid w:val="00550EAA"/>
    <w:rsid w:val="00550FB7"/>
    <w:rsid w:val="00551387"/>
    <w:rsid w:val="00551877"/>
    <w:rsid w:val="00551B3D"/>
    <w:rsid w:val="00551E40"/>
    <w:rsid w:val="0055263F"/>
    <w:rsid w:val="00552DD2"/>
    <w:rsid w:val="00553D9A"/>
    <w:rsid w:val="00554578"/>
    <w:rsid w:val="00555178"/>
    <w:rsid w:val="0055520C"/>
    <w:rsid w:val="0055576F"/>
    <w:rsid w:val="00555CB7"/>
    <w:rsid w:val="0055617D"/>
    <w:rsid w:val="00556F85"/>
    <w:rsid w:val="00557100"/>
    <w:rsid w:val="00560562"/>
    <w:rsid w:val="0056058A"/>
    <w:rsid w:val="005609F8"/>
    <w:rsid w:val="00560C9D"/>
    <w:rsid w:val="005612A2"/>
    <w:rsid w:val="005615F6"/>
    <w:rsid w:val="00561663"/>
    <w:rsid w:val="0056166C"/>
    <w:rsid w:val="00561C43"/>
    <w:rsid w:val="00562493"/>
    <w:rsid w:val="005628B6"/>
    <w:rsid w:val="00562CDC"/>
    <w:rsid w:val="00563361"/>
    <w:rsid w:val="0056381A"/>
    <w:rsid w:val="00563A16"/>
    <w:rsid w:val="00563BA8"/>
    <w:rsid w:val="00563CE6"/>
    <w:rsid w:val="005640C6"/>
    <w:rsid w:val="00564318"/>
    <w:rsid w:val="00564348"/>
    <w:rsid w:val="0056459D"/>
    <w:rsid w:val="005646FE"/>
    <w:rsid w:val="00564C86"/>
    <w:rsid w:val="00564F6A"/>
    <w:rsid w:val="005650DF"/>
    <w:rsid w:val="00566D6C"/>
    <w:rsid w:val="00567844"/>
    <w:rsid w:val="00567FF6"/>
    <w:rsid w:val="005702F6"/>
    <w:rsid w:val="00570414"/>
    <w:rsid w:val="00570A08"/>
    <w:rsid w:val="00570F36"/>
    <w:rsid w:val="00571306"/>
    <w:rsid w:val="0057201D"/>
    <w:rsid w:val="005728A3"/>
    <w:rsid w:val="00572E7D"/>
    <w:rsid w:val="00572FA2"/>
    <w:rsid w:val="00573CB4"/>
    <w:rsid w:val="00574D99"/>
    <w:rsid w:val="00575169"/>
    <w:rsid w:val="00575359"/>
    <w:rsid w:val="0057579D"/>
    <w:rsid w:val="00577613"/>
    <w:rsid w:val="00577AE5"/>
    <w:rsid w:val="0058020B"/>
    <w:rsid w:val="005806EB"/>
    <w:rsid w:val="0058148A"/>
    <w:rsid w:val="00581A9E"/>
    <w:rsid w:val="00581E8C"/>
    <w:rsid w:val="00583E32"/>
    <w:rsid w:val="00583FF6"/>
    <w:rsid w:val="00584494"/>
    <w:rsid w:val="005847E1"/>
    <w:rsid w:val="005849A2"/>
    <w:rsid w:val="00584DE3"/>
    <w:rsid w:val="00584DE4"/>
    <w:rsid w:val="00585096"/>
    <w:rsid w:val="005851BF"/>
    <w:rsid w:val="005855FF"/>
    <w:rsid w:val="0058571C"/>
    <w:rsid w:val="00585EC5"/>
    <w:rsid w:val="0058643A"/>
    <w:rsid w:val="00590491"/>
    <w:rsid w:val="00590568"/>
    <w:rsid w:val="00590D84"/>
    <w:rsid w:val="00591093"/>
    <w:rsid w:val="005910D5"/>
    <w:rsid w:val="005918F9"/>
    <w:rsid w:val="00592AAA"/>
    <w:rsid w:val="00592D9E"/>
    <w:rsid w:val="00592DBF"/>
    <w:rsid w:val="005932DD"/>
    <w:rsid w:val="005938D4"/>
    <w:rsid w:val="00594270"/>
    <w:rsid w:val="005944C2"/>
    <w:rsid w:val="005944F8"/>
    <w:rsid w:val="00594605"/>
    <w:rsid w:val="00594F4A"/>
    <w:rsid w:val="0059579D"/>
    <w:rsid w:val="00596A54"/>
    <w:rsid w:val="00596FCB"/>
    <w:rsid w:val="005971F1"/>
    <w:rsid w:val="00597A17"/>
    <w:rsid w:val="00597B43"/>
    <w:rsid w:val="005A0704"/>
    <w:rsid w:val="005A10C1"/>
    <w:rsid w:val="005A12FE"/>
    <w:rsid w:val="005A1437"/>
    <w:rsid w:val="005A19AB"/>
    <w:rsid w:val="005A1B7E"/>
    <w:rsid w:val="005A1F6A"/>
    <w:rsid w:val="005A2048"/>
    <w:rsid w:val="005A23B2"/>
    <w:rsid w:val="005A35E0"/>
    <w:rsid w:val="005A3B1F"/>
    <w:rsid w:val="005A3CB1"/>
    <w:rsid w:val="005A3FCF"/>
    <w:rsid w:val="005A45EA"/>
    <w:rsid w:val="005A476C"/>
    <w:rsid w:val="005A6845"/>
    <w:rsid w:val="005A7321"/>
    <w:rsid w:val="005A7793"/>
    <w:rsid w:val="005A7B53"/>
    <w:rsid w:val="005A7E5E"/>
    <w:rsid w:val="005B04AD"/>
    <w:rsid w:val="005B06F0"/>
    <w:rsid w:val="005B07C0"/>
    <w:rsid w:val="005B0FB5"/>
    <w:rsid w:val="005B1E9D"/>
    <w:rsid w:val="005B2650"/>
    <w:rsid w:val="005B2F11"/>
    <w:rsid w:val="005B31A8"/>
    <w:rsid w:val="005B3694"/>
    <w:rsid w:val="005B4FA4"/>
    <w:rsid w:val="005B514A"/>
    <w:rsid w:val="005B5715"/>
    <w:rsid w:val="005B59DC"/>
    <w:rsid w:val="005B5B5D"/>
    <w:rsid w:val="005B5EE2"/>
    <w:rsid w:val="005B62AE"/>
    <w:rsid w:val="005B64D7"/>
    <w:rsid w:val="005B67B6"/>
    <w:rsid w:val="005B6B22"/>
    <w:rsid w:val="005C0443"/>
    <w:rsid w:val="005C055C"/>
    <w:rsid w:val="005C061C"/>
    <w:rsid w:val="005C08AD"/>
    <w:rsid w:val="005C0C32"/>
    <w:rsid w:val="005C0DFB"/>
    <w:rsid w:val="005C10E4"/>
    <w:rsid w:val="005C1B5E"/>
    <w:rsid w:val="005C2838"/>
    <w:rsid w:val="005C2A63"/>
    <w:rsid w:val="005C2FCB"/>
    <w:rsid w:val="005C36F5"/>
    <w:rsid w:val="005C3BAE"/>
    <w:rsid w:val="005C3DB0"/>
    <w:rsid w:val="005C4697"/>
    <w:rsid w:val="005C48B4"/>
    <w:rsid w:val="005C4BEC"/>
    <w:rsid w:val="005C4C35"/>
    <w:rsid w:val="005C53C7"/>
    <w:rsid w:val="005C59FA"/>
    <w:rsid w:val="005C5A41"/>
    <w:rsid w:val="005C5BC3"/>
    <w:rsid w:val="005C5E28"/>
    <w:rsid w:val="005C5EF3"/>
    <w:rsid w:val="005C66F1"/>
    <w:rsid w:val="005C6709"/>
    <w:rsid w:val="005C785D"/>
    <w:rsid w:val="005C78C1"/>
    <w:rsid w:val="005C7AE9"/>
    <w:rsid w:val="005D0299"/>
    <w:rsid w:val="005D0900"/>
    <w:rsid w:val="005D12C1"/>
    <w:rsid w:val="005D1375"/>
    <w:rsid w:val="005D18DF"/>
    <w:rsid w:val="005D27FA"/>
    <w:rsid w:val="005D3639"/>
    <w:rsid w:val="005D3653"/>
    <w:rsid w:val="005D40BC"/>
    <w:rsid w:val="005D420E"/>
    <w:rsid w:val="005D5A77"/>
    <w:rsid w:val="005D5BC8"/>
    <w:rsid w:val="005D5E28"/>
    <w:rsid w:val="005D5E64"/>
    <w:rsid w:val="005D5EDD"/>
    <w:rsid w:val="005D63C2"/>
    <w:rsid w:val="005D6591"/>
    <w:rsid w:val="005D69B3"/>
    <w:rsid w:val="005D6E94"/>
    <w:rsid w:val="005D6F54"/>
    <w:rsid w:val="005D730E"/>
    <w:rsid w:val="005E0C4B"/>
    <w:rsid w:val="005E1625"/>
    <w:rsid w:val="005E1CB4"/>
    <w:rsid w:val="005E24A0"/>
    <w:rsid w:val="005E24B4"/>
    <w:rsid w:val="005E28AA"/>
    <w:rsid w:val="005E2CF2"/>
    <w:rsid w:val="005E3CD2"/>
    <w:rsid w:val="005E401A"/>
    <w:rsid w:val="005E4168"/>
    <w:rsid w:val="005E4394"/>
    <w:rsid w:val="005E46BD"/>
    <w:rsid w:val="005E56AB"/>
    <w:rsid w:val="005E5745"/>
    <w:rsid w:val="005E5783"/>
    <w:rsid w:val="005E5C07"/>
    <w:rsid w:val="005E62AE"/>
    <w:rsid w:val="005E6445"/>
    <w:rsid w:val="005E6D31"/>
    <w:rsid w:val="005E6E8D"/>
    <w:rsid w:val="005E6EFB"/>
    <w:rsid w:val="005E72C8"/>
    <w:rsid w:val="005E7A7A"/>
    <w:rsid w:val="005E7E1C"/>
    <w:rsid w:val="005F00AC"/>
    <w:rsid w:val="005F020D"/>
    <w:rsid w:val="005F051D"/>
    <w:rsid w:val="005F0A90"/>
    <w:rsid w:val="005F0EEF"/>
    <w:rsid w:val="005F1011"/>
    <w:rsid w:val="005F1602"/>
    <w:rsid w:val="005F2825"/>
    <w:rsid w:val="005F2836"/>
    <w:rsid w:val="005F389E"/>
    <w:rsid w:val="005F3D04"/>
    <w:rsid w:val="005F46FA"/>
    <w:rsid w:val="005F4BF7"/>
    <w:rsid w:val="005F5A8F"/>
    <w:rsid w:val="005F5E46"/>
    <w:rsid w:val="005F7585"/>
    <w:rsid w:val="005F7F30"/>
    <w:rsid w:val="00600A7E"/>
    <w:rsid w:val="006018FC"/>
    <w:rsid w:val="00601981"/>
    <w:rsid w:val="00601ACD"/>
    <w:rsid w:val="0060259F"/>
    <w:rsid w:val="0060287C"/>
    <w:rsid w:val="00602BF6"/>
    <w:rsid w:val="006045A0"/>
    <w:rsid w:val="00604896"/>
    <w:rsid w:val="00605186"/>
    <w:rsid w:val="006062D5"/>
    <w:rsid w:val="00607092"/>
    <w:rsid w:val="006079EE"/>
    <w:rsid w:val="00607B1A"/>
    <w:rsid w:val="00607DA3"/>
    <w:rsid w:val="006100C1"/>
    <w:rsid w:val="00610198"/>
    <w:rsid w:val="006104BC"/>
    <w:rsid w:val="00610BD0"/>
    <w:rsid w:val="00610C35"/>
    <w:rsid w:val="0061110A"/>
    <w:rsid w:val="006117F4"/>
    <w:rsid w:val="0061193F"/>
    <w:rsid w:val="00611966"/>
    <w:rsid w:val="00611BE2"/>
    <w:rsid w:val="00612941"/>
    <w:rsid w:val="00613285"/>
    <w:rsid w:val="0061349D"/>
    <w:rsid w:val="00613739"/>
    <w:rsid w:val="00613920"/>
    <w:rsid w:val="00613DCE"/>
    <w:rsid w:val="00614678"/>
    <w:rsid w:val="00614E72"/>
    <w:rsid w:val="006153F8"/>
    <w:rsid w:val="00615CA5"/>
    <w:rsid w:val="00616BC9"/>
    <w:rsid w:val="0061747C"/>
    <w:rsid w:val="00617FEC"/>
    <w:rsid w:val="006204E1"/>
    <w:rsid w:val="00620902"/>
    <w:rsid w:val="006209AA"/>
    <w:rsid w:val="00620C1B"/>
    <w:rsid w:val="00621210"/>
    <w:rsid w:val="00621234"/>
    <w:rsid w:val="00621CF4"/>
    <w:rsid w:val="00622258"/>
    <w:rsid w:val="006226CD"/>
    <w:rsid w:val="00622BCF"/>
    <w:rsid w:val="006231F5"/>
    <w:rsid w:val="0062326E"/>
    <w:rsid w:val="00623650"/>
    <w:rsid w:val="00623872"/>
    <w:rsid w:val="00623E85"/>
    <w:rsid w:val="006247AB"/>
    <w:rsid w:val="00624B67"/>
    <w:rsid w:val="00624FA6"/>
    <w:rsid w:val="00625BD0"/>
    <w:rsid w:val="00625E47"/>
    <w:rsid w:val="00625FD5"/>
    <w:rsid w:val="00626308"/>
    <w:rsid w:val="00626591"/>
    <w:rsid w:val="006271C7"/>
    <w:rsid w:val="00627B4C"/>
    <w:rsid w:val="00630057"/>
    <w:rsid w:val="006300A0"/>
    <w:rsid w:val="00630C82"/>
    <w:rsid w:val="00630CEC"/>
    <w:rsid w:val="00631214"/>
    <w:rsid w:val="00631942"/>
    <w:rsid w:val="00632200"/>
    <w:rsid w:val="00632442"/>
    <w:rsid w:val="006328BB"/>
    <w:rsid w:val="00632ED3"/>
    <w:rsid w:val="00633613"/>
    <w:rsid w:val="00633933"/>
    <w:rsid w:val="00633E91"/>
    <w:rsid w:val="00634EDF"/>
    <w:rsid w:val="006355F9"/>
    <w:rsid w:val="0063694B"/>
    <w:rsid w:val="00636CBB"/>
    <w:rsid w:val="00636CE2"/>
    <w:rsid w:val="00637319"/>
    <w:rsid w:val="006374DE"/>
    <w:rsid w:val="0064017C"/>
    <w:rsid w:val="00640CBA"/>
    <w:rsid w:val="00640CF0"/>
    <w:rsid w:val="00641891"/>
    <w:rsid w:val="0064194C"/>
    <w:rsid w:val="00641C45"/>
    <w:rsid w:val="0064203F"/>
    <w:rsid w:val="00642AD5"/>
    <w:rsid w:val="00642E57"/>
    <w:rsid w:val="006434B0"/>
    <w:rsid w:val="006437B6"/>
    <w:rsid w:val="0064392C"/>
    <w:rsid w:val="00644436"/>
    <w:rsid w:val="00644519"/>
    <w:rsid w:val="00644700"/>
    <w:rsid w:val="00644772"/>
    <w:rsid w:val="00644A4F"/>
    <w:rsid w:val="006454FA"/>
    <w:rsid w:val="00645642"/>
    <w:rsid w:val="006460C3"/>
    <w:rsid w:val="006460F3"/>
    <w:rsid w:val="00646AF0"/>
    <w:rsid w:val="00647A18"/>
    <w:rsid w:val="00647BB6"/>
    <w:rsid w:val="006502E1"/>
    <w:rsid w:val="00650397"/>
    <w:rsid w:val="006508A3"/>
    <w:rsid w:val="00650DB5"/>
    <w:rsid w:val="00651A62"/>
    <w:rsid w:val="00651D55"/>
    <w:rsid w:val="006521C0"/>
    <w:rsid w:val="00652642"/>
    <w:rsid w:val="0065291F"/>
    <w:rsid w:val="006536DC"/>
    <w:rsid w:val="0065371C"/>
    <w:rsid w:val="00653F6E"/>
    <w:rsid w:val="00654A8C"/>
    <w:rsid w:val="00654B29"/>
    <w:rsid w:val="00654C8C"/>
    <w:rsid w:val="00654CBE"/>
    <w:rsid w:val="00654E35"/>
    <w:rsid w:val="00654E8B"/>
    <w:rsid w:val="0065527A"/>
    <w:rsid w:val="00655376"/>
    <w:rsid w:val="006559F9"/>
    <w:rsid w:val="00655BA6"/>
    <w:rsid w:val="00655C4B"/>
    <w:rsid w:val="00657166"/>
    <w:rsid w:val="0065738A"/>
    <w:rsid w:val="00657B7D"/>
    <w:rsid w:val="006600BB"/>
    <w:rsid w:val="0066028F"/>
    <w:rsid w:val="00660698"/>
    <w:rsid w:val="006623BA"/>
    <w:rsid w:val="00662FCE"/>
    <w:rsid w:val="006637FC"/>
    <w:rsid w:val="006639DE"/>
    <w:rsid w:val="00663D55"/>
    <w:rsid w:val="00664386"/>
    <w:rsid w:val="00664402"/>
    <w:rsid w:val="00664901"/>
    <w:rsid w:val="00664D5C"/>
    <w:rsid w:val="00664DE3"/>
    <w:rsid w:val="00665235"/>
    <w:rsid w:val="006654FF"/>
    <w:rsid w:val="0066589C"/>
    <w:rsid w:val="0066613C"/>
    <w:rsid w:val="00666145"/>
    <w:rsid w:val="006663A9"/>
    <w:rsid w:val="006665ED"/>
    <w:rsid w:val="006673DB"/>
    <w:rsid w:val="006674AB"/>
    <w:rsid w:val="00667759"/>
    <w:rsid w:val="00667964"/>
    <w:rsid w:val="00670072"/>
    <w:rsid w:val="0067015A"/>
    <w:rsid w:val="006703FC"/>
    <w:rsid w:val="0067067E"/>
    <w:rsid w:val="006706C4"/>
    <w:rsid w:val="00670714"/>
    <w:rsid w:val="00670A20"/>
    <w:rsid w:val="00671B64"/>
    <w:rsid w:val="00672053"/>
    <w:rsid w:val="00672605"/>
    <w:rsid w:val="00672AF6"/>
    <w:rsid w:val="006735DF"/>
    <w:rsid w:val="00673985"/>
    <w:rsid w:val="00673BCA"/>
    <w:rsid w:val="006747FF"/>
    <w:rsid w:val="00674B8E"/>
    <w:rsid w:val="00675610"/>
    <w:rsid w:val="00676004"/>
    <w:rsid w:val="00676BAB"/>
    <w:rsid w:val="00676D39"/>
    <w:rsid w:val="00676DAC"/>
    <w:rsid w:val="00677F9F"/>
    <w:rsid w:val="006800B6"/>
    <w:rsid w:val="0068077B"/>
    <w:rsid w:val="0068097F"/>
    <w:rsid w:val="00680CCC"/>
    <w:rsid w:val="0068167D"/>
    <w:rsid w:val="00681AD9"/>
    <w:rsid w:val="00681CAB"/>
    <w:rsid w:val="006824FC"/>
    <w:rsid w:val="006828BF"/>
    <w:rsid w:val="00682927"/>
    <w:rsid w:val="00682E3F"/>
    <w:rsid w:val="00683493"/>
    <w:rsid w:val="006837AB"/>
    <w:rsid w:val="006845F0"/>
    <w:rsid w:val="00684836"/>
    <w:rsid w:val="006856FB"/>
    <w:rsid w:val="00685FB7"/>
    <w:rsid w:val="006869EE"/>
    <w:rsid w:val="00686A6F"/>
    <w:rsid w:val="00686A88"/>
    <w:rsid w:val="00687A55"/>
    <w:rsid w:val="00687CBA"/>
    <w:rsid w:val="00690160"/>
    <w:rsid w:val="00690B95"/>
    <w:rsid w:val="00690EDB"/>
    <w:rsid w:val="00691C63"/>
    <w:rsid w:val="0069282E"/>
    <w:rsid w:val="00692FA3"/>
    <w:rsid w:val="006938B2"/>
    <w:rsid w:val="00693A2A"/>
    <w:rsid w:val="00693FCB"/>
    <w:rsid w:val="00694052"/>
    <w:rsid w:val="00694DDB"/>
    <w:rsid w:val="00694E93"/>
    <w:rsid w:val="006953EE"/>
    <w:rsid w:val="00695425"/>
    <w:rsid w:val="0069575D"/>
    <w:rsid w:val="00696008"/>
    <w:rsid w:val="0069686E"/>
    <w:rsid w:val="00697411"/>
    <w:rsid w:val="0069742E"/>
    <w:rsid w:val="0069756F"/>
    <w:rsid w:val="00697781"/>
    <w:rsid w:val="00697C51"/>
    <w:rsid w:val="006A05B6"/>
    <w:rsid w:val="006A0719"/>
    <w:rsid w:val="006A1088"/>
    <w:rsid w:val="006A1215"/>
    <w:rsid w:val="006A1B58"/>
    <w:rsid w:val="006A1DBC"/>
    <w:rsid w:val="006A2200"/>
    <w:rsid w:val="006A2497"/>
    <w:rsid w:val="006A2710"/>
    <w:rsid w:val="006A3861"/>
    <w:rsid w:val="006A3930"/>
    <w:rsid w:val="006A3B08"/>
    <w:rsid w:val="006A42D9"/>
    <w:rsid w:val="006A4AF0"/>
    <w:rsid w:val="006A52E4"/>
    <w:rsid w:val="006A53C8"/>
    <w:rsid w:val="006A5505"/>
    <w:rsid w:val="006A58F6"/>
    <w:rsid w:val="006A5ADC"/>
    <w:rsid w:val="006A5AF2"/>
    <w:rsid w:val="006A66B3"/>
    <w:rsid w:val="006A6A67"/>
    <w:rsid w:val="006B09DF"/>
    <w:rsid w:val="006B0A9A"/>
    <w:rsid w:val="006B10E4"/>
    <w:rsid w:val="006B1296"/>
    <w:rsid w:val="006B1317"/>
    <w:rsid w:val="006B15E5"/>
    <w:rsid w:val="006B174A"/>
    <w:rsid w:val="006B47D6"/>
    <w:rsid w:val="006B49AC"/>
    <w:rsid w:val="006B4ACC"/>
    <w:rsid w:val="006B4E4A"/>
    <w:rsid w:val="006B5643"/>
    <w:rsid w:val="006B57EB"/>
    <w:rsid w:val="006B5D2F"/>
    <w:rsid w:val="006B611E"/>
    <w:rsid w:val="006B649A"/>
    <w:rsid w:val="006B679B"/>
    <w:rsid w:val="006B7547"/>
    <w:rsid w:val="006B7562"/>
    <w:rsid w:val="006B7C10"/>
    <w:rsid w:val="006C1300"/>
    <w:rsid w:val="006C13FF"/>
    <w:rsid w:val="006C16A5"/>
    <w:rsid w:val="006C1860"/>
    <w:rsid w:val="006C197B"/>
    <w:rsid w:val="006C1C23"/>
    <w:rsid w:val="006C2404"/>
    <w:rsid w:val="006C2D48"/>
    <w:rsid w:val="006C341A"/>
    <w:rsid w:val="006C37A0"/>
    <w:rsid w:val="006C3EA1"/>
    <w:rsid w:val="006C4829"/>
    <w:rsid w:val="006C4B2E"/>
    <w:rsid w:val="006C4ED1"/>
    <w:rsid w:val="006C5921"/>
    <w:rsid w:val="006C5B2F"/>
    <w:rsid w:val="006C60D8"/>
    <w:rsid w:val="006C6237"/>
    <w:rsid w:val="006C6B34"/>
    <w:rsid w:val="006C6CE5"/>
    <w:rsid w:val="006C6FDF"/>
    <w:rsid w:val="006C70FD"/>
    <w:rsid w:val="006C75F5"/>
    <w:rsid w:val="006C7A1C"/>
    <w:rsid w:val="006C7C02"/>
    <w:rsid w:val="006D01E5"/>
    <w:rsid w:val="006D0B33"/>
    <w:rsid w:val="006D0C84"/>
    <w:rsid w:val="006D127B"/>
    <w:rsid w:val="006D156B"/>
    <w:rsid w:val="006D1E6E"/>
    <w:rsid w:val="006D229B"/>
    <w:rsid w:val="006D22A7"/>
    <w:rsid w:val="006D25DA"/>
    <w:rsid w:val="006D2602"/>
    <w:rsid w:val="006D2C1A"/>
    <w:rsid w:val="006D38A3"/>
    <w:rsid w:val="006D3B32"/>
    <w:rsid w:val="006D43CC"/>
    <w:rsid w:val="006D5370"/>
    <w:rsid w:val="006D56FF"/>
    <w:rsid w:val="006D5E31"/>
    <w:rsid w:val="006D618F"/>
    <w:rsid w:val="006D65FE"/>
    <w:rsid w:val="006D6A96"/>
    <w:rsid w:val="006D6B32"/>
    <w:rsid w:val="006D6C8F"/>
    <w:rsid w:val="006D6E37"/>
    <w:rsid w:val="006D792F"/>
    <w:rsid w:val="006E077F"/>
    <w:rsid w:val="006E1517"/>
    <w:rsid w:val="006E20E9"/>
    <w:rsid w:val="006E20F8"/>
    <w:rsid w:val="006E24ED"/>
    <w:rsid w:val="006E2800"/>
    <w:rsid w:val="006E290C"/>
    <w:rsid w:val="006E2E6A"/>
    <w:rsid w:val="006E2F92"/>
    <w:rsid w:val="006E3CC8"/>
    <w:rsid w:val="006E4771"/>
    <w:rsid w:val="006E4D1B"/>
    <w:rsid w:val="006E5744"/>
    <w:rsid w:val="006E588F"/>
    <w:rsid w:val="006E6028"/>
    <w:rsid w:val="006E606E"/>
    <w:rsid w:val="006E639E"/>
    <w:rsid w:val="006E6415"/>
    <w:rsid w:val="006E6B82"/>
    <w:rsid w:val="006E6CC4"/>
    <w:rsid w:val="006E7004"/>
    <w:rsid w:val="006E7541"/>
    <w:rsid w:val="006E7713"/>
    <w:rsid w:val="006E78AF"/>
    <w:rsid w:val="006E7BED"/>
    <w:rsid w:val="006E7CEE"/>
    <w:rsid w:val="006E7D82"/>
    <w:rsid w:val="006F0CAC"/>
    <w:rsid w:val="006F0DF4"/>
    <w:rsid w:val="006F15C4"/>
    <w:rsid w:val="006F2D37"/>
    <w:rsid w:val="006F2E99"/>
    <w:rsid w:val="006F314A"/>
    <w:rsid w:val="006F3439"/>
    <w:rsid w:val="006F412A"/>
    <w:rsid w:val="006F489D"/>
    <w:rsid w:val="006F5276"/>
    <w:rsid w:val="006F5BE3"/>
    <w:rsid w:val="006F6061"/>
    <w:rsid w:val="006F6306"/>
    <w:rsid w:val="006F71A2"/>
    <w:rsid w:val="006F74EC"/>
    <w:rsid w:val="006F782A"/>
    <w:rsid w:val="00700149"/>
    <w:rsid w:val="0070033C"/>
    <w:rsid w:val="00700A90"/>
    <w:rsid w:val="00700B61"/>
    <w:rsid w:val="00702362"/>
    <w:rsid w:val="007023B1"/>
    <w:rsid w:val="007026A2"/>
    <w:rsid w:val="007026A3"/>
    <w:rsid w:val="0070279B"/>
    <w:rsid w:val="00702EF2"/>
    <w:rsid w:val="00703815"/>
    <w:rsid w:val="0070508E"/>
    <w:rsid w:val="007056E5"/>
    <w:rsid w:val="007057DA"/>
    <w:rsid w:val="00705A9E"/>
    <w:rsid w:val="00706FC4"/>
    <w:rsid w:val="007071B0"/>
    <w:rsid w:val="00707867"/>
    <w:rsid w:val="007105CB"/>
    <w:rsid w:val="00710AD1"/>
    <w:rsid w:val="00710C4F"/>
    <w:rsid w:val="007114A1"/>
    <w:rsid w:val="00711BC6"/>
    <w:rsid w:val="00711BF7"/>
    <w:rsid w:val="00711C6C"/>
    <w:rsid w:val="007128F4"/>
    <w:rsid w:val="00712C72"/>
    <w:rsid w:val="00712D1D"/>
    <w:rsid w:val="00713680"/>
    <w:rsid w:val="00714607"/>
    <w:rsid w:val="00714A5A"/>
    <w:rsid w:val="00714B67"/>
    <w:rsid w:val="0071531A"/>
    <w:rsid w:val="00715FEC"/>
    <w:rsid w:val="00716B57"/>
    <w:rsid w:val="007172BB"/>
    <w:rsid w:val="007173F4"/>
    <w:rsid w:val="00717641"/>
    <w:rsid w:val="00717A82"/>
    <w:rsid w:val="00717AC7"/>
    <w:rsid w:val="00717B85"/>
    <w:rsid w:val="00717E62"/>
    <w:rsid w:val="0072080B"/>
    <w:rsid w:val="007213F4"/>
    <w:rsid w:val="0072159D"/>
    <w:rsid w:val="007218D6"/>
    <w:rsid w:val="00721B42"/>
    <w:rsid w:val="007220F0"/>
    <w:rsid w:val="0072213C"/>
    <w:rsid w:val="0072242A"/>
    <w:rsid w:val="007229A9"/>
    <w:rsid w:val="00722BFD"/>
    <w:rsid w:val="00722D5A"/>
    <w:rsid w:val="00723E52"/>
    <w:rsid w:val="007240FC"/>
    <w:rsid w:val="007241A9"/>
    <w:rsid w:val="0072438A"/>
    <w:rsid w:val="007245DC"/>
    <w:rsid w:val="007250CE"/>
    <w:rsid w:val="0072573D"/>
    <w:rsid w:val="007259BD"/>
    <w:rsid w:val="00725FCF"/>
    <w:rsid w:val="0072624E"/>
    <w:rsid w:val="007263E9"/>
    <w:rsid w:val="00726451"/>
    <w:rsid w:val="0072741B"/>
    <w:rsid w:val="007277C3"/>
    <w:rsid w:val="00727FEC"/>
    <w:rsid w:val="00730C38"/>
    <w:rsid w:val="00731017"/>
    <w:rsid w:val="00731065"/>
    <w:rsid w:val="0073147B"/>
    <w:rsid w:val="007316A0"/>
    <w:rsid w:val="007320AA"/>
    <w:rsid w:val="00732EB6"/>
    <w:rsid w:val="00733DEB"/>
    <w:rsid w:val="00734693"/>
    <w:rsid w:val="007349CD"/>
    <w:rsid w:val="00734FC3"/>
    <w:rsid w:val="00735251"/>
    <w:rsid w:val="00735D25"/>
    <w:rsid w:val="00736DD7"/>
    <w:rsid w:val="00737075"/>
    <w:rsid w:val="007373C5"/>
    <w:rsid w:val="00737475"/>
    <w:rsid w:val="0073787B"/>
    <w:rsid w:val="00737C8D"/>
    <w:rsid w:val="0074017D"/>
    <w:rsid w:val="0074063B"/>
    <w:rsid w:val="00740836"/>
    <w:rsid w:val="00741AAE"/>
    <w:rsid w:val="00741D72"/>
    <w:rsid w:val="007427C6"/>
    <w:rsid w:val="00742DA6"/>
    <w:rsid w:val="00742F5D"/>
    <w:rsid w:val="0074308B"/>
    <w:rsid w:val="00743484"/>
    <w:rsid w:val="007438FD"/>
    <w:rsid w:val="00743E32"/>
    <w:rsid w:val="007443E0"/>
    <w:rsid w:val="00744AA1"/>
    <w:rsid w:val="00744EF9"/>
    <w:rsid w:val="00744FA2"/>
    <w:rsid w:val="007450A7"/>
    <w:rsid w:val="007450D7"/>
    <w:rsid w:val="0074539C"/>
    <w:rsid w:val="00745DF2"/>
    <w:rsid w:val="00746255"/>
    <w:rsid w:val="00746624"/>
    <w:rsid w:val="007466A4"/>
    <w:rsid w:val="00746974"/>
    <w:rsid w:val="00746B00"/>
    <w:rsid w:val="00746D18"/>
    <w:rsid w:val="007472EF"/>
    <w:rsid w:val="007473AC"/>
    <w:rsid w:val="00750B79"/>
    <w:rsid w:val="00750CCA"/>
    <w:rsid w:val="007513C5"/>
    <w:rsid w:val="007513CE"/>
    <w:rsid w:val="00751449"/>
    <w:rsid w:val="007518D4"/>
    <w:rsid w:val="00751CB7"/>
    <w:rsid w:val="0075277A"/>
    <w:rsid w:val="0075298C"/>
    <w:rsid w:val="007533C0"/>
    <w:rsid w:val="00754985"/>
    <w:rsid w:val="00754D2A"/>
    <w:rsid w:val="00755142"/>
    <w:rsid w:val="00755344"/>
    <w:rsid w:val="007558F4"/>
    <w:rsid w:val="00755DDC"/>
    <w:rsid w:val="007560EB"/>
    <w:rsid w:val="00756118"/>
    <w:rsid w:val="007561D0"/>
    <w:rsid w:val="007563EF"/>
    <w:rsid w:val="0075642C"/>
    <w:rsid w:val="007564F3"/>
    <w:rsid w:val="00756575"/>
    <w:rsid w:val="0075668E"/>
    <w:rsid w:val="0075680B"/>
    <w:rsid w:val="00757A0F"/>
    <w:rsid w:val="00757BA5"/>
    <w:rsid w:val="00757C78"/>
    <w:rsid w:val="007608B1"/>
    <w:rsid w:val="00760F8A"/>
    <w:rsid w:val="00761526"/>
    <w:rsid w:val="0076168C"/>
    <w:rsid w:val="00761B09"/>
    <w:rsid w:val="00761B1A"/>
    <w:rsid w:val="00761C03"/>
    <w:rsid w:val="00762259"/>
    <w:rsid w:val="00762C64"/>
    <w:rsid w:val="00762E40"/>
    <w:rsid w:val="00763FE1"/>
    <w:rsid w:val="00764198"/>
    <w:rsid w:val="00764E30"/>
    <w:rsid w:val="00764E85"/>
    <w:rsid w:val="00765CE0"/>
    <w:rsid w:val="00766B5C"/>
    <w:rsid w:val="00766B87"/>
    <w:rsid w:val="0076710B"/>
    <w:rsid w:val="00767A81"/>
    <w:rsid w:val="00767C68"/>
    <w:rsid w:val="00770109"/>
    <w:rsid w:val="00770164"/>
    <w:rsid w:val="007706E6"/>
    <w:rsid w:val="00770BA6"/>
    <w:rsid w:val="00771500"/>
    <w:rsid w:val="0077198D"/>
    <w:rsid w:val="00771FF6"/>
    <w:rsid w:val="007721EE"/>
    <w:rsid w:val="007730F1"/>
    <w:rsid w:val="00773425"/>
    <w:rsid w:val="00773586"/>
    <w:rsid w:val="007745D0"/>
    <w:rsid w:val="007751DA"/>
    <w:rsid w:val="007751EE"/>
    <w:rsid w:val="007766AC"/>
    <w:rsid w:val="00776751"/>
    <w:rsid w:val="00776F69"/>
    <w:rsid w:val="007774BD"/>
    <w:rsid w:val="007802D9"/>
    <w:rsid w:val="00780482"/>
    <w:rsid w:val="007804F1"/>
    <w:rsid w:val="00780945"/>
    <w:rsid w:val="00780966"/>
    <w:rsid w:val="00780FE2"/>
    <w:rsid w:val="007818D6"/>
    <w:rsid w:val="00781CDC"/>
    <w:rsid w:val="00781EE1"/>
    <w:rsid w:val="00782685"/>
    <w:rsid w:val="007826FB"/>
    <w:rsid w:val="007828CE"/>
    <w:rsid w:val="00782DB7"/>
    <w:rsid w:val="00783F98"/>
    <w:rsid w:val="007844C1"/>
    <w:rsid w:val="0078494C"/>
    <w:rsid w:val="00784DC1"/>
    <w:rsid w:val="00784E55"/>
    <w:rsid w:val="0078537D"/>
    <w:rsid w:val="0078562B"/>
    <w:rsid w:val="0078590B"/>
    <w:rsid w:val="00786076"/>
    <w:rsid w:val="00786212"/>
    <w:rsid w:val="00786D6A"/>
    <w:rsid w:val="0078794B"/>
    <w:rsid w:val="00787BB5"/>
    <w:rsid w:val="007901BD"/>
    <w:rsid w:val="00791C40"/>
    <w:rsid w:val="007926EC"/>
    <w:rsid w:val="007927A9"/>
    <w:rsid w:val="0079280F"/>
    <w:rsid w:val="0079322D"/>
    <w:rsid w:val="007934DE"/>
    <w:rsid w:val="007938EA"/>
    <w:rsid w:val="0079549A"/>
    <w:rsid w:val="007959D5"/>
    <w:rsid w:val="00796F68"/>
    <w:rsid w:val="007970D4"/>
    <w:rsid w:val="00797E07"/>
    <w:rsid w:val="007A0525"/>
    <w:rsid w:val="007A063F"/>
    <w:rsid w:val="007A0BF2"/>
    <w:rsid w:val="007A0DD5"/>
    <w:rsid w:val="007A0F0A"/>
    <w:rsid w:val="007A13CD"/>
    <w:rsid w:val="007A1D10"/>
    <w:rsid w:val="007A26C6"/>
    <w:rsid w:val="007A2AF7"/>
    <w:rsid w:val="007A3D5C"/>
    <w:rsid w:val="007A41BA"/>
    <w:rsid w:val="007A4433"/>
    <w:rsid w:val="007A462C"/>
    <w:rsid w:val="007A4946"/>
    <w:rsid w:val="007A5115"/>
    <w:rsid w:val="007A5493"/>
    <w:rsid w:val="007A5539"/>
    <w:rsid w:val="007A573C"/>
    <w:rsid w:val="007A6DCE"/>
    <w:rsid w:val="007A772B"/>
    <w:rsid w:val="007A7DB5"/>
    <w:rsid w:val="007B011F"/>
    <w:rsid w:val="007B06F8"/>
    <w:rsid w:val="007B0CFC"/>
    <w:rsid w:val="007B30AF"/>
    <w:rsid w:val="007B3C85"/>
    <w:rsid w:val="007B464C"/>
    <w:rsid w:val="007B4811"/>
    <w:rsid w:val="007B4A0A"/>
    <w:rsid w:val="007B5251"/>
    <w:rsid w:val="007B63F5"/>
    <w:rsid w:val="007B7070"/>
    <w:rsid w:val="007B774A"/>
    <w:rsid w:val="007B7842"/>
    <w:rsid w:val="007C08F8"/>
    <w:rsid w:val="007C2DFB"/>
    <w:rsid w:val="007C31C8"/>
    <w:rsid w:val="007C3C2D"/>
    <w:rsid w:val="007C3C6B"/>
    <w:rsid w:val="007C3E57"/>
    <w:rsid w:val="007C508A"/>
    <w:rsid w:val="007C5692"/>
    <w:rsid w:val="007C5CA0"/>
    <w:rsid w:val="007C62FE"/>
    <w:rsid w:val="007C6320"/>
    <w:rsid w:val="007C6AAA"/>
    <w:rsid w:val="007C6AB3"/>
    <w:rsid w:val="007C6E0E"/>
    <w:rsid w:val="007C729D"/>
    <w:rsid w:val="007C770F"/>
    <w:rsid w:val="007C7810"/>
    <w:rsid w:val="007D00EC"/>
    <w:rsid w:val="007D0715"/>
    <w:rsid w:val="007D0B29"/>
    <w:rsid w:val="007D14C6"/>
    <w:rsid w:val="007D1D75"/>
    <w:rsid w:val="007D2B29"/>
    <w:rsid w:val="007D2C2D"/>
    <w:rsid w:val="007D2C6E"/>
    <w:rsid w:val="007D3182"/>
    <w:rsid w:val="007D3BB5"/>
    <w:rsid w:val="007D3CA1"/>
    <w:rsid w:val="007D3E34"/>
    <w:rsid w:val="007D4FD1"/>
    <w:rsid w:val="007D59FB"/>
    <w:rsid w:val="007D5D2F"/>
    <w:rsid w:val="007D60A9"/>
    <w:rsid w:val="007D686B"/>
    <w:rsid w:val="007D6C5A"/>
    <w:rsid w:val="007D72D3"/>
    <w:rsid w:val="007D759C"/>
    <w:rsid w:val="007D78FA"/>
    <w:rsid w:val="007E06DC"/>
    <w:rsid w:val="007E0BA8"/>
    <w:rsid w:val="007E0C17"/>
    <w:rsid w:val="007E15C4"/>
    <w:rsid w:val="007E1687"/>
    <w:rsid w:val="007E20F7"/>
    <w:rsid w:val="007E2A17"/>
    <w:rsid w:val="007E3973"/>
    <w:rsid w:val="007E3A08"/>
    <w:rsid w:val="007E4A83"/>
    <w:rsid w:val="007E5133"/>
    <w:rsid w:val="007E54AE"/>
    <w:rsid w:val="007E56CF"/>
    <w:rsid w:val="007E59B6"/>
    <w:rsid w:val="007E6255"/>
    <w:rsid w:val="007E65C8"/>
    <w:rsid w:val="007E6E1D"/>
    <w:rsid w:val="007E712D"/>
    <w:rsid w:val="007E7854"/>
    <w:rsid w:val="007E7F45"/>
    <w:rsid w:val="007F0519"/>
    <w:rsid w:val="007F0660"/>
    <w:rsid w:val="007F08DD"/>
    <w:rsid w:val="007F097C"/>
    <w:rsid w:val="007F13BC"/>
    <w:rsid w:val="007F1BBB"/>
    <w:rsid w:val="007F2523"/>
    <w:rsid w:val="007F2692"/>
    <w:rsid w:val="007F294D"/>
    <w:rsid w:val="007F2E86"/>
    <w:rsid w:val="007F355E"/>
    <w:rsid w:val="007F3574"/>
    <w:rsid w:val="007F3B76"/>
    <w:rsid w:val="007F4271"/>
    <w:rsid w:val="007F4A8D"/>
    <w:rsid w:val="007F4C44"/>
    <w:rsid w:val="007F5120"/>
    <w:rsid w:val="007F5258"/>
    <w:rsid w:val="007F52FE"/>
    <w:rsid w:val="007F5355"/>
    <w:rsid w:val="007F5423"/>
    <w:rsid w:val="007F5806"/>
    <w:rsid w:val="007F5ACB"/>
    <w:rsid w:val="007F6742"/>
    <w:rsid w:val="007F6B9E"/>
    <w:rsid w:val="007F7063"/>
    <w:rsid w:val="007F7437"/>
    <w:rsid w:val="007F76A7"/>
    <w:rsid w:val="008009DA"/>
    <w:rsid w:val="00800C0F"/>
    <w:rsid w:val="008010C1"/>
    <w:rsid w:val="00801115"/>
    <w:rsid w:val="0080132E"/>
    <w:rsid w:val="00801376"/>
    <w:rsid w:val="00801CD2"/>
    <w:rsid w:val="00802558"/>
    <w:rsid w:val="0080294D"/>
    <w:rsid w:val="00802ADF"/>
    <w:rsid w:val="0080376A"/>
    <w:rsid w:val="00803BE2"/>
    <w:rsid w:val="00803D58"/>
    <w:rsid w:val="00803E7B"/>
    <w:rsid w:val="00804353"/>
    <w:rsid w:val="00804898"/>
    <w:rsid w:val="00805211"/>
    <w:rsid w:val="00806407"/>
    <w:rsid w:val="00807288"/>
    <w:rsid w:val="008072C7"/>
    <w:rsid w:val="00807439"/>
    <w:rsid w:val="008076F1"/>
    <w:rsid w:val="00807A98"/>
    <w:rsid w:val="00807DA6"/>
    <w:rsid w:val="00807E64"/>
    <w:rsid w:val="0081045A"/>
    <w:rsid w:val="00810FE0"/>
    <w:rsid w:val="008112C7"/>
    <w:rsid w:val="008113B0"/>
    <w:rsid w:val="00811892"/>
    <w:rsid w:val="008119C6"/>
    <w:rsid w:val="00811DBC"/>
    <w:rsid w:val="0081204C"/>
    <w:rsid w:val="0081211E"/>
    <w:rsid w:val="008122BD"/>
    <w:rsid w:val="0081258E"/>
    <w:rsid w:val="008128BF"/>
    <w:rsid w:val="00812B1B"/>
    <w:rsid w:val="00813172"/>
    <w:rsid w:val="0081360B"/>
    <w:rsid w:val="008138BD"/>
    <w:rsid w:val="008140D8"/>
    <w:rsid w:val="00814100"/>
    <w:rsid w:val="008144B0"/>
    <w:rsid w:val="0081535E"/>
    <w:rsid w:val="008159B4"/>
    <w:rsid w:val="00815D05"/>
    <w:rsid w:val="008164C7"/>
    <w:rsid w:val="008165A6"/>
    <w:rsid w:val="00816BDB"/>
    <w:rsid w:val="008171B9"/>
    <w:rsid w:val="00817860"/>
    <w:rsid w:val="0081795D"/>
    <w:rsid w:val="00817C25"/>
    <w:rsid w:val="00817F3D"/>
    <w:rsid w:val="00817F80"/>
    <w:rsid w:val="00817FD2"/>
    <w:rsid w:val="0082079B"/>
    <w:rsid w:val="00820DC0"/>
    <w:rsid w:val="00820E16"/>
    <w:rsid w:val="008217F3"/>
    <w:rsid w:val="00821843"/>
    <w:rsid w:val="0082201E"/>
    <w:rsid w:val="0082214B"/>
    <w:rsid w:val="008223EE"/>
    <w:rsid w:val="008227A6"/>
    <w:rsid w:val="00822AB5"/>
    <w:rsid w:val="0082300E"/>
    <w:rsid w:val="00823D5E"/>
    <w:rsid w:val="00823E1D"/>
    <w:rsid w:val="00824383"/>
    <w:rsid w:val="008249FA"/>
    <w:rsid w:val="00824CFB"/>
    <w:rsid w:val="00825044"/>
    <w:rsid w:val="0082555D"/>
    <w:rsid w:val="00826B08"/>
    <w:rsid w:val="00826C2A"/>
    <w:rsid w:val="00827009"/>
    <w:rsid w:val="0082731E"/>
    <w:rsid w:val="008275E5"/>
    <w:rsid w:val="008300A0"/>
    <w:rsid w:val="0083060F"/>
    <w:rsid w:val="00830770"/>
    <w:rsid w:val="00830EE4"/>
    <w:rsid w:val="00830F28"/>
    <w:rsid w:val="008312F4"/>
    <w:rsid w:val="00831D2F"/>
    <w:rsid w:val="00832EDD"/>
    <w:rsid w:val="00832FCE"/>
    <w:rsid w:val="00833AB8"/>
    <w:rsid w:val="00833C8B"/>
    <w:rsid w:val="00833E60"/>
    <w:rsid w:val="00834129"/>
    <w:rsid w:val="00834A56"/>
    <w:rsid w:val="00835748"/>
    <w:rsid w:val="00835F87"/>
    <w:rsid w:val="00836471"/>
    <w:rsid w:val="008365A7"/>
    <w:rsid w:val="00836660"/>
    <w:rsid w:val="00836F3E"/>
    <w:rsid w:val="0083708A"/>
    <w:rsid w:val="00837139"/>
    <w:rsid w:val="00837275"/>
    <w:rsid w:val="008377A4"/>
    <w:rsid w:val="008407C9"/>
    <w:rsid w:val="00840A41"/>
    <w:rsid w:val="00840C40"/>
    <w:rsid w:val="00840FB4"/>
    <w:rsid w:val="008415B0"/>
    <w:rsid w:val="008416A6"/>
    <w:rsid w:val="0084170F"/>
    <w:rsid w:val="008424C7"/>
    <w:rsid w:val="0084256C"/>
    <w:rsid w:val="008426B2"/>
    <w:rsid w:val="008431F4"/>
    <w:rsid w:val="00843232"/>
    <w:rsid w:val="00843B13"/>
    <w:rsid w:val="0084424A"/>
    <w:rsid w:val="0084437E"/>
    <w:rsid w:val="0084477D"/>
    <w:rsid w:val="00844B33"/>
    <w:rsid w:val="00844C2B"/>
    <w:rsid w:val="00844EF2"/>
    <w:rsid w:val="008456B2"/>
    <w:rsid w:val="008458D2"/>
    <w:rsid w:val="00845CCE"/>
    <w:rsid w:val="00845E13"/>
    <w:rsid w:val="00845FBA"/>
    <w:rsid w:val="00846455"/>
    <w:rsid w:val="008464F1"/>
    <w:rsid w:val="0084668B"/>
    <w:rsid w:val="0084697A"/>
    <w:rsid w:val="00846F88"/>
    <w:rsid w:val="008478B2"/>
    <w:rsid w:val="00850536"/>
    <w:rsid w:val="00850555"/>
    <w:rsid w:val="008507C6"/>
    <w:rsid w:val="00850B7F"/>
    <w:rsid w:val="0085132C"/>
    <w:rsid w:val="00851741"/>
    <w:rsid w:val="00851DE2"/>
    <w:rsid w:val="00852000"/>
    <w:rsid w:val="00852AFE"/>
    <w:rsid w:val="00852F38"/>
    <w:rsid w:val="00853307"/>
    <w:rsid w:val="00853E77"/>
    <w:rsid w:val="008540E9"/>
    <w:rsid w:val="008547A4"/>
    <w:rsid w:val="00855160"/>
    <w:rsid w:val="0085525F"/>
    <w:rsid w:val="008552ED"/>
    <w:rsid w:val="00855905"/>
    <w:rsid w:val="00855966"/>
    <w:rsid w:val="008559EA"/>
    <w:rsid w:val="00855A08"/>
    <w:rsid w:val="00855BCB"/>
    <w:rsid w:val="00856096"/>
    <w:rsid w:val="00856D76"/>
    <w:rsid w:val="00856DFE"/>
    <w:rsid w:val="0085737F"/>
    <w:rsid w:val="00857C8F"/>
    <w:rsid w:val="00857CF7"/>
    <w:rsid w:val="00860880"/>
    <w:rsid w:val="00860892"/>
    <w:rsid w:val="008610C4"/>
    <w:rsid w:val="00861C0F"/>
    <w:rsid w:val="008620FA"/>
    <w:rsid w:val="008623F1"/>
    <w:rsid w:val="008629AF"/>
    <w:rsid w:val="008630A5"/>
    <w:rsid w:val="00863E48"/>
    <w:rsid w:val="00863E5B"/>
    <w:rsid w:val="00864217"/>
    <w:rsid w:val="00865588"/>
    <w:rsid w:val="008655ED"/>
    <w:rsid w:val="00865653"/>
    <w:rsid w:val="00865979"/>
    <w:rsid w:val="00865CCF"/>
    <w:rsid w:val="00865EDF"/>
    <w:rsid w:val="00866099"/>
    <w:rsid w:val="00866292"/>
    <w:rsid w:val="0086683D"/>
    <w:rsid w:val="00866E63"/>
    <w:rsid w:val="0087032F"/>
    <w:rsid w:val="008703DA"/>
    <w:rsid w:val="00870457"/>
    <w:rsid w:val="0087083F"/>
    <w:rsid w:val="0087196A"/>
    <w:rsid w:val="00872456"/>
    <w:rsid w:val="00873026"/>
    <w:rsid w:val="00873810"/>
    <w:rsid w:val="0087397F"/>
    <w:rsid w:val="00873B55"/>
    <w:rsid w:val="00873BB4"/>
    <w:rsid w:val="00873DEE"/>
    <w:rsid w:val="0087422A"/>
    <w:rsid w:val="00874BDD"/>
    <w:rsid w:val="00874E07"/>
    <w:rsid w:val="00875483"/>
    <w:rsid w:val="00876332"/>
    <w:rsid w:val="00877047"/>
    <w:rsid w:val="0087718F"/>
    <w:rsid w:val="008772DE"/>
    <w:rsid w:val="00877B2F"/>
    <w:rsid w:val="00877FAC"/>
    <w:rsid w:val="00880431"/>
    <w:rsid w:val="008805FB"/>
    <w:rsid w:val="008809FC"/>
    <w:rsid w:val="0088100A"/>
    <w:rsid w:val="00881400"/>
    <w:rsid w:val="00881AC6"/>
    <w:rsid w:val="00882212"/>
    <w:rsid w:val="0088225E"/>
    <w:rsid w:val="00882AD5"/>
    <w:rsid w:val="00883068"/>
    <w:rsid w:val="00883086"/>
    <w:rsid w:val="008835E3"/>
    <w:rsid w:val="008836E5"/>
    <w:rsid w:val="00883E7F"/>
    <w:rsid w:val="00884621"/>
    <w:rsid w:val="00884761"/>
    <w:rsid w:val="008848B2"/>
    <w:rsid w:val="00884915"/>
    <w:rsid w:val="008850B5"/>
    <w:rsid w:val="008858B9"/>
    <w:rsid w:val="0088597A"/>
    <w:rsid w:val="00886A34"/>
    <w:rsid w:val="00886C74"/>
    <w:rsid w:val="00887916"/>
    <w:rsid w:val="00890014"/>
    <w:rsid w:val="0089044B"/>
    <w:rsid w:val="0089051C"/>
    <w:rsid w:val="008911E9"/>
    <w:rsid w:val="0089129D"/>
    <w:rsid w:val="00891BE5"/>
    <w:rsid w:val="00891E21"/>
    <w:rsid w:val="00891F65"/>
    <w:rsid w:val="00891FCF"/>
    <w:rsid w:val="0089209B"/>
    <w:rsid w:val="00892860"/>
    <w:rsid w:val="00892D15"/>
    <w:rsid w:val="008931B7"/>
    <w:rsid w:val="00893428"/>
    <w:rsid w:val="008934F4"/>
    <w:rsid w:val="008936BF"/>
    <w:rsid w:val="00893BA7"/>
    <w:rsid w:val="00893E17"/>
    <w:rsid w:val="00893F72"/>
    <w:rsid w:val="008941A0"/>
    <w:rsid w:val="0089445A"/>
    <w:rsid w:val="00894A25"/>
    <w:rsid w:val="008959B3"/>
    <w:rsid w:val="00895E37"/>
    <w:rsid w:val="0089607D"/>
    <w:rsid w:val="00896272"/>
    <w:rsid w:val="00896BB1"/>
    <w:rsid w:val="00896E66"/>
    <w:rsid w:val="00896FC2"/>
    <w:rsid w:val="008A015D"/>
    <w:rsid w:val="008A1065"/>
    <w:rsid w:val="008A177A"/>
    <w:rsid w:val="008A22FF"/>
    <w:rsid w:val="008A2671"/>
    <w:rsid w:val="008A29D3"/>
    <w:rsid w:val="008A2D25"/>
    <w:rsid w:val="008A3679"/>
    <w:rsid w:val="008A3F71"/>
    <w:rsid w:val="008A3FBA"/>
    <w:rsid w:val="008A46BA"/>
    <w:rsid w:val="008A6ECA"/>
    <w:rsid w:val="008A7E76"/>
    <w:rsid w:val="008B0059"/>
    <w:rsid w:val="008B027A"/>
    <w:rsid w:val="008B061F"/>
    <w:rsid w:val="008B12AB"/>
    <w:rsid w:val="008B177D"/>
    <w:rsid w:val="008B1C03"/>
    <w:rsid w:val="008B2325"/>
    <w:rsid w:val="008B2992"/>
    <w:rsid w:val="008B2B3D"/>
    <w:rsid w:val="008B3004"/>
    <w:rsid w:val="008B38C9"/>
    <w:rsid w:val="008B3AF5"/>
    <w:rsid w:val="008B4082"/>
    <w:rsid w:val="008B4984"/>
    <w:rsid w:val="008B4BFC"/>
    <w:rsid w:val="008B541B"/>
    <w:rsid w:val="008B65A2"/>
    <w:rsid w:val="008B6684"/>
    <w:rsid w:val="008B678F"/>
    <w:rsid w:val="008B6B2A"/>
    <w:rsid w:val="008B7015"/>
    <w:rsid w:val="008B75F1"/>
    <w:rsid w:val="008B7ADD"/>
    <w:rsid w:val="008C05E9"/>
    <w:rsid w:val="008C0BC5"/>
    <w:rsid w:val="008C0C32"/>
    <w:rsid w:val="008C0DE0"/>
    <w:rsid w:val="008C132F"/>
    <w:rsid w:val="008C1BCB"/>
    <w:rsid w:val="008C2151"/>
    <w:rsid w:val="008C217F"/>
    <w:rsid w:val="008C2675"/>
    <w:rsid w:val="008C299D"/>
    <w:rsid w:val="008C2D6A"/>
    <w:rsid w:val="008C2E44"/>
    <w:rsid w:val="008C3013"/>
    <w:rsid w:val="008C34AD"/>
    <w:rsid w:val="008C34F5"/>
    <w:rsid w:val="008C35C0"/>
    <w:rsid w:val="008C3E2C"/>
    <w:rsid w:val="008C4199"/>
    <w:rsid w:val="008C4945"/>
    <w:rsid w:val="008C4BFF"/>
    <w:rsid w:val="008C4D3F"/>
    <w:rsid w:val="008C5808"/>
    <w:rsid w:val="008C646F"/>
    <w:rsid w:val="008C67E3"/>
    <w:rsid w:val="008C6CCF"/>
    <w:rsid w:val="008C6E87"/>
    <w:rsid w:val="008D00E9"/>
    <w:rsid w:val="008D01AA"/>
    <w:rsid w:val="008D041A"/>
    <w:rsid w:val="008D0A81"/>
    <w:rsid w:val="008D0C51"/>
    <w:rsid w:val="008D0D75"/>
    <w:rsid w:val="008D1499"/>
    <w:rsid w:val="008D1F8D"/>
    <w:rsid w:val="008D2701"/>
    <w:rsid w:val="008D2E52"/>
    <w:rsid w:val="008D3B9F"/>
    <w:rsid w:val="008D434D"/>
    <w:rsid w:val="008D4459"/>
    <w:rsid w:val="008D4B46"/>
    <w:rsid w:val="008D4D74"/>
    <w:rsid w:val="008D502A"/>
    <w:rsid w:val="008D589F"/>
    <w:rsid w:val="008D6649"/>
    <w:rsid w:val="008D7275"/>
    <w:rsid w:val="008D73F2"/>
    <w:rsid w:val="008D7503"/>
    <w:rsid w:val="008D751C"/>
    <w:rsid w:val="008D7A3A"/>
    <w:rsid w:val="008D7ABE"/>
    <w:rsid w:val="008D7D16"/>
    <w:rsid w:val="008E09D4"/>
    <w:rsid w:val="008E0BF5"/>
    <w:rsid w:val="008E1459"/>
    <w:rsid w:val="008E17A3"/>
    <w:rsid w:val="008E1A5F"/>
    <w:rsid w:val="008E2E53"/>
    <w:rsid w:val="008E3BD9"/>
    <w:rsid w:val="008E3ED0"/>
    <w:rsid w:val="008E4995"/>
    <w:rsid w:val="008E6674"/>
    <w:rsid w:val="008E6B31"/>
    <w:rsid w:val="008E6C57"/>
    <w:rsid w:val="008E6D77"/>
    <w:rsid w:val="008E6FE2"/>
    <w:rsid w:val="008E74CB"/>
    <w:rsid w:val="008E7811"/>
    <w:rsid w:val="008E78FD"/>
    <w:rsid w:val="008E7F86"/>
    <w:rsid w:val="008F0489"/>
    <w:rsid w:val="008F1318"/>
    <w:rsid w:val="008F2959"/>
    <w:rsid w:val="008F3536"/>
    <w:rsid w:val="008F361F"/>
    <w:rsid w:val="008F3D53"/>
    <w:rsid w:val="008F3D5C"/>
    <w:rsid w:val="008F405E"/>
    <w:rsid w:val="008F4F94"/>
    <w:rsid w:val="008F56EE"/>
    <w:rsid w:val="008F5880"/>
    <w:rsid w:val="008F5A29"/>
    <w:rsid w:val="008F60D8"/>
    <w:rsid w:val="008F68DF"/>
    <w:rsid w:val="008F69E7"/>
    <w:rsid w:val="008F7127"/>
    <w:rsid w:val="008F7452"/>
    <w:rsid w:val="008F7468"/>
    <w:rsid w:val="008F76EA"/>
    <w:rsid w:val="008F793C"/>
    <w:rsid w:val="008F795B"/>
    <w:rsid w:val="009012E0"/>
    <w:rsid w:val="00901563"/>
    <w:rsid w:val="00901C12"/>
    <w:rsid w:val="0090234B"/>
    <w:rsid w:val="009030E7"/>
    <w:rsid w:val="00904426"/>
    <w:rsid w:val="0090445C"/>
    <w:rsid w:val="009047B5"/>
    <w:rsid w:val="009048F5"/>
    <w:rsid w:val="00904A2B"/>
    <w:rsid w:val="00904E5D"/>
    <w:rsid w:val="00905062"/>
    <w:rsid w:val="0090601B"/>
    <w:rsid w:val="0090603B"/>
    <w:rsid w:val="00906661"/>
    <w:rsid w:val="009066AD"/>
    <w:rsid w:val="009075B3"/>
    <w:rsid w:val="009102FE"/>
    <w:rsid w:val="009103C2"/>
    <w:rsid w:val="00910C91"/>
    <w:rsid w:val="009115C0"/>
    <w:rsid w:val="0091197C"/>
    <w:rsid w:val="00911B1F"/>
    <w:rsid w:val="00912039"/>
    <w:rsid w:val="00912166"/>
    <w:rsid w:val="00912DD4"/>
    <w:rsid w:val="0091326F"/>
    <w:rsid w:val="009133D6"/>
    <w:rsid w:val="00913483"/>
    <w:rsid w:val="0091388A"/>
    <w:rsid w:val="009144B4"/>
    <w:rsid w:val="00914654"/>
    <w:rsid w:val="009147B0"/>
    <w:rsid w:val="00914B05"/>
    <w:rsid w:val="009150BC"/>
    <w:rsid w:val="009159B1"/>
    <w:rsid w:val="00916077"/>
    <w:rsid w:val="0091608F"/>
    <w:rsid w:val="00916167"/>
    <w:rsid w:val="009163CC"/>
    <w:rsid w:val="00916DA8"/>
    <w:rsid w:val="00917293"/>
    <w:rsid w:val="009173F6"/>
    <w:rsid w:val="009177DC"/>
    <w:rsid w:val="00920139"/>
    <w:rsid w:val="009203D8"/>
    <w:rsid w:val="00920714"/>
    <w:rsid w:val="00920995"/>
    <w:rsid w:val="00920A41"/>
    <w:rsid w:val="00920D59"/>
    <w:rsid w:val="009210F4"/>
    <w:rsid w:val="009213F2"/>
    <w:rsid w:val="009215CE"/>
    <w:rsid w:val="00922141"/>
    <w:rsid w:val="009225A7"/>
    <w:rsid w:val="009232B4"/>
    <w:rsid w:val="009242FF"/>
    <w:rsid w:val="00924708"/>
    <w:rsid w:val="00924743"/>
    <w:rsid w:val="00924856"/>
    <w:rsid w:val="009252EB"/>
    <w:rsid w:val="0092607B"/>
    <w:rsid w:val="00927167"/>
    <w:rsid w:val="00927435"/>
    <w:rsid w:val="009277C1"/>
    <w:rsid w:val="00927F2F"/>
    <w:rsid w:val="00930706"/>
    <w:rsid w:val="00930774"/>
    <w:rsid w:val="00930B57"/>
    <w:rsid w:val="00930EB6"/>
    <w:rsid w:val="00931A46"/>
    <w:rsid w:val="00931C03"/>
    <w:rsid w:val="00932103"/>
    <w:rsid w:val="0093217A"/>
    <w:rsid w:val="00932584"/>
    <w:rsid w:val="009326E5"/>
    <w:rsid w:val="009328D4"/>
    <w:rsid w:val="00933A9B"/>
    <w:rsid w:val="00933BEB"/>
    <w:rsid w:val="00933FBE"/>
    <w:rsid w:val="00934055"/>
    <w:rsid w:val="009340F2"/>
    <w:rsid w:val="00934542"/>
    <w:rsid w:val="0093476E"/>
    <w:rsid w:val="00934DDA"/>
    <w:rsid w:val="009371CF"/>
    <w:rsid w:val="009371ED"/>
    <w:rsid w:val="00937901"/>
    <w:rsid w:val="00937967"/>
    <w:rsid w:val="00937A60"/>
    <w:rsid w:val="0094002D"/>
    <w:rsid w:val="00940C5C"/>
    <w:rsid w:val="00941F5F"/>
    <w:rsid w:val="00941FC9"/>
    <w:rsid w:val="00942821"/>
    <w:rsid w:val="00942D98"/>
    <w:rsid w:val="00942DDE"/>
    <w:rsid w:val="009430D3"/>
    <w:rsid w:val="0094356C"/>
    <w:rsid w:val="0094364D"/>
    <w:rsid w:val="0094430D"/>
    <w:rsid w:val="00944A11"/>
    <w:rsid w:val="00944F52"/>
    <w:rsid w:val="00945CFE"/>
    <w:rsid w:val="009462FA"/>
    <w:rsid w:val="0094669B"/>
    <w:rsid w:val="0094720C"/>
    <w:rsid w:val="00947E83"/>
    <w:rsid w:val="00947EC4"/>
    <w:rsid w:val="009503F4"/>
    <w:rsid w:val="00950F6E"/>
    <w:rsid w:val="009514AF"/>
    <w:rsid w:val="009518B0"/>
    <w:rsid w:val="00951D83"/>
    <w:rsid w:val="00952DC3"/>
    <w:rsid w:val="0095405C"/>
    <w:rsid w:val="00955C4E"/>
    <w:rsid w:val="00955DD1"/>
    <w:rsid w:val="00955EF8"/>
    <w:rsid w:val="00956108"/>
    <w:rsid w:val="00956EE3"/>
    <w:rsid w:val="00956FC2"/>
    <w:rsid w:val="00957303"/>
    <w:rsid w:val="00957A74"/>
    <w:rsid w:val="00957F1D"/>
    <w:rsid w:val="00960B44"/>
    <w:rsid w:val="0096127E"/>
    <w:rsid w:val="00961499"/>
    <w:rsid w:val="009617CF"/>
    <w:rsid w:val="00961E96"/>
    <w:rsid w:val="00961FD1"/>
    <w:rsid w:val="00961FE0"/>
    <w:rsid w:val="0096229C"/>
    <w:rsid w:val="009626F6"/>
    <w:rsid w:val="00963727"/>
    <w:rsid w:val="0096390A"/>
    <w:rsid w:val="00963D08"/>
    <w:rsid w:val="00963DEB"/>
    <w:rsid w:val="00963EEF"/>
    <w:rsid w:val="009640E1"/>
    <w:rsid w:val="00964BAB"/>
    <w:rsid w:val="00964E55"/>
    <w:rsid w:val="00964F65"/>
    <w:rsid w:val="00965012"/>
    <w:rsid w:val="00965500"/>
    <w:rsid w:val="00965898"/>
    <w:rsid w:val="009664BB"/>
    <w:rsid w:val="00966D08"/>
    <w:rsid w:val="00967AD0"/>
    <w:rsid w:val="00970DF8"/>
    <w:rsid w:val="00971064"/>
    <w:rsid w:val="00971CE1"/>
    <w:rsid w:val="00971F1D"/>
    <w:rsid w:val="009731D2"/>
    <w:rsid w:val="009736AD"/>
    <w:rsid w:val="009736FA"/>
    <w:rsid w:val="00973707"/>
    <w:rsid w:val="0097407F"/>
    <w:rsid w:val="00974359"/>
    <w:rsid w:val="00975A57"/>
    <w:rsid w:val="00975AA6"/>
    <w:rsid w:val="00975BB6"/>
    <w:rsid w:val="00975EF1"/>
    <w:rsid w:val="00976229"/>
    <w:rsid w:val="00976830"/>
    <w:rsid w:val="00976AF5"/>
    <w:rsid w:val="00976C33"/>
    <w:rsid w:val="009774B9"/>
    <w:rsid w:val="00977D24"/>
    <w:rsid w:val="009804A9"/>
    <w:rsid w:val="00980736"/>
    <w:rsid w:val="00980FDD"/>
    <w:rsid w:val="0098123C"/>
    <w:rsid w:val="00981884"/>
    <w:rsid w:val="00981CB2"/>
    <w:rsid w:val="00981D51"/>
    <w:rsid w:val="009821B5"/>
    <w:rsid w:val="0098221A"/>
    <w:rsid w:val="00983258"/>
    <w:rsid w:val="00983447"/>
    <w:rsid w:val="00983F5F"/>
    <w:rsid w:val="00984186"/>
    <w:rsid w:val="0098452D"/>
    <w:rsid w:val="00984B1A"/>
    <w:rsid w:val="0098534C"/>
    <w:rsid w:val="0098574F"/>
    <w:rsid w:val="00985BC0"/>
    <w:rsid w:val="00985D75"/>
    <w:rsid w:val="0098641D"/>
    <w:rsid w:val="0098681A"/>
    <w:rsid w:val="00986CA6"/>
    <w:rsid w:val="00987301"/>
    <w:rsid w:val="009873DE"/>
    <w:rsid w:val="00987F5A"/>
    <w:rsid w:val="0099012C"/>
    <w:rsid w:val="009905E3"/>
    <w:rsid w:val="00990B1D"/>
    <w:rsid w:val="009916A6"/>
    <w:rsid w:val="00991FB9"/>
    <w:rsid w:val="009926B4"/>
    <w:rsid w:val="0099274F"/>
    <w:rsid w:val="00992944"/>
    <w:rsid w:val="00992A84"/>
    <w:rsid w:val="00992E18"/>
    <w:rsid w:val="009930C5"/>
    <w:rsid w:val="009938D8"/>
    <w:rsid w:val="00993B43"/>
    <w:rsid w:val="009941AA"/>
    <w:rsid w:val="0099434E"/>
    <w:rsid w:val="00994724"/>
    <w:rsid w:val="00994854"/>
    <w:rsid w:val="00994F0D"/>
    <w:rsid w:val="009951F1"/>
    <w:rsid w:val="00995BF8"/>
    <w:rsid w:val="00996B80"/>
    <w:rsid w:val="00996D5D"/>
    <w:rsid w:val="00997928"/>
    <w:rsid w:val="009A0245"/>
    <w:rsid w:val="009A1507"/>
    <w:rsid w:val="009A18B2"/>
    <w:rsid w:val="009A1976"/>
    <w:rsid w:val="009A221A"/>
    <w:rsid w:val="009A266C"/>
    <w:rsid w:val="009A2970"/>
    <w:rsid w:val="009A2A32"/>
    <w:rsid w:val="009A3360"/>
    <w:rsid w:val="009A35F4"/>
    <w:rsid w:val="009A380C"/>
    <w:rsid w:val="009A399E"/>
    <w:rsid w:val="009A5237"/>
    <w:rsid w:val="009A52C8"/>
    <w:rsid w:val="009A5303"/>
    <w:rsid w:val="009A535E"/>
    <w:rsid w:val="009A5976"/>
    <w:rsid w:val="009A5E5C"/>
    <w:rsid w:val="009A61F6"/>
    <w:rsid w:val="009A6B12"/>
    <w:rsid w:val="009A6E83"/>
    <w:rsid w:val="009A761A"/>
    <w:rsid w:val="009A7832"/>
    <w:rsid w:val="009A7EF4"/>
    <w:rsid w:val="009B01B3"/>
    <w:rsid w:val="009B0F4A"/>
    <w:rsid w:val="009B10DE"/>
    <w:rsid w:val="009B1196"/>
    <w:rsid w:val="009B1BAB"/>
    <w:rsid w:val="009B33FB"/>
    <w:rsid w:val="009B42B3"/>
    <w:rsid w:val="009B43FB"/>
    <w:rsid w:val="009B4A6D"/>
    <w:rsid w:val="009B4B98"/>
    <w:rsid w:val="009B4E71"/>
    <w:rsid w:val="009B4E74"/>
    <w:rsid w:val="009B502E"/>
    <w:rsid w:val="009B50F8"/>
    <w:rsid w:val="009B5C2B"/>
    <w:rsid w:val="009B5F52"/>
    <w:rsid w:val="009B6036"/>
    <w:rsid w:val="009B6500"/>
    <w:rsid w:val="009B6B20"/>
    <w:rsid w:val="009B6DC4"/>
    <w:rsid w:val="009B738F"/>
    <w:rsid w:val="009B7E6E"/>
    <w:rsid w:val="009C00FE"/>
    <w:rsid w:val="009C088E"/>
    <w:rsid w:val="009C0BBA"/>
    <w:rsid w:val="009C1AD6"/>
    <w:rsid w:val="009C1B43"/>
    <w:rsid w:val="009C1BA0"/>
    <w:rsid w:val="009C2470"/>
    <w:rsid w:val="009C2915"/>
    <w:rsid w:val="009C3173"/>
    <w:rsid w:val="009C3429"/>
    <w:rsid w:val="009C3445"/>
    <w:rsid w:val="009C39C3"/>
    <w:rsid w:val="009C3B36"/>
    <w:rsid w:val="009C41EB"/>
    <w:rsid w:val="009C4563"/>
    <w:rsid w:val="009C45AF"/>
    <w:rsid w:val="009C5235"/>
    <w:rsid w:val="009C5D22"/>
    <w:rsid w:val="009C5E86"/>
    <w:rsid w:val="009C62FB"/>
    <w:rsid w:val="009C6545"/>
    <w:rsid w:val="009C6D52"/>
    <w:rsid w:val="009C77A9"/>
    <w:rsid w:val="009C78B1"/>
    <w:rsid w:val="009C7EB5"/>
    <w:rsid w:val="009D0528"/>
    <w:rsid w:val="009D0A6C"/>
    <w:rsid w:val="009D0F5B"/>
    <w:rsid w:val="009D102C"/>
    <w:rsid w:val="009D107F"/>
    <w:rsid w:val="009D1574"/>
    <w:rsid w:val="009D19FE"/>
    <w:rsid w:val="009D1D2E"/>
    <w:rsid w:val="009D2475"/>
    <w:rsid w:val="009D24F9"/>
    <w:rsid w:val="009D281E"/>
    <w:rsid w:val="009D2DE0"/>
    <w:rsid w:val="009D3AAD"/>
    <w:rsid w:val="009D3CC3"/>
    <w:rsid w:val="009D3FC8"/>
    <w:rsid w:val="009D4086"/>
    <w:rsid w:val="009D428F"/>
    <w:rsid w:val="009D43E8"/>
    <w:rsid w:val="009D45A2"/>
    <w:rsid w:val="009D4912"/>
    <w:rsid w:val="009D4F11"/>
    <w:rsid w:val="009D5D70"/>
    <w:rsid w:val="009D6401"/>
    <w:rsid w:val="009D6795"/>
    <w:rsid w:val="009D721A"/>
    <w:rsid w:val="009E0049"/>
    <w:rsid w:val="009E01ED"/>
    <w:rsid w:val="009E0B76"/>
    <w:rsid w:val="009E0E6A"/>
    <w:rsid w:val="009E12FE"/>
    <w:rsid w:val="009E1EFB"/>
    <w:rsid w:val="009E2CB7"/>
    <w:rsid w:val="009E2CF1"/>
    <w:rsid w:val="009E2E0B"/>
    <w:rsid w:val="009E2FC2"/>
    <w:rsid w:val="009E3076"/>
    <w:rsid w:val="009E3149"/>
    <w:rsid w:val="009E315F"/>
    <w:rsid w:val="009E378B"/>
    <w:rsid w:val="009E4039"/>
    <w:rsid w:val="009E42EF"/>
    <w:rsid w:val="009E45B5"/>
    <w:rsid w:val="009E4C52"/>
    <w:rsid w:val="009E4F25"/>
    <w:rsid w:val="009E51AA"/>
    <w:rsid w:val="009E52AE"/>
    <w:rsid w:val="009E5ACD"/>
    <w:rsid w:val="009E66B4"/>
    <w:rsid w:val="009E6C48"/>
    <w:rsid w:val="009E7061"/>
    <w:rsid w:val="009E7CEB"/>
    <w:rsid w:val="009E7DBF"/>
    <w:rsid w:val="009F0333"/>
    <w:rsid w:val="009F11E6"/>
    <w:rsid w:val="009F14EB"/>
    <w:rsid w:val="009F1813"/>
    <w:rsid w:val="009F1C5F"/>
    <w:rsid w:val="009F32AB"/>
    <w:rsid w:val="009F4341"/>
    <w:rsid w:val="009F4AF9"/>
    <w:rsid w:val="009F4B05"/>
    <w:rsid w:val="009F506E"/>
    <w:rsid w:val="009F5AD7"/>
    <w:rsid w:val="009F7126"/>
    <w:rsid w:val="009F726E"/>
    <w:rsid w:val="009F7CF9"/>
    <w:rsid w:val="009F7FD1"/>
    <w:rsid w:val="00A008E0"/>
    <w:rsid w:val="00A00B6E"/>
    <w:rsid w:val="00A01A9B"/>
    <w:rsid w:val="00A0243B"/>
    <w:rsid w:val="00A026E8"/>
    <w:rsid w:val="00A02B73"/>
    <w:rsid w:val="00A02CF8"/>
    <w:rsid w:val="00A02F4E"/>
    <w:rsid w:val="00A03336"/>
    <w:rsid w:val="00A03433"/>
    <w:rsid w:val="00A0346E"/>
    <w:rsid w:val="00A037CC"/>
    <w:rsid w:val="00A037D1"/>
    <w:rsid w:val="00A03DAF"/>
    <w:rsid w:val="00A05936"/>
    <w:rsid w:val="00A0601E"/>
    <w:rsid w:val="00A06144"/>
    <w:rsid w:val="00A06D90"/>
    <w:rsid w:val="00A06DF4"/>
    <w:rsid w:val="00A071F3"/>
    <w:rsid w:val="00A072DF"/>
    <w:rsid w:val="00A07318"/>
    <w:rsid w:val="00A07A4C"/>
    <w:rsid w:val="00A07AD6"/>
    <w:rsid w:val="00A07B73"/>
    <w:rsid w:val="00A07FCF"/>
    <w:rsid w:val="00A1006F"/>
    <w:rsid w:val="00A1016B"/>
    <w:rsid w:val="00A111BD"/>
    <w:rsid w:val="00A1136A"/>
    <w:rsid w:val="00A11EF3"/>
    <w:rsid w:val="00A1267F"/>
    <w:rsid w:val="00A12EA5"/>
    <w:rsid w:val="00A131E3"/>
    <w:rsid w:val="00A13458"/>
    <w:rsid w:val="00A13549"/>
    <w:rsid w:val="00A13AC7"/>
    <w:rsid w:val="00A13DA6"/>
    <w:rsid w:val="00A1403E"/>
    <w:rsid w:val="00A140E7"/>
    <w:rsid w:val="00A1413E"/>
    <w:rsid w:val="00A1439C"/>
    <w:rsid w:val="00A14B29"/>
    <w:rsid w:val="00A16125"/>
    <w:rsid w:val="00A163C1"/>
    <w:rsid w:val="00A166F7"/>
    <w:rsid w:val="00A167EF"/>
    <w:rsid w:val="00A173FD"/>
    <w:rsid w:val="00A200BD"/>
    <w:rsid w:val="00A2037F"/>
    <w:rsid w:val="00A20CBA"/>
    <w:rsid w:val="00A20FDB"/>
    <w:rsid w:val="00A21BDE"/>
    <w:rsid w:val="00A22D77"/>
    <w:rsid w:val="00A230B4"/>
    <w:rsid w:val="00A23135"/>
    <w:rsid w:val="00A23544"/>
    <w:rsid w:val="00A23685"/>
    <w:rsid w:val="00A248BA"/>
    <w:rsid w:val="00A24A0F"/>
    <w:rsid w:val="00A24B91"/>
    <w:rsid w:val="00A25501"/>
    <w:rsid w:val="00A26FCC"/>
    <w:rsid w:val="00A27DAF"/>
    <w:rsid w:val="00A27F96"/>
    <w:rsid w:val="00A30712"/>
    <w:rsid w:val="00A30BEF"/>
    <w:rsid w:val="00A30DE0"/>
    <w:rsid w:val="00A312F7"/>
    <w:rsid w:val="00A320A8"/>
    <w:rsid w:val="00A3225F"/>
    <w:rsid w:val="00A325CD"/>
    <w:rsid w:val="00A32F49"/>
    <w:rsid w:val="00A33165"/>
    <w:rsid w:val="00A333CA"/>
    <w:rsid w:val="00A334F1"/>
    <w:rsid w:val="00A33A0C"/>
    <w:rsid w:val="00A34063"/>
    <w:rsid w:val="00A346FA"/>
    <w:rsid w:val="00A34870"/>
    <w:rsid w:val="00A353B6"/>
    <w:rsid w:val="00A35495"/>
    <w:rsid w:val="00A36518"/>
    <w:rsid w:val="00A36C28"/>
    <w:rsid w:val="00A36DEB"/>
    <w:rsid w:val="00A3724B"/>
    <w:rsid w:val="00A37973"/>
    <w:rsid w:val="00A379EC"/>
    <w:rsid w:val="00A37B20"/>
    <w:rsid w:val="00A40782"/>
    <w:rsid w:val="00A40B43"/>
    <w:rsid w:val="00A41C16"/>
    <w:rsid w:val="00A42236"/>
    <w:rsid w:val="00A429DD"/>
    <w:rsid w:val="00A42C1B"/>
    <w:rsid w:val="00A432E2"/>
    <w:rsid w:val="00A434C2"/>
    <w:rsid w:val="00A43507"/>
    <w:rsid w:val="00A43CBA"/>
    <w:rsid w:val="00A45709"/>
    <w:rsid w:val="00A47272"/>
    <w:rsid w:val="00A51317"/>
    <w:rsid w:val="00A51833"/>
    <w:rsid w:val="00A51AF5"/>
    <w:rsid w:val="00A51B8C"/>
    <w:rsid w:val="00A523E1"/>
    <w:rsid w:val="00A5293D"/>
    <w:rsid w:val="00A52B62"/>
    <w:rsid w:val="00A534E1"/>
    <w:rsid w:val="00A538D1"/>
    <w:rsid w:val="00A54A27"/>
    <w:rsid w:val="00A552ED"/>
    <w:rsid w:val="00A559BE"/>
    <w:rsid w:val="00A55CE7"/>
    <w:rsid w:val="00A57187"/>
    <w:rsid w:val="00A573C1"/>
    <w:rsid w:val="00A57E1D"/>
    <w:rsid w:val="00A60244"/>
    <w:rsid w:val="00A605DE"/>
    <w:rsid w:val="00A60958"/>
    <w:rsid w:val="00A609C5"/>
    <w:rsid w:val="00A60E11"/>
    <w:rsid w:val="00A60E5E"/>
    <w:rsid w:val="00A61E52"/>
    <w:rsid w:val="00A61EC7"/>
    <w:rsid w:val="00A62C9B"/>
    <w:rsid w:val="00A63CFB"/>
    <w:rsid w:val="00A64392"/>
    <w:rsid w:val="00A6470B"/>
    <w:rsid w:val="00A649C5"/>
    <w:rsid w:val="00A64B7E"/>
    <w:rsid w:val="00A64EA2"/>
    <w:rsid w:val="00A64ECF"/>
    <w:rsid w:val="00A65AC7"/>
    <w:rsid w:val="00A66376"/>
    <w:rsid w:val="00A66636"/>
    <w:rsid w:val="00A66E3C"/>
    <w:rsid w:val="00A67560"/>
    <w:rsid w:val="00A67635"/>
    <w:rsid w:val="00A67B86"/>
    <w:rsid w:val="00A67C65"/>
    <w:rsid w:val="00A67E57"/>
    <w:rsid w:val="00A715A4"/>
    <w:rsid w:val="00A71759"/>
    <w:rsid w:val="00A720F2"/>
    <w:rsid w:val="00A728E6"/>
    <w:rsid w:val="00A73074"/>
    <w:rsid w:val="00A734F4"/>
    <w:rsid w:val="00A736D5"/>
    <w:rsid w:val="00A737EE"/>
    <w:rsid w:val="00A73C45"/>
    <w:rsid w:val="00A74B1F"/>
    <w:rsid w:val="00A74B74"/>
    <w:rsid w:val="00A75F77"/>
    <w:rsid w:val="00A7628E"/>
    <w:rsid w:val="00A767B5"/>
    <w:rsid w:val="00A76824"/>
    <w:rsid w:val="00A76DB3"/>
    <w:rsid w:val="00A77360"/>
    <w:rsid w:val="00A7775F"/>
    <w:rsid w:val="00A77930"/>
    <w:rsid w:val="00A77ED3"/>
    <w:rsid w:val="00A77FC2"/>
    <w:rsid w:val="00A80207"/>
    <w:rsid w:val="00A80F18"/>
    <w:rsid w:val="00A81A56"/>
    <w:rsid w:val="00A82D9B"/>
    <w:rsid w:val="00A83D90"/>
    <w:rsid w:val="00A84CC3"/>
    <w:rsid w:val="00A85529"/>
    <w:rsid w:val="00A859A3"/>
    <w:rsid w:val="00A85B16"/>
    <w:rsid w:val="00A85EF5"/>
    <w:rsid w:val="00A86762"/>
    <w:rsid w:val="00A86C43"/>
    <w:rsid w:val="00A872DB"/>
    <w:rsid w:val="00A875DA"/>
    <w:rsid w:val="00A875FB"/>
    <w:rsid w:val="00A87A6F"/>
    <w:rsid w:val="00A907CD"/>
    <w:rsid w:val="00A90B21"/>
    <w:rsid w:val="00A90B4F"/>
    <w:rsid w:val="00A91288"/>
    <w:rsid w:val="00A91AD8"/>
    <w:rsid w:val="00A91BB8"/>
    <w:rsid w:val="00A92D3E"/>
    <w:rsid w:val="00A93939"/>
    <w:rsid w:val="00A93EF4"/>
    <w:rsid w:val="00A94466"/>
    <w:rsid w:val="00A9466A"/>
    <w:rsid w:val="00A9484C"/>
    <w:rsid w:val="00A94926"/>
    <w:rsid w:val="00A94F1B"/>
    <w:rsid w:val="00A95407"/>
    <w:rsid w:val="00A95BDC"/>
    <w:rsid w:val="00A95BF2"/>
    <w:rsid w:val="00A9697C"/>
    <w:rsid w:val="00A9699C"/>
    <w:rsid w:val="00A96BB4"/>
    <w:rsid w:val="00A96D28"/>
    <w:rsid w:val="00A970EF"/>
    <w:rsid w:val="00A97A4B"/>
    <w:rsid w:val="00AA0311"/>
    <w:rsid w:val="00AA0698"/>
    <w:rsid w:val="00AA07CC"/>
    <w:rsid w:val="00AA096C"/>
    <w:rsid w:val="00AA0D23"/>
    <w:rsid w:val="00AA100A"/>
    <w:rsid w:val="00AA1619"/>
    <w:rsid w:val="00AA191B"/>
    <w:rsid w:val="00AA1C50"/>
    <w:rsid w:val="00AA1C79"/>
    <w:rsid w:val="00AA2418"/>
    <w:rsid w:val="00AA2C4D"/>
    <w:rsid w:val="00AA2F13"/>
    <w:rsid w:val="00AA36FE"/>
    <w:rsid w:val="00AA39DA"/>
    <w:rsid w:val="00AA39F3"/>
    <w:rsid w:val="00AA3D61"/>
    <w:rsid w:val="00AA441E"/>
    <w:rsid w:val="00AA4E62"/>
    <w:rsid w:val="00AA5162"/>
    <w:rsid w:val="00AA60C1"/>
    <w:rsid w:val="00AA60F5"/>
    <w:rsid w:val="00AA62B4"/>
    <w:rsid w:val="00AA6FCD"/>
    <w:rsid w:val="00AB074B"/>
    <w:rsid w:val="00AB1019"/>
    <w:rsid w:val="00AB1EFE"/>
    <w:rsid w:val="00AB2909"/>
    <w:rsid w:val="00AB2CEB"/>
    <w:rsid w:val="00AB2F7D"/>
    <w:rsid w:val="00AB3306"/>
    <w:rsid w:val="00AB3C33"/>
    <w:rsid w:val="00AB425D"/>
    <w:rsid w:val="00AB44C6"/>
    <w:rsid w:val="00AB4C8C"/>
    <w:rsid w:val="00AB4D5D"/>
    <w:rsid w:val="00AB4F2C"/>
    <w:rsid w:val="00AB4FBD"/>
    <w:rsid w:val="00AB5072"/>
    <w:rsid w:val="00AB5ED4"/>
    <w:rsid w:val="00AB63F2"/>
    <w:rsid w:val="00AB6B23"/>
    <w:rsid w:val="00AB6C50"/>
    <w:rsid w:val="00AB6CEF"/>
    <w:rsid w:val="00AB6E24"/>
    <w:rsid w:val="00AB6E94"/>
    <w:rsid w:val="00AC03C0"/>
    <w:rsid w:val="00AC0B85"/>
    <w:rsid w:val="00AC0F8F"/>
    <w:rsid w:val="00AC1231"/>
    <w:rsid w:val="00AC16EB"/>
    <w:rsid w:val="00AC1FDE"/>
    <w:rsid w:val="00AC21D5"/>
    <w:rsid w:val="00AC3543"/>
    <w:rsid w:val="00AC3655"/>
    <w:rsid w:val="00AC5B17"/>
    <w:rsid w:val="00AC5FCC"/>
    <w:rsid w:val="00AC60B4"/>
    <w:rsid w:val="00AC6F8B"/>
    <w:rsid w:val="00AC77E7"/>
    <w:rsid w:val="00AC7D54"/>
    <w:rsid w:val="00AD0EAF"/>
    <w:rsid w:val="00AD1414"/>
    <w:rsid w:val="00AD2377"/>
    <w:rsid w:val="00AD2E55"/>
    <w:rsid w:val="00AD4279"/>
    <w:rsid w:val="00AD4AFB"/>
    <w:rsid w:val="00AD4D77"/>
    <w:rsid w:val="00AD4FE8"/>
    <w:rsid w:val="00AD5BDA"/>
    <w:rsid w:val="00AD5F82"/>
    <w:rsid w:val="00AD6050"/>
    <w:rsid w:val="00AD7C70"/>
    <w:rsid w:val="00AE03E7"/>
    <w:rsid w:val="00AE048A"/>
    <w:rsid w:val="00AE0509"/>
    <w:rsid w:val="00AE12CC"/>
    <w:rsid w:val="00AE1479"/>
    <w:rsid w:val="00AE155C"/>
    <w:rsid w:val="00AE17F0"/>
    <w:rsid w:val="00AE1882"/>
    <w:rsid w:val="00AE19BB"/>
    <w:rsid w:val="00AE1BAD"/>
    <w:rsid w:val="00AE1E5E"/>
    <w:rsid w:val="00AE3600"/>
    <w:rsid w:val="00AE4624"/>
    <w:rsid w:val="00AE490B"/>
    <w:rsid w:val="00AE4AD8"/>
    <w:rsid w:val="00AE4B76"/>
    <w:rsid w:val="00AE4EBE"/>
    <w:rsid w:val="00AE5297"/>
    <w:rsid w:val="00AE5E25"/>
    <w:rsid w:val="00AE6461"/>
    <w:rsid w:val="00AE6F0D"/>
    <w:rsid w:val="00AE709E"/>
    <w:rsid w:val="00AE7B6F"/>
    <w:rsid w:val="00AF1CB5"/>
    <w:rsid w:val="00AF1CC7"/>
    <w:rsid w:val="00AF1EC0"/>
    <w:rsid w:val="00AF204A"/>
    <w:rsid w:val="00AF217E"/>
    <w:rsid w:val="00AF298C"/>
    <w:rsid w:val="00AF3DC1"/>
    <w:rsid w:val="00AF3EB1"/>
    <w:rsid w:val="00AF410B"/>
    <w:rsid w:val="00AF44CE"/>
    <w:rsid w:val="00AF4584"/>
    <w:rsid w:val="00AF4B44"/>
    <w:rsid w:val="00AF4DFC"/>
    <w:rsid w:val="00AF50C2"/>
    <w:rsid w:val="00AF561A"/>
    <w:rsid w:val="00AF5FD2"/>
    <w:rsid w:val="00AF6036"/>
    <w:rsid w:val="00AF6197"/>
    <w:rsid w:val="00AF619F"/>
    <w:rsid w:val="00AF670A"/>
    <w:rsid w:val="00AF6A9E"/>
    <w:rsid w:val="00AF6B8B"/>
    <w:rsid w:val="00AF7AA8"/>
    <w:rsid w:val="00AF7CBC"/>
    <w:rsid w:val="00AF7CDA"/>
    <w:rsid w:val="00AF7CE7"/>
    <w:rsid w:val="00AF7D18"/>
    <w:rsid w:val="00AF7D36"/>
    <w:rsid w:val="00B00221"/>
    <w:rsid w:val="00B0035F"/>
    <w:rsid w:val="00B00910"/>
    <w:rsid w:val="00B013DF"/>
    <w:rsid w:val="00B01603"/>
    <w:rsid w:val="00B018DB"/>
    <w:rsid w:val="00B01EE8"/>
    <w:rsid w:val="00B02976"/>
    <w:rsid w:val="00B02BA1"/>
    <w:rsid w:val="00B0332D"/>
    <w:rsid w:val="00B03B9D"/>
    <w:rsid w:val="00B04393"/>
    <w:rsid w:val="00B046AE"/>
    <w:rsid w:val="00B04F1D"/>
    <w:rsid w:val="00B050EE"/>
    <w:rsid w:val="00B05F0E"/>
    <w:rsid w:val="00B05F1D"/>
    <w:rsid w:val="00B069AF"/>
    <w:rsid w:val="00B06A65"/>
    <w:rsid w:val="00B0716F"/>
    <w:rsid w:val="00B07951"/>
    <w:rsid w:val="00B07AF2"/>
    <w:rsid w:val="00B10002"/>
    <w:rsid w:val="00B10017"/>
    <w:rsid w:val="00B11683"/>
    <w:rsid w:val="00B11B2F"/>
    <w:rsid w:val="00B12025"/>
    <w:rsid w:val="00B130BA"/>
    <w:rsid w:val="00B13F1C"/>
    <w:rsid w:val="00B1454D"/>
    <w:rsid w:val="00B15177"/>
    <w:rsid w:val="00B15B23"/>
    <w:rsid w:val="00B15B7E"/>
    <w:rsid w:val="00B16003"/>
    <w:rsid w:val="00B1659A"/>
    <w:rsid w:val="00B16F0B"/>
    <w:rsid w:val="00B17FD9"/>
    <w:rsid w:val="00B203C1"/>
    <w:rsid w:val="00B20D21"/>
    <w:rsid w:val="00B20EA6"/>
    <w:rsid w:val="00B20F2A"/>
    <w:rsid w:val="00B2118D"/>
    <w:rsid w:val="00B21199"/>
    <w:rsid w:val="00B2169D"/>
    <w:rsid w:val="00B21B1C"/>
    <w:rsid w:val="00B228A1"/>
    <w:rsid w:val="00B22A27"/>
    <w:rsid w:val="00B2354E"/>
    <w:rsid w:val="00B23A02"/>
    <w:rsid w:val="00B23BF5"/>
    <w:rsid w:val="00B23C2D"/>
    <w:rsid w:val="00B261B5"/>
    <w:rsid w:val="00B2782E"/>
    <w:rsid w:val="00B30685"/>
    <w:rsid w:val="00B319F9"/>
    <w:rsid w:val="00B32121"/>
    <w:rsid w:val="00B329FC"/>
    <w:rsid w:val="00B32B99"/>
    <w:rsid w:val="00B32DB0"/>
    <w:rsid w:val="00B3314A"/>
    <w:rsid w:val="00B332B6"/>
    <w:rsid w:val="00B33380"/>
    <w:rsid w:val="00B33494"/>
    <w:rsid w:val="00B33F31"/>
    <w:rsid w:val="00B34186"/>
    <w:rsid w:val="00B344A4"/>
    <w:rsid w:val="00B3451F"/>
    <w:rsid w:val="00B34B4D"/>
    <w:rsid w:val="00B34E1B"/>
    <w:rsid w:val="00B34F8E"/>
    <w:rsid w:val="00B35526"/>
    <w:rsid w:val="00B35E63"/>
    <w:rsid w:val="00B361B6"/>
    <w:rsid w:val="00B36495"/>
    <w:rsid w:val="00B36529"/>
    <w:rsid w:val="00B365BD"/>
    <w:rsid w:val="00B369A4"/>
    <w:rsid w:val="00B36D45"/>
    <w:rsid w:val="00B3739F"/>
    <w:rsid w:val="00B37625"/>
    <w:rsid w:val="00B40258"/>
    <w:rsid w:val="00B40445"/>
    <w:rsid w:val="00B40CF9"/>
    <w:rsid w:val="00B4137D"/>
    <w:rsid w:val="00B4146A"/>
    <w:rsid w:val="00B416B5"/>
    <w:rsid w:val="00B42963"/>
    <w:rsid w:val="00B42B90"/>
    <w:rsid w:val="00B42DA5"/>
    <w:rsid w:val="00B42E8E"/>
    <w:rsid w:val="00B435CA"/>
    <w:rsid w:val="00B449A6"/>
    <w:rsid w:val="00B44BF3"/>
    <w:rsid w:val="00B44F13"/>
    <w:rsid w:val="00B45C28"/>
    <w:rsid w:val="00B463EB"/>
    <w:rsid w:val="00B46451"/>
    <w:rsid w:val="00B4649C"/>
    <w:rsid w:val="00B4672A"/>
    <w:rsid w:val="00B47015"/>
    <w:rsid w:val="00B470DF"/>
    <w:rsid w:val="00B47176"/>
    <w:rsid w:val="00B472FF"/>
    <w:rsid w:val="00B473F4"/>
    <w:rsid w:val="00B50E9A"/>
    <w:rsid w:val="00B5126C"/>
    <w:rsid w:val="00B51AE2"/>
    <w:rsid w:val="00B51E0E"/>
    <w:rsid w:val="00B520FD"/>
    <w:rsid w:val="00B525CE"/>
    <w:rsid w:val="00B52638"/>
    <w:rsid w:val="00B52713"/>
    <w:rsid w:val="00B528F1"/>
    <w:rsid w:val="00B52C40"/>
    <w:rsid w:val="00B53193"/>
    <w:rsid w:val="00B537CA"/>
    <w:rsid w:val="00B53836"/>
    <w:rsid w:val="00B53904"/>
    <w:rsid w:val="00B54180"/>
    <w:rsid w:val="00B549DA"/>
    <w:rsid w:val="00B54F1D"/>
    <w:rsid w:val="00B5530C"/>
    <w:rsid w:val="00B554C0"/>
    <w:rsid w:val="00B558C6"/>
    <w:rsid w:val="00B559A7"/>
    <w:rsid w:val="00B559CC"/>
    <w:rsid w:val="00B55D35"/>
    <w:rsid w:val="00B55F02"/>
    <w:rsid w:val="00B55F9D"/>
    <w:rsid w:val="00B567FF"/>
    <w:rsid w:val="00B568AD"/>
    <w:rsid w:val="00B5780E"/>
    <w:rsid w:val="00B60A24"/>
    <w:rsid w:val="00B60ED7"/>
    <w:rsid w:val="00B6118E"/>
    <w:rsid w:val="00B61638"/>
    <w:rsid w:val="00B61B97"/>
    <w:rsid w:val="00B62064"/>
    <w:rsid w:val="00B6265F"/>
    <w:rsid w:val="00B6284F"/>
    <w:rsid w:val="00B63932"/>
    <w:rsid w:val="00B63A93"/>
    <w:rsid w:val="00B6420A"/>
    <w:rsid w:val="00B6430A"/>
    <w:rsid w:val="00B646AB"/>
    <w:rsid w:val="00B64DB9"/>
    <w:rsid w:val="00B6504E"/>
    <w:rsid w:val="00B6613C"/>
    <w:rsid w:val="00B6619B"/>
    <w:rsid w:val="00B66292"/>
    <w:rsid w:val="00B66BAA"/>
    <w:rsid w:val="00B67060"/>
    <w:rsid w:val="00B670A1"/>
    <w:rsid w:val="00B67C1F"/>
    <w:rsid w:val="00B67EF2"/>
    <w:rsid w:val="00B701CD"/>
    <w:rsid w:val="00B70A8D"/>
    <w:rsid w:val="00B70B3E"/>
    <w:rsid w:val="00B70DEC"/>
    <w:rsid w:val="00B71449"/>
    <w:rsid w:val="00B71A4C"/>
    <w:rsid w:val="00B729D3"/>
    <w:rsid w:val="00B72C1B"/>
    <w:rsid w:val="00B734B6"/>
    <w:rsid w:val="00B73BED"/>
    <w:rsid w:val="00B75024"/>
    <w:rsid w:val="00B753AE"/>
    <w:rsid w:val="00B7565D"/>
    <w:rsid w:val="00B7568B"/>
    <w:rsid w:val="00B75805"/>
    <w:rsid w:val="00B75D08"/>
    <w:rsid w:val="00B76544"/>
    <w:rsid w:val="00B767B4"/>
    <w:rsid w:val="00B76A29"/>
    <w:rsid w:val="00B76A81"/>
    <w:rsid w:val="00B76BA3"/>
    <w:rsid w:val="00B76C33"/>
    <w:rsid w:val="00B77105"/>
    <w:rsid w:val="00B772E5"/>
    <w:rsid w:val="00B773AE"/>
    <w:rsid w:val="00B77B2A"/>
    <w:rsid w:val="00B804F8"/>
    <w:rsid w:val="00B811AA"/>
    <w:rsid w:val="00B81B16"/>
    <w:rsid w:val="00B82552"/>
    <w:rsid w:val="00B83386"/>
    <w:rsid w:val="00B83943"/>
    <w:rsid w:val="00B83B2B"/>
    <w:rsid w:val="00B83D03"/>
    <w:rsid w:val="00B84506"/>
    <w:rsid w:val="00B84E0C"/>
    <w:rsid w:val="00B84E3F"/>
    <w:rsid w:val="00B85632"/>
    <w:rsid w:val="00B85C11"/>
    <w:rsid w:val="00B85C29"/>
    <w:rsid w:val="00B8635C"/>
    <w:rsid w:val="00B87234"/>
    <w:rsid w:val="00B87ACC"/>
    <w:rsid w:val="00B900C0"/>
    <w:rsid w:val="00B90A78"/>
    <w:rsid w:val="00B91890"/>
    <w:rsid w:val="00B91EF0"/>
    <w:rsid w:val="00B92512"/>
    <w:rsid w:val="00B92B56"/>
    <w:rsid w:val="00B92F30"/>
    <w:rsid w:val="00B94172"/>
    <w:rsid w:val="00B94965"/>
    <w:rsid w:val="00B953FC"/>
    <w:rsid w:val="00B95781"/>
    <w:rsid w:val="00B96322"/>
    <w:rsid w:val="00B96CF7"/>
    <w:rsid w:val="00B96E6F"/>
    <w:rsid w:val="00B96F5D"/>
    <w:rsid w:val="00B97205"/>
    <w:rsid w:val="00B976DF"/>
    <w:rsid w:val="00B97F80"/>
    <w:rsid w:val="00BA05BC"/>
    <w:rsid w:val="00BA05E7"/>
    <w:rsid w:val="00BA0A3B"/>
    <w:rsid w:val="00BA1055"/>
    <w:rsid w:val="00BA1BCC"/>
    <w:rsid w:val="00BA26CD"/>
    <w:rsid w:val="00BA2ADF"/>
    <w:rsid w:val="00BA3181"/>
    <w:rsid w:val="00BA32DE"/>
    <w:rsid w:val="00BA37B0"/>
    <w:rsid w:val="00BA403E"/>
    <w:rsid w:val="00BA48CC"/>
    <w:rsid w:val="00BA4977"/>
    <w:rsid w:val="00BA4999"/>
    <w:rsid w:val="00BA4F78"/>
    <w:rsid w:val="00BA586B"/>
    <w:rsid w:val="00BA5B35"/>
    <w:rsid w:val="00BA5FBD"/>
    <w:rsid w:val="00BA6116"/>
    <w:rsid w:val="00BA6E7F"/>
    <w:rsid w:val="00BA72B6"/>
    <w:rsid w:val="00BA72F0"/>
    <w:rsid w:val="00BA76E9"/>
    <w:rsid w:val="00BB0B41"/>
    <w:rsid w:val="00BB0BCB"/>
    <w:rsid w:val="00BB0C48"/>
    <w:rsid w:val="00BB0DD2"/>
    <w:rsid w:val="00BB0E87"/>
    <w:rsid w:val="00BB1992"/>
    <w:rsid w:val="00BB2848"/>
    <w:rsid w:val="00BB2D3D"/>
    <w:rsid w:val="00BB3AE8"/>
    <w:rsid w:val="00BB3E6B"/>
    <w:rsid w:val="00BB4088"/>
    <w:rsid w:val="00BB4243"/>
    <w:rsid w:val="00BB47DF"/>
    <w:rsid w:val="00BB5E01"/>
    <w:rsid w:val="00BB5FFA"/>
    <w:rsid w:val="00BB63CC"/>
    <w:rsid w:val="00BB63D0"/>
    <w:rsid w:val="00BB6A83"/>
    <w:rsid w:val="00BB6D52"/>
    <w:rsid w:val="00BB7002"/>
    <w:rsid w:val="00BB742C"/>
    <w:rsid w:val="00BB7A97"/>
    <w:rsid w:val="00BB7C26"/>
    <w:rsid w:val="00BC0624"/>
    <w:rsid w:val="00BC0A39"/>
    <w:rsid w:val="00BC0DB9"/>
    <w:rsid w:val="00BC1882"/>
    <w:rsid w:val="00BC1890"/>
    <w:rsid w:val="00BC1BF3"/>
    <w:rsid w:val="00BC2314"/>
    <w:rsid w:val="00BC2654"/>
    <w:rsid w:val="00BC26F7"/>
    <w:rsid w:val="00BC2C7F"/>
    <w:rsid w:val="00BC2EF7"/>
    <w:rsid w:val="00BC41AE"/>
    <w:rsid w:val="00BC459E"/>
    <w:rsid w:val="00BC5122"/>
    <w:rsid w:val="00BC5870"/>
    <w:rsid w:val="00BC5A3C"/>
    <w:rsid w:val="00BC5F99"/>
    <w:rsid w:val="00BC6297"/>
    <w:rsid w:val="00BC6E21"/>
    <w:rsid w:val="00BC6E5A"/>
    <w:rsid w:val="00BC6EB0"/>
    <w:rsid w:val="00BC73B4"/>
    <w:rsid w:val="00BC781F"/>
    <w:rsid w:val="00BC7B16"/>
    <w:rsid w:val="00BC7BB4"/>
    <w:rsid w:val="00BD0D55"/>
    <w:rsid w:val="00BD0F64"/>
    <w:rsid w:val="00BD10FE"/>
    <w:rsid w:val="00BD1BFE"/>
    <w:rsid w:val="00BD2050"/>
    <w:rsid w:val="00BD23AB"/>
    <w:rsid w:val="00BD3278"/>
    <w:rsid w:val="00BD398E"/>
    <w:rsid w:val="00BD3AA7"/>
    <w:rsid w:val="00BD3C5E"/>
    <w:rsid w:val="00BD4246"/>
    <w:rsid w:val="00BD44BA"/>
    <w:rsid w:val="00BD4615"/>
    <w:rsid w:val="00BD4D01"/>
    <w:rsid w:val="00BD5242"/>
    <w:rsid w:val="00BD52A7"/>
    <w:rsid w:val="00BD59E7"/>
    <w:rsid w:val="00BD7147"/>
    <w:rsid w:val="00BD71C9"/>
    <w:rsid w:val="00BD73F7"/>
    <w:rsid w:val="00BD7904"/>
    <w:rsid w:val="00BD7E86"/>
    <w:rsid w:val="00BD7F95"/>
    <w:rsid w:val="00BE01A9"/>
    <w:rsid w:val="00BE04B6"/>
    <w:rsid w:val="00BE10CE"/>
    <w:rsid w:val="00BE1E3B"/>
    <w:rsid w:val="00BE1FD8"/>
    <w:rsid w:val="00BE20D8"/>
    <w:rsid w:val="00BE22C9"/>
    <w:rsid w:val="00BE29BC"/>
    <w:rsid w:val="00BE34EF"/>
    <w:rsid w:val="00BE3994"/>
    <w:rsid w:val="00BE4675"/>
    <w:rsid w:val="00BE5364"/>
    <w:rsid w:val="00BE64E3"/>
    <w:rsid w:val="00BE6E11"/>
    <w:rsid w:val="00BE76E2"/>
    <w:rsid w:val="00BF008B"/>
    <w:rsid w:val="00BF04BA"/>
    <w:rsid w:val="00BF0F9D"/>
    <w:rsid w:val="00BF136A"/>
    <w:rsid w:val="00BF1C47"/>
    <w:rsid w:val="00BF3332"/>
    <w:rsid w:val="00BF35D9"/>
    <w:rsid w:val="00BF3EF8"/>
    <w:rsid w:val="00BF3FDE"/>
    <w:rsid w:val="00BF412A"/>
    <w:rsid w:val="00BF44B9"/>
    <w:rsid w:val="00BF4672"/>
    <w:rsid w:val="00BF4B0C"/>
    <w:rsid w:val="00BF5068"/>
    <w:rsid w:val="00BF53D5"/>
    <w:rsid w:val="00BF5417"/>
    <w:rsid w:val="00BF574B"/>
    <w:rsid w:val="00BF591B"/>
    <w:rsid w:val="00BF5CAE"/>
    <w:rsid w:val="00BF6584"/>
    <w:rsid w:val="00BF6E19"/>
    <w:rsid w:val="00BF7570"/>
    <w:rsid w:val="00BF789F"/>
    <w:rsid w:val="00BF7B1B"/>
    <w:rsid w:val="00C000F5"/>
    <w:rsid w:val="00C0033E"/>
    <w:rsid w:val="00C008E1"/>
    <w:rsid w:val="00C0151F"/>
    <w:rsid w:val="00C018DA"/>
    <w:rsid w:val="00C01A3B"/>
    <w:rsid w:val="00C01B23"/>
    <w:rsid w:val="00C02084"/>
    <w:rsid w:val="00C022D1"/>
    <w:rsid w:val="00C029AD"/>
    <w:rsid w:val="00C030FF"/>
    <w:rsid w:val="00C04803"/>
    <w:rsid w:val="00C04AA7"/>
    <w:rsid w:val="00C04DCD"/>
    <w:rsid w:val="00C051A4"/>
    <w:rsid w:val="00C05581"/>
    <w:rsid w:val="00C057C2"/>
    <w:rsid w:val="00C05B4C"/>
    <w:rsid w:val="00C06A42"/>
    <w:rsid w:val="00C06BF7"/>
    <w:rsid w:val="00C0717A"/>
    <w:rsid w:val="00C071A5"/>
    <w:rsid w:val="00C073CD"/>
    <w:rsid w:val="00C101F5"/>
    <w:rsid w:val="00C10794"/>
    <w:rsid w:val="00C10B0F"/>
    <w:rsid w:val="00C11318"/>
    <w:rsid w:val="00C11AB8"/>
    <w:rsid w:val="00C11E98"/>
    <w:rsid w:val="00C12522"/>
    <w:rsid w:val="00C128E3"/>
    <w:rsid w:val="00C12B8E"/>
    <w:rsid w:val="00C12C02"/>
    <w:rsid w:val="00C132F8"/>
    <w:rsid w:val="00C1379E"/>
    <w:rsid w:val="00C140FC"/>
    <w:rsid w:val="00C14336"/>
    <w:rsid w:val="00C149B1"/>
    <w:rsid w:val="00C14E75"/>
    <w:rsid w:val="00C15377"/>
    <w:rsid w:val="00C1555F"/>
    <w:rsid w:val="00C15D75"/>
    <w:rsid w:val="00C16A6D"/>
    <w:rsid w:val="00C16CB4"/>
    <w:rsid w:val="00C16E2C"/>
    <w:rsid w:val="00C16EED"/>
    <w:rsid w:val="00C17011"/>
    <w:rsid w:val="00C171D0"/>
    <w:rsid w:val="00C17215"/>
    <w:rsid w:val="00C175D0"/>
    <w:rsid w:val="00C17A3B"/>
    <w:rsid w:val="00C17B07"/>
    <w:rsid w:val="00C2006E"/>
    <w:rsid w:val="00C20215"/>
    <w:rsid w:val="00C20617"/>
    <w:rsid w:val="00C21096"/>
    <w:rsid w:val="00C2157E"/>
    <w:rsid w:val="00C2171E"/>
    <w:rsid w:val="00C217B5"/>
    <w:rsid w:val="00C21A64"/>
    <w:rsid w:val="00C21D88"/>
    <w:rsid w:val="00C21F22"/>
    <w:rsid w:val="00C21F2A"/>
    <w:rsid w:val="00C21F98"/>
    <w:rsid w:val="00C221EF"/>
    <w:rsid w:val="00C22211"/>
    <w:rsid w:val="00C223C3"/>
    <w:rsid w:val="00C234C0"/>
    <w:rsid w:val="00C23720"/>
    <w:rsid w:val="00C23F74"/>
    <w:rsid w:val="00C2467D"/>
    <w:rsid w:val="00C26785"/>
    <w:rsid w:val="00C268BC"/>
    <w:rsid w:val="00C2793A"/>
    <w:rsid w:val="00C30312"/>
    <w:rsid w:val="00C3055F"/>
    <w:rsid w:val="00C309B5"/>
    <w:rsid w:val="00C31059"/>
    <w:rsid w:val="00C31264"/>
    <w:rsid w:val="00C31EA0"/>
    <w:rsid w:val="00C322B4"/>
    <w:rsid w:val="00C324EF"/>
    <w:rsid w:val="00C32664"/>
    <w:rsid w:val="00C33091"/>
    <w:rsid w:val="00C331CB"/>
    <w:rsid w:val="00C3339A"/>
    <w:rsid w:val="00C33556"/>
    <w:rsid w:val="00C33B9F"/>
    <w:rsid w:val="00C33F13"/>
    <w:rsid w:val="00C3436C"/>
    <w:rsid w:val="00C34D38"/>
    <w:rsid w:val="00C34DA9"/>
    <w:rsid w:val="00C35488"/>
    <w:rsid w:val="00C354F8"/>
    <w:rsid w:val="00C363F7"/>
    <w:rsid w:val="00C37760"/>
    <w:rsid w:val="00C37919"/>
    <w:rsid w:val="00C37FE4"/>
    <w:rsid w:val="00C405F9"/>
    <w:rsid w:val="00C40D37"/>
    <w:rsid w:val="00C41D03"/>
    <w:rsid w:val="00C42076"/>
    <w:rsid w:val="00C4275F"/>
    <w:rsid w:val="00C4288F"/>
    <w:rsid w:val="00C44213"/>
    <w:rsid w:val="00C44885"/>
    <w:rsid w:val="00C44F29"/>
    <w:rsid w:val="00C45387"/>
    <w:rsid w:val="00C4693C"/>
    <w:rsid w:val="00C47AE7"/>
    <w:rsid w:val="00C50073"/>
    <w:rsid w:val="00C500EE"/>
    <w:rsid w:val="00C503B6"/>
    <w:rsid w:val="00C504BF"/>
    <w:rsid w:val="00C50D8C"/>
    <w:rsid w:val="00C50E64"/>
    <w:rsid w:val="00C50EDC"/>
    <w:rsid w:val="00C50EFB"/>
    <w:rsid w:val="00C514A8"/>
    <w:rsid w:val="00C51B93"/>
    <w:rsid w:val="00C51F68"/>
    <w:rsid w:val="00C5233F"/>
    <w:rsid w:val="00C53344"/>
    <w:rsid w:val="00C53478"/>
    <w:rsid w:val="00C53B0B"/>
    <w:rsid w:val="00C53C21"/>
    <w:rsid w:val="00C53FEE"/>
    <w:rsid w:val="00C544C5"/>
    <w:rsid w:val="00C55CC4"/>
    <w:rsid w:val="00C568F9"/>
    <w:rsid w:val="00C569FF"/>
    <w:rsid w:val="00C56A9D"/>
    <w:rsid w:val="00C56D68"/>
    <w:rsid w:val="00C56F44"/>
    <w:rsid w:val="00C57301"/>
    <w:rsid w:val="00C5753C"/>
    <w:rsid w:val="00C57CD0"/>
    <w:rsid w:val="00C60F42"/>
    <w:rsid w:val="00C6106F"/>
    <w:rsid w:val="00C612BF"/>
    <w:rsid w:val="00C61A13"/>
    <w:rsid w:val="00C62480"/>
    <w:rsid w:val="00C628CB"/>
    <w:rsid w:val="00C63783"/>
    <w:rsid w:val="00C63C83"/>
    <w:rsid w:val="00C646B5"/>
    <w:rsid w:val="00C647CA"/>
    <w:rsid w:val="00C649A8"/>
    <w:rsid w:val="00C65372"/>
    <w:rsid w:val="00C65FA9"/>
    <w:rsid w:val="00C6615E"/>
    <w:rsid w:val="00C66738"/>
    <w:rsid w:val="00C66FC9"/>
    <w:rsid w:val="00C671F4"/>
    <w:rsid w:val="00C67514"/>
    <w:rsid w:val="00C67749"/>
    <w:rsid w:val="00C678DC"/>
    <w:rsid w:val="00C67B7F"/>
    <w:rsid w:val="00C70B82"/>
    <w:rsid w:val="00C70CB3"/>
    <w:rsid w:val="00C70FAB"/>
    <w:rsid w:val="00C70FBE"/>
    <w:rsid w:val="00C711F9"/>
    <w:rsid w:val="00C7155B"/>
    <w:rsid w:val="00C71D6A"/>
    <w:rsid w:val="00C72898"/>
    <w:rsid w:val="00C72920"/>
    <w:rsid w:val="00C73291"/>
    <w:rsid w:val="00C7339F"/>
    <w:rsid w:val="00C737BA"/>
    <w:rsid w:val="00C73E87"/>
    <w:rsid w:val="00C73FE3"/>
    <w:rsid w:val="00C73FEB"/>
    <w:rsid w:val="00C7497F"/>
    <w:rsid w:val="00C74C23"/>
    <w:rsid w:val="00C7564C"/>
    <w:rsid w:val="00C75C36"/>
    <w:rsid w:val="00C762B7"/>
    <w:rsid w:val="00C7630A"/>
    <w:rsid w:val="00C76448"/>
    <w:rsid w:val="00C7671C"/>
    <w:rsid w:val="00C76E5F"/>
    <w:rsid w:val="00C770BB"/>
    <w:rsid w:val="00C77237"/>
    <w:rsid w:val="00C8058B"/>
    <w:rsid w:val="00C80A79"/>
    <w:rsid w:val="00C80C3D"/>
    <w:rsid w:val="00C811C6"/>
    <w:rsid w:val="00C8139B"/>
    <w:rsid w:val="00C81571"/>
    <w:rsid w:val="00C817A1"/>
    <w:rsid w:val="00C8196A"/>
    <w:rsid w:val="00C81D1F"/>
    <w:rsid w:val="00C823F1"/>
    <w:rsid w:val="00C8242D"/>
    <w:rsid w:val="00C8264C"/>
    <w:rsid w:val="00C82D98"/>
    <w:rsid w:val="00C82E20"/>
    <w:rsid w:val="00C82F87"/>
    <w:rsid w:val="00C8328D"/>
    <w:rsid w:val="00C83DDE"/>
    <w:rsid w:val="00C854FE"/>
    <w:rsid w:val="00C85518"/>
    <w:rsid w:val="00C85CA3"/>
    <w:rsid w:val="00C864FF"/>
    <w:rsid w:val="00C86DC3"/>
    <w:rsid w:val="00C86EC4"/>
    <w:rsid w:val="00C872FC"/>
    <w:rsid w:val="00C874CA"/>
    <w:rsid w:val="00C902AF"/>
    <w:rsid w:val="00C9043A"/>
    <w:rsid w:val="00C90D66"/>
    <w:rsid w:val="00C911B6"/>
    <w:rsid w:val="00C9170D"/>
    <w:rsid w:val="00C91848"/>
    <w:rsid w:val="00C9190D"/>
    <w:rsid w:val="00C9235F"/>
    <w:rsid w:val="00C92475"/>
    <w:rsid w:val="00C92CBF"/>
    <w:rsid w:val="00C92E82"/>
    <w:rsid w:val="00C93363"/>
    <w:rsid w:val="00C93D23"/>
    <w:rsid w:val="00C945B2"/>
    <w:rsid w:val="00C94CB4"/>
    <w:rsid w:val="00C954A8"/>
    <w:rsid w:val="00C954E8"/>
    <w:rsid w:val="00C9571F"/>
    <w:rsid w:val="00C958CB"/>
    <w:rsid w:val="00C9630E"/>
    <w:rsid w:val="00C9656B"/>
    <w:rsid w:val="00C966EE"/>
    <w:rsid w:val="00C96838"/>
    <w:rsid w:val="00C969DE"/>
    <w:rsid w:val="00C97141"/>
    <w:rsid w:val="00CA00C1"/>
    <w:rsid w:val="00CA02F7"/>
    <w:rsid w:val="00CA069A"/>
    <w:rsid w:val="00CA0E4B"/>
    <w:rsid w:val="00CA0E6B"/>
    <w:rsid w:val="00CA0F19"/>
    <w:rsid w:val="00CA11CF"/>
    <w:rsid w:val="00CA12E0"/>
    <w:rsid w:val="00CA157F"/>
    <w:rsid w:val="00CA1CAB"/>
    <w:rsid w:val="00CA1ED2"/>
    <w:rsid w:val="00CA2C28"/>
    <w:rsid w:val="00CA3044"/>
    <w:rsid w:val="00CA314C"/>
    <w:rsid w:val="00CA3434"/>
    <w:rsid w:val="00CA3EBC"/>
    <w:rsid w:val="00CA423C"/>
    <w:rsid w:val="00CA4CEE"/>
    <w:rsid w:val="00CA5C4A"/>
    <w:rsid w:val="00CA7090"/>
    <w:rsid w:val="00CA7162"/>
    <w:rsid w:val="00CA7474"/>
    <w:rsid w:val="00CA751F"/>
    <w:rsid w:val="00CA77EA"/>
    <w:rsid w:val="00CA7807"/>
    <w:rsid w:val="00CB06E4"/>
    <w:rsid w:val="00CB0707"/>
    <w:rsid w:val="00CB12E5"/>
    <w:rsid w:val="00CB1652"/>
    <w:rsid w:val="00CB2872"/>
    <w:rsid w:val="00CB2BBE"/>
    <w:rsid w:val="00CB2CA3"/>
    <w:rsid w:val="00CB2FE7"/>
    <w:rsid w:val="00CB30F8"/>
    <w:rsid w:val="00CB3951"/>
    <w:rsid w:val="00CB3BFC"/>
    <w:rsid w:val="00CB3FBB"/>
    <w:rsid w:val="00CB4073"/>
    <w:rsid w:val="00CB43C0"/>
    <w:rsid w:val="00CB4B34"/>
    <w:rsid w:val="00CB4D6C"/>
    <w:rsid w:val="00CB4F26"/>
    <w:rsid w:val="00CB5E32"/>
    <w:rsid w:val="00CB6221"/>
    <w:rsid w:val="00CB62A9"/>
    <w:rsid w:val="00CB646B"/>
    <w:rsid w:val="00CB6657"/>
    <w:rsid w:val="00CB6D72"/>
    <w:rsid w:val="00CB7853"/>
    <w:rsid w:val="00CC0C93"/>
    <w:rsid w:val="00CC0CC1"/>
    <w:rsid w:val="00CC16E9"/>
    <w:rsid w:val="00CC1C30"/>
    <w:rsid w:val="00CC22D6"/>
    <w:rsid w:val="00CC2332"/>
    <w:rsid w:val="00CC23A8"/>
    <w:rsid w:val="00CC2E77"/>
    <w:rsid w:val="00CC3115"/>
    <w:rsid w:val="00CC35B4"/>
    <w:rsid w:val="00CC4056"/>
    <w:rsid w:val="00CC418B"/>
    <w:rsid w:val="00CC5103"/>
    <w:rsid w:val="00CC5745"/>
    <w:rsid w:val="00CC628F"/>
    <w:rsid w:val="00CC70C5"/>
    <w:rsid w:val="00CD08AB"/>
    <w:rsid w:val="00CD1EE8"/>
    <w:rsid w:val="00CD2204"/>
    <w:rsid w:val="00CD2CF8"/>
    <w:rsid w:val="00CD3917"/>
    <w:rsid w:val="00CD47AE"/>
    <w:rsid w:val="00CD48A3"/>
    <w:rsid w:val="00CD4C5C"/>
    <w:rsid w:val="00CD4F1E"/>
    <w:rsid w:val="00CD559B"/>
    <w:rsid w:val="00CD55B0"/>
    <w:rsid w:val="00CD5A80"/>
    <w:rsid w:val="00CD62F8"/>
    <w:rsid w:val="00CD7E71"/>
    <w:rsid w:val="00CD7ED8"/>
    <w:rsid w:val="00CE0B3F"/>
    <w:rsid w:val="00CE0E76"/>
    <w:rsid w:val="00CE1034"/>
    <w:rsid w:val="00CE1179"/>
    <w:rsid w:val="00CE12CF"/>
    <w:rsid w:val="00CE29DE"/>
    <w:rsid w:val="00CE33AD"/>
    <w:rsid w:val="00CE38C4"/>
    <w:rsid w:val="00CE3A17"/>
    <w:rsid w:val="00CE3C0B"/>
    <w:rsid w:val="00CE3C4C"/>
    <w:rsid w:val="00CE3DCB"/>
    <w:rsid w:val="00CE4B18"/>
    <w:rsid w:val="00CE4CB0"/>
    <w:rsid w:val="00CE51B8"/>
    <w:rsid w:val="00CE5395"/>
    <w:rsid w:val="00CE68A9"/>
    <w:rsid w:val="00CE6B71"/>
    <w:rsid w:val="00CE7309"/>
    <w:rsid w:val="00CE7BDE"/>
    <w:rsid w:val="00CF0553"/>
    <w:rsid w:val="00CF0C81"/>
    <w:rsid w:val="00CF15BC"/>
    <w:rsid w:val="00CF15FC"/>
    <w:rsid w:val="00CF1CAD"/>
    <w:rsid w:val="00CF2308"/>
    <w:rsid w:val="00CF23E5"/>
    <w:rsid w:val="00CF2760"/>
    <w:rsid w:val="00CF305F"/>
    <w:rsid w:val="00CF3D15"/>
    <w:rsid w:val="00CF458A"/>
    <w:rsid w:val="00CF480B"/>
    <w:rsid w:val="00CF4E12"/>
    <w:rsid w:val="00CF4E5A"/>
    <w:rsid w:val="00CF5690"/>
    <w:rsid w:val="00CF5EC0"/>
    <w:rsid w:val="00CF6643"/>
    <w:rsid w:val="00CF68C0"/>
    <w:rsid w:val="00CF794B"/>
    <w:rsid w:val="00D00158"/>
    <w:rsid w:val="00D006DB"/>
    <w:rsid w:val="00D00E77"/>
    <w:rsid w:val="00D00FC8"/>
    <w:rsid w:val="00D010AE"/>
    <w:rsid w:val="00D018DD"/>
    <w:rsid w:val="00D01AD0"/>
    <w:rsid w:val="00D01C52"/>
    <w:rsid w:val="00D0205A"/>
    <w:rsid w:val="00D025EC"/>
    <w:rsid w:val="00D02D5E"/>
    <w:rsid w:val="00D032A6"/>
    <w:rsid w:val="00D0349D"/>
    <w:rsid w:val="00D03910"/>
    <w:rsid w:val="00D03D2C"/>
    <w:rsid w:val="00D04179"/>
    <w:rsid w:val="00D05504"/>
    <w:rsid w:val="00D0553D"/>
    <w:rsid w:val="00D06076"/>
    <w:rsid w:val="00D062DB"/>
    <w:rsid w:val="00D06EAA"/>
    <w:rsid w:val="00D074E5"/>
    <w:rsid w:val="00D07803"/>
    <w:rsid w:val="00D07815"/>
    <w:rsid w:val="00D07E57"/>
    <w:rsid w:val="00D1007F"/>
    <w:rsid w:val="00D1040B"/>
    <w:rsid w:val="00D109CD"/>
    <w:rsid w:val="00D10A55"/>
    <w:rsid w:val="00D11063"/>
    <w:rsid w:val="00D112CB"/>
    <w:rsid w:val="00D11356"/>
    <w:rsid w:val="00D11484"/>
    <w:rsid w:val="00D1169F"/>
    <w:rsid w:val="00D11743"/>
    <w:rsid w:val="00D117D8"/>
    <w:rsid w:val="00D11FF7"/>
    <w:rsid w:val="00D121A3"/>
    <w:rsid w:val="00D122DE"/>
    <w:rsid w:val="00D12F1A"/>
    <w:rsid w:val="00D13180"/>
    <w:rsid w:val="00D134C6"/>
    <w:rsid w:val="00D13832"/>
    <w:rsid w:val="00D138B8"/>
    <w:rsid w:val="00D13B96"/>
    <w:rsid w:val="00D13E3F"/>
    <w:rsid w:val="00D13EBE"/>
    <w:rsid w:val="00D148D7"/>
    <w:rsid w:val="00D14C59"/>
    <w:rsid w:val="00D15EFF"/>
    <w:rsid w:val="00D16232"/>
    <w:rsid w:val="00D16272"/>
    <w:rsid w:val="00D169FB"/>
    <w:rsid w:val="00D16A3E"/>
    <w:rsid w:val="00D16F30"/>
    <w:rsid w:val="00D17211"/>
    <w:rsid w:val="00D200DF"/>
    <w:rsid w:val="00D20615"/>
    <w:rsid w:val="00D20685"/>
    <w:rsid w:val="00D206DA"/>
    <w:rsid w:val="00D206ED"/>
    <w:rsid w:val="00D21BA6"/>
    <w:rsid w:val="00D21BB1"/>
    <w:rsid w:val="00D2215D"/>
    <w:rsid w:val="00D22389"/>
    <w:rsid w:val="00D22570"/>
    <w:rsid w:val="00D22747"/>
    <w:rsid w:val="00D22E2A"/>
    <w:rsid w:val="00D235D5"/>
    <w:rsid w:val="00D23860"/>
    <w:rsid w:val="00D23CE4"/>
    <w:rsid w:val="00D2470D"/>
    <w:rsid w:val="00D2559C"/>
    <w:rsid w:val="00D25C7F"/>
    <w:rsid w:val="00D275FE"/>
    <w:rsid w:val="00D30F28"/>
    <w:rsid w:val="00D3107F"/>
    <w:rsid w:val="00D31193"/>
    <w:rsid w:val="00D31A6A"/>
    <w:rsid w:val="00D3254F"/>
    <w:rsid w:val="00D32756"/>
    <w:rsid w:val="00D32F9B"/>
    <w:rsid w:val="00D33526"/>
    <w:rsid w:val="00D33A49"/>
    <w:rsid w:val="00D3409F"/>
    <w:rsid w:val="00D34A07"/>
    <w:rsid w:val="00D34C40"/>
    <w:rsid w:val="00D34FD8"/>
    <w:rsid w:val="00D3535F"/>
    <w:rsid w:val="00D357DE"/>
    <w:rsid w:val="00D35A49"/>
    <w:rsid w:val="00D35AE2"/>
    <w:rsid w:val="00D35D4F"/>
    <w:rsid w:val="00D36669"/>
    <w:rsid w:val="00D36EA6"/>
    <w:rsid w:val="00D3734A"/>
    <w:rsid w:val="00D37501"/>
    <w:rsid w:val="00D37F46"/>
    <w:rsid w:val="00D4005B"/>
    <w:rsid w:val="00D401A2"/>
    <w:rsid w:val="00D40EAB"/>
    <w:rsid w:val="00D411B9"/>
    <w:rsid w:val="00D4145A"/>
    <w:rsid w:val="00D4221B"/>
    <w:rsid w:val="00D42947"/>
    <w:rsid w:val="00D42C20"/>
    <w:rsid w:val="00D435C1"/>
    <w:rsid w:val="00D439C1"/>
    <w:rsid w:val="00D442B6"/>
    <w:rsid w:val="00D44A13"/>
    <w:rsid w:val="00D4550A"/>
    <w:rsid w:val="00D45610"/>
    <w:rsid w:val="00D4563A"/>
    <w:rsid w:val="00D45EBF"/>
    <w:rsid w:val="00D45FB9"/>
    <w:rsid w:val="00D46BEF"/>
    <w:rsid w:val="00D478F7"/>
    <w:rsid w:val="00D47A79"/>
    <w:rsid w:val="00D50A3F"/>
    <w:rsid w:val="00D50BF0"/>
    <w:rsid w:val="00D52086"/>
    <w:rsid w:val="00D52148"/>
    <w:rsid w:val="00D522FB"/>
    <w:rsid w:val="00D52ABF"/>
    <w:rsid w:val="00D53F63"/>
    <w:rsid w:val="00D53F82"/>
    <w:rsid w:val="00D5541C"/>
    <w:rsid w:val="00D55F6A"/>
    <w:rsid w:val="00D60F4A"/>
    <w:rsid w:val="00D61588"/>
    <w:rsid w:val="00D61618"/>
    <w:rsid w:val="00D619F1"/>
    <w:rsid w:val="00D61A04"/>
    <w:rsid w:val="00D61A45"/>
    <w:rsid w:val="00D61B2D"/>
    <w:rsid w:val="00D61E5C"/>
    <w:rsid w:val="00D629FB"/>
    <w:rsid w:val="00D62B4C"/>
    <w:rsid w:val="00D630D9"/>
    <w:rsid w:val="00D64399"/>
    <w:rsid w:val="00D646D6"/>
    <w:rsid w:val="00D651BF"/>
    <w:rsid w:val="00D65507"/>
    <w:rsid w:val="00D667F6"/>
    <w:rsid w:val="00D66B9A"/>
    <w:rsid w:val="00D66DC7"/>
    <w:rsid w:val="00D67388"/>
    <w:rsid w:val="00D673ED"/>
    <w:rsid w:val="00D6740C"/>
    <w:rsid w:val="00D67663"/>
    <w:rsid w:val="00D677AD"/>
    <w:rsid w:val="00D67898"/>
    <w:rsid w:val="00D67C7D"/>
    <w:rsid w:val="00D67E1B"/>
    <w:rsid w:val="00D67EAC"/>
    <w:rsid w:val="00D70267"/>
    <w:rsid w:val="00D726AD"/>
    <w:rsid w:val="00D72BD1"/>
    <w:rsid w:val="00D7439D"/>
    <w:rsid w:val="00D74936"/>
    <w:rsid w:val="00D7499E"/>
    <w:rsid w:val="00D74C97"/>
    <w:rsid w:val="00D756AB"/>
    <w:rsid w:val="00D75C74"/>
    <w:rsid w:val="00D75CDA"/>
    <w:rsid w:val="00D76106"/>
    <w:rsid w:val="00D76213"/>
    <w:rsid w:val="00D7674B"/>
    <w:rsid w:val="00D76B72"/>
    <w:rsid w:val="00D76F94"/>
    <w:rsid w:val="00D77354"/>
    <w:rsid w:val="00D7758C"/>
    <w:rsid w:val="00D80101"/>
    <w:rsid w:val="00D807FD"/>
    <w:rsid w:val="00D80CAC"/>
    <w:rsid w:val="00D813BB"/>
    <w:rsid w:val="00D815F5"/>
    <w:rsid w:val="00D81D20"/>
    <w:rsid w:val="00D81F85"/>
    <w:rsid w:val="00D836A4"/>
    <w:rsid w:val="00D83CDC"/>
    <w:rsid w:val="00D83D69"/>
    <w:rsid w:val="00D84004"/>
    <w:rsid w:val="00D84259"/>
    <w:rsid w:val="00D844D8"/>
    <w:rsid w:val="00D8466E"/>
    <w:rsid w:val="00D8487E"/>
    <w:rsid w:val="00D84A89"/>
    <w:rsid w:val="00D84AB8"/>
    <w:rsid w:val="00D85150"/>
    <w:rsid w:val="00D8583F"/>
    <w:rsid w:val="00D8596E"/>
    <w:rsid w:val="00D8615F"/>
    <w:rsid w:val="00D8643A"/>
    <w:rsid w:val="00D868AA"/>
    <w:rsid w:val="00D86E1D"/>
    <w:rsid w:val="00D8754D"/>
    <w:rsid w:val="00D87786"/>
    <w:rsid w:val="00D87FA3"/>
    <w:rsid w:val="00D90394"/>
    <w:rsid w:val="00D90B27"/>
    <w:rsid w:val="00D90B86"/>
    <w:rsid w:val="00D90DC5"/>
    <w:rsid w:val="00D91DC2"/>
    <w:rsid w:val="00D920C5"/>
    <w:rsid w:val="00D924AE"/>
    <w:rsid w:val="00D92914"/>
    <w:rsid w:val="00D947A7"/>
    <w:rsid w:val="00D9483C"/>
    <w:rsid w:val="00D949EC"/>
    <w:rsid w:val="00D94B13"/>
    <w:rsid w:val="00D94DC6"/>
    <w:rsid w:val="00D966D7"/>
    <w:rsid w:val="00D96F50"/>
    <w:rsid w:val="00D97658"/>
    <w:rsid w:val="00D97BA8"/>
    <w:rsid w:val="00DA0674"/>
    <w:rsid w:val="00DA09F0"/>
    <w:rsid w:val="00DA0A68"/>
    <w:rsid w:val="00DA0A93"/>
    <w:rsid w:val="00DA0D1B"/>
    <w:rsid w:val="00DA1454"/>
    <w:rsid w:val="00DA1B06"/>
    <w:rsid w:val="00DA1CE0"/>
    <w:rsid w:val="00DA27F3"/>
    <w:rsid w:val="00DA2ED8"/>
    <w:rsid w:val="00DA3594"/>
    <w:rsid w:val="00DA3AD0"/>
    <w:rsid w:val="00DA3F21"/>
    <w:rsid w:val="00DA449F"/>
    <w:rsid w:val="00DA454B"/>
    <w:rsid w:val="00DA4659"/>
    <w:rsid w:val="00DA489F"/>
    <w:rsid w:val="00DA4ACE"/>
    <w:rsid w:val="00DA53CC"/>
    <w:rsid w:val="00DA54C6"/>
    <w:rsid w:val="00DA559A"/>
    <w:rsid w:val="00DA565F"/>
    <w:rsid w:val="00DA596B"/>
    <w:rsid w:val="00DA5EE1"/>
    <w:rsid w:val="00DA67D3"/>
    <w:rsid w:val="00DA6AFB"/>
    <w:rsid w:val="00DA6C21"/>
    <w:rsid w:val="00DA6D33"/>
    <w:rsid w:val="00DA6E83"/>
    <w:rsid w:val="00DA7851"/>
    <w:rsid w:val="00DA7C1F"/>
    <w:rsid w:val="00DB04A3"/>
    <w:rsid w:val="00DB0A6C"/>
    <w:rsid w:val="00DB20D9"/>
    <w:rsid w:val="00DB2193"/>
    <w:rsid w:val="00DB2770"/>
    <w:rsid w:val="00DB2BAF"/>
    <w:rsid w:val="00DB339E"/>
    <w:rsid w:val="00DB363F"/>
    <w:rsid w:val="00DB3BEE"/>
    <w:rsid w:val="00DB3C40"/>
    <w:rsid w:val="00DB4592"/>
    <w:rsid w:val="00DB45D6"/>
    <w:rsid w:val="00DB565D"/>
    <w:rsid w:val="00DB5C2F"/>
    <w:rsid w:val="00DB5D33"/>
    <w:rsid w:val="00DB6067"/>
    <w:rsid w:val="00DB6927"/>
    <w:rsid w:val="00DB6BE7"/>
    <w:rsid w:val="00DB790A"/>
    <w:rsid w:val="00DB7AAA"/>
    <w:rsid w:val="00DC0040"/>
    <w:rsid w:val="00DC0048"/>
    <w:rsid w:val="00DC036F"/>
    <w:rsid w:val="00DC03D8"/>
    <w:rsid w:val="00DC0A18"/>
    <w:rsid w:val="00DC0D10"/>
    <w:rsid w:val="00DC222A"/>
    <w:rsid w:val="00DC2C0F"/>
    <w:rsid w:val="00DC2C9C"/>
    <w:rsid w:val="00DC37EB"/>
    <w:rsid w:val="00DC45C4"/>
    <w:rsid w:val="00DC4BA3"/>
    <w:rsid w:val="00DC50E3"/>
    <w:rsid w:val="00DC5257"/>
    <w:rsid w:val="00DC54C4"/>
    <w:rsid w:val="00DC5A31"/>
    <w:rsid w:val="00DC5F55"/>
    <w:rsid w:val="00DC6A36"/>
    <w:rsid w:val="00DC6A95"/>
    <w:rsid w:val="00DC6C61"/>
    <w:rsid w:val="00DC71B9"/>
    <w:rsid w:val="00DC72E4"/>
    <w:rsid w:val="00DC7C7E"/>
    <w:rsid w:val="00DD075A"/>
    <w:rsid w:val="00DD0DF2"/>
    <w:rsid w:val="00DD0FBB"/>
    <w:rsid w:val="00DD1541"/>
    <w:rsid w:val="00DD16E1"/>
    <w:rsid w:val="00DD17A8"/>
    <w:rsid w:val="00DD1BAE"/>
    <w:rsid w:val="00DD1DC7"/>
    <w:rsid w:val="00DD1E9F"/>
    <w:rsid w:val="00DD21C2"/>
    <w:rsid w:val="00DD2804"/>
    <w:rsid w:val="00DD2B9B"/>
    <w:rsid w:val="00DD3916"/>
    <w:rsid w:val="00DD4E6E"/>
    <w:rsid w:val="00DD5308"/>
    <w:rsid w:val="00DD5D69"/>
    <w:rsid w:val="00DD61B2"/>
    <w:rsid w:val="00DD7BD1"/>
    <w:rsid w:val="00DD7DE7"/>
    <w:rsid w:val="00DD7EF0"/>
    <w:rsid w:val="00DE0D84"/>
    <w:rsid w:val="00DE1133"/>
    <w:rsid w:val="00DE1220"/>
    <w:rsid w:val="00DE1251"/>
    <w:rsid w:val="00DE1547"/>
    <w:rsid w:val="00DE1571"/>
    <w:rsid w:val="00DE260D"/>
    <w:rsid w:val="00DE271B"/>
    <w:rsid w:val="00DE2833"/>
    <w:rsid w:val="00DE2908"/>
    <w:rsid w:val="00DE2CCD"/>
    <w:rsid w:val="00DE34C7"/>
    <w:rsid w:val="00DE38F6"/>
    <w:rsid w:val="00DE41E2"/>
    <w:rsid w:val="00DE435D"/>
    <w:rsid w:val="00DE48A1"/>
    <w:rsid w:val="00DE4BDE"/>
    <w:rsid w:val="00DE5F95"/>
    <w:rsid w:val="00DE6290"/>
    <w:rsid w:val="00DE6335"/>
    <w:rsid w:val="00DE65D0"/>
    <w:rsid w:val="00DE6625"/>
    <w:rsid w:val="00DE6AF9"/>
    <w:rsid w:val="00DE73E4"/>
    <w:rsid w:val="00DE763E"/>
    <w:rsid w:val="00DF011F"/>
    <w:rsid w:val="00DF0F89"/>
    <w:rsid w:val="00DF1125"/>
    <w:rsid w:val="00DF1166"/>
    <w:rsid w:val="00DF1A54"/>
    <w:rsid w:val="00DF1A57"/>
    <w:rsid w:val="00DF2084"/>
    <w:rsid w:val="00DF248E"/>
    <w:rsid w:val="00DF25E9"/>
    <w:rsid w:val="00DF2698"/>
    <w:rsid w:val="00DF2A26"/>
    <w:rsid w:val="00DF3250"/>
    <w:rsid w:val="00DF3C86"/>
    <w:rsid w:val="00DF525A"/>
    <w:rsid w:val="00DF54EC"/>
    <w:rsid w:val="00DF573E"/>
    <w:rsid w:val="00DF5D18"/>
    <w:rsid w:val="00DF5FC2"/>
    <w:rsid w:val="00DF6FB0"/>
    <w:rsid w:val="00DF7273"/>
    <w:rsid w:val="00DF72AA"/>
    <w:rsid w:val="00DF7735"/>
    <w:rsid w:val="00DF7934"/>
    <w:rsid w:val="00DF7A7B"/>
    <w:rsid w:val="00E0051C"/>
    <w:rsid w:val="00E00662"/>
    <w:rsid w:val="00E008C4"/>
    <w:rsid w:val="00E01B53"/>
    <w:rsid w:val="00E01EEF"/>
    <w:rsid w:val="00E01F3E"/>
    <w:rsid w:val="00E023AB"/>
    <w:rsid w:val="00E02424"/>
    <w:rsid w:val="00E03452"/>
    <w:rsid w:val="00E039CD"/>
    <w:rsid w:val="00E0446E"/>
    <w:rsid w:val="00E0496F"/>
    <w:rsid w:val="00E04EE4"/>
    <w:rsid w:val="00E06602"/>
    <w:rsid w:val="00E0789C"/>
    <w:rsid w:val="00E1011F"/>
    <w:rsid w:val="00E1061C"/>
    <w:rsid w:val="00E10D29"/>
    <w:rsid w:val="00E1103B"/>
    <w:rsid w:val="00E11769"/>
    <w:rsid w:val="00E11BCE"/>
    <w:rsid w:val="00E11C5B"/>
    <w:rsid w:val="00E13486"/>
    <w:rsid w:val="00E13B1F"/>
    <w:rsid w:val="00E13E50"/>
    <w:rsid w:val="00E14655"/>
    <w:rsid w:val="00E14855"/>
    <w:rsid w:val="00E14B44"/>
    <w:rsid w:val="00E14F84"/>
    <w:rsid w:val="00E15525"/>
    <w:rsid w:val="00E15CD8"/>
    <w:rsid w:val="00E15DC9"/>
    <w:rsid w:val="00E15F1D"/>
    <w:rsid w:val="00E160A5"/>
    <w:rsid w:val="00E1619A"/>
    <w:rsid w:val="00E164C7"/>
    <w:rsid w:val="00E16D31"/>
    <w:rsid w:val="00E1737A"/>
    <w:rsid w:val="00E1775D"/>
    <w:rsid w:val="00E20399"/>
    <w:rsid w:val="00E20E21"/>
    <w:rsid w:val="00E21318"/>
    <w:rsid w:val="00E213A8"/>
    <w:rsid w:val="00E22325"/>
    <w:rsid w:val="00E22538"/>
    <w:rsid w:val="00E2369A"/>
    <w:rsid w:val="00E236BF"/>
    <w:rsid w:val="00E2422E"/>
    <w:rsid w:val="00E244EF"/>
    <w:rsid w:val="00E24876"/>
    <w:rsid w:val="00E250F2"/>
    <w:rsid w:val="00E2536C"/>
    <w:rsid w:val="00E260CA"/>
    <w:rsid w:val="00E262D1"/>
    <w:rsid w:val="00E27600"/>
    <w:rsid w:val="00E27ADD"/>
    <w:rsid w:val="00E27CFF"/>
    <w:rsid w:val="00E30132"/>
    <w:rsid w:val="00E30A5B"/>
    <w:rsid w:val="00E30D31"/>
    <w:rsid w:val="00E31D3D"/>
    <w:rsid w:val="00E32437"/>
    <w:rsid w:val="00E32FA7"/>
    <w:rsid w:val="00E3353C"/>
    <w:rsid w:val="00E339D2"/>
    <w:rsid w:val="00E33C80"/>
    <w:rsid w:val="00E33CB5"/>
    <w:rsid w:val="00E35324"/>
    <w:rsid w:val="00E357E8"/>
    <w:rsid w:val="00E35998"/>
    <w:rsid w:val="00E35A58"/>
    <w:rsid w:val="00E35AD6"/>
    <w:rsid w:val="00E35AED"/>
    <w:rsid w:val="00E362EE"/>
    <w:rsid w:val="00E365E5"/>
    <w:rsid w:val="00E36C6F"/>
    <w:rsid w:val="00E37439"/>
    <w:rsid w:val="00E374F1"/>
    <w:rsid w:val="00E37A23"/>
    <w:rsid w:val="00E403C1"/>
    <w:rsid w:val="00E40731"/>
    <w:rsid w:val="00E40891"/>
    <w:rsid w:val="00E41FD6"/>
    <w:rsid w:val="00E4228E"/>
    <w:rsid w:val="00E429A2"/>
    <w:rsid w:val="00E431D7"/>
    <w:rsid w:val="00E43456"/>
    <w:rsid w:val="00E436FB"/>
    <w:rsid w:val="00E4374B"/>
    <w:rsid w:val="00E43AD7"/>
    <w:rsid w:val="00E43E47"/>
    <w:rsid w:val="00E43EF3"/>
    <w:rsid w:val="00E44525"/>
    <w:rsid w:val="00E45D66"/>
    <w:rsid w:val="00E46A35"/>
    <w:rsid w:val="00E479C1"/>
    <w:rsid w:val="00E47B14"/>
    <w:rsid w:val="00E50353"/>
    <w:rsid w:val="00E5053D"/>
    <w:rsid w:val="00E51A29"/>
    <w:rsid w:val="00E52462"/>
    <w:rsid w:val="00E52DBC"/>
    <w:rsid w:val="00E53482"/>
    <w:rsid w:val="00E53AC3"/>
    <w:rsid w:val="00E54090"/>
    <w:rsid w:val="00E5562C"/>
    <w:rsid w:val="00E556AE"/>
    <w:rsid w:val="00E5573A"/>
    <w:rsid w:val="00E55D80"/>
    <w:rsid w:val="00E565BD"/>
    <w:rsid w:val="00E565D7"/>
    <w:rsid w:val="00E56B48"/>
    <w:rsid w:val="00E56D11"/>
    <w:rsid w:val="00E56DFE"/>
    <w:rsid w:val="00E575AB"/>
    <w:rsid w:val="00E6064E"/>
    <w:rsid w:val="00E6068A"/>
    <w:rsid w:val="00E60DF9"/>
    <w:rsid w:val="00E60E1D"/>
    <w:rsid w:val="00E613DF"/>
    <w:rsid w:val="00E613E6"/>
    <w:rsid w:val="00E61847"/>
    <w:rsid w:val="00E61EF8"/>
    <w:rsid w:val="00E622DA"/>
    <w:rsid w:val="00E62FFC"/>
    <w:rsid w:val="00E63298"/>
    <w:rsid w:val="00E637C3"/>
    <w:rsid w:val="00E63B63"/>
    <w:rsid w:val="00E6482C"/>
    <w:rsid w:val="00E6492F"/>
    <w:rsid w:val="00E65117"/>
    <w:rsid w:val="00E6612C"/>
    <w:rsid w:val="00E66276"/>
    <w:rsid w:val="00E66650"/>
    <w:rsid w:val="00E66BFD"/>
    <w:rsid w:val="00E66C09"/>
    <w:rsid w:val="00E66C97"/>
    <w:rsid w:val="00E66EE4"/>
    <w:rsid w:val="00E67177"/>
    <w:rsid w:val="00E67782"/>
    <w:rsid w:val="00E67A85"/>
    <w:rsid w:val="00E67ADE"/>
    <w:rsid w:val="00E67B42"/>
    <w:rsid w:val="00E67BAC"/>
    <w:rsid w:val="00E706F4"/>
    <w:rsid w:val="00E707DB"/>
    <w:rsid w:val="00E7082B"/>
    <w:rsid w:val="00E70CCD"/>
    <w:rsid w:val="00E70D7A"/>
    <w:rsid w:val="00E71270"/>
    <w:rsid w:val="00E71402"/>
    <w:rsid w:val="00E72130"/>
    <w:rsid w:val="00E72218"/>
    <w:rsid w:val="00E72CAE"/>
    <w:rsid w:val="00E732D2"/>
    <w:rsid w:val="00E749F5"/>
    <w:rsid w:val="00E74C26"/>
    <w:rsid w:val="00E7587C"/>
    <w:rsid w:val="00E75D4D"/>
    <w:rsid w:val="00E76575"/>
    <w:rsid w:val="00E76D71"/>
    <w:rsid w:val="00E7732F"/>
    <w:rsid w:val="00E77A1C"/>
    <w:rsid w:val="00E77C6E"/>
    <w:rsid w:val="00E77E04"/>
    <w:rsid w:val="00E80080"/>
    <w:rsid w:val="00E8058F"/>
    <w:rsid w:val="00E80F92"/>
    <w:rsid w:val="00E81427"/>
    <w:rsid w:val="00E81C67"/>
    <w:rsid w:val="00E8225D"/>
    <w:rsid w:val="00E824CE"/>
    <w:rsid w:val="00E82A15"/>
    <w:rsid w:val="00E82A4F"/>
    <w:rsid w:val="00E82B9A"/>
    <w:rsid w:val="00E82D7C"/>
    <w:rsid w:val="00E8339A"/>
    <w:rsid w:val="00E83CC2"/>
    <w:rsid w:val="00E84546"/>
    <w:rsid w:val="00E84D52"/>
    <w:rsid w:val="00E857B4"/>
    <w:rsid w:val="00E858D2"/>
    <w:rsid w:val="00E85ACA"/>
    <w:rsid w:val="00E85CD2"/>
    <w:rsid w:val="00E86921"/>
    <w:rsid w:val="00E86C82"/>
    <w:rsid w:val="00E87845"/>
    <w:rsid w:val="00E87AB2"/>
    <w:rsid w:val="00E87AD1"/>
    <w:rsid w:val="00E87D90"/>
    <w:rsid w:val="00E90C20"/>
    <w:rsid w:val="00E91198"/>
    <w:rsid w:val="00E9230D"/>
    <w:rsid w:val="00E92662"/>
    <w:rsid w:val="00E93220"/>
    <w:rsid w:val="00E936A8"/>
    <w:rsid w:val="00E937C2"/>
    <w:rsid w:val="00E96453"/>
    <w:rsid w:val="00E96A39"/>
    <w:rsid w:val="00E96A5C"/>
    <w:rsid w:val="00E96A83"/>
    <w:rsid w:val="00E96BF8"/>
    <w:rsid w:val="00E9713A"/>
    <w:rsid w:val="00E9718A"/>
    <w:rsid w:val="00E97B80"/>
    <w:rsid w:val="00EA066B"/>
    <w:rsid w:val="00EA0696"/>
    <w:rsid w:val="00EA0737"/>
    <w:rsid w:val="00EA0DB6"/>
    <w:rsid w:val="00EA117F"/>
    <w:rsid w:val="00EA11DF"/>
    <w:rsid w:val="00EA14B6"/>
    <w:rsid w:val="00EA16A7"/>
    <w:rsid w:val="00EA16F2"/>
    <w:rsid w:val="00EA1938"/>
    <w:rsid w:val="00EA1D75"/>
    <w:rsid w:val="00EA219E"/>
    <w:rsid w:val="00EA2630"/>
    <w:rsid w:val="00EA3090"/>
    <w:rsid w:val="00EA321B"/>
    <w:rsid w:val="00EA34BC"/>
    <w:rsid w:val="00EA3951"/>
    <w:rsid w:val="00EA3AE1"/>
    <w:rsid w:val="00EA4690"/>
    <w:rsid w:val="00EA4696"/>
    <w:rsid w:val="00EA46F0"/>
    <w:rsid w:val="00EA4767"/>
    <w:rsid w:val="00EA598C"/>
    <w:rsid w:val="00EA5CF0"/>
    <w:rsid w:val="00EA6516"/>
    <w:rsid w:val="00EA6A73"/>
    <w:rsid w:val="00EA6C08"/>
    <w:rsid w:val="00EA6DA0"/>
    <w:rsid w:val="00EA7155"/>
    <w:rsid w:val="00EA74B6"/>
    <w:rsid w:val="00EB0B39"/>
    <w:rsid w:val="00EB0C80"/>
    <w:rsid w:val="00EB0D38"/>
    <w:rsid w:val="00EB101D"/>
    <w:rsid w:val="00EB1F54"/>
    <w:rsid w:val="00EB230C"/>
    <w:rsid w:val="00EB2BA9"/>
    <w:rsid w:val="00EB2E7F"/>
    <w:rsid w:val="00EB361C"/>
    <w:rsid w:val="00EB3B5D"/>
    <w:rsid w:val="00EB3F8B"/>
    <w:rsid w:val="00EB4002"/>
    <w:rsid w:val="00EB4350"/>
    <w:rsid w:val="00EB4C93"/>
    <w:rsid w:val="00EB4D4A"/>
    <w:rsid w:val="00EB4E09"/>
    <w:rsid w:val="00EB5422"/>
    <w:rsid w:val="00EB565B"/>
    <w:rsid w:val="00EB589F"/>
    <w:rsid w:val="00EB59B9"/>
    <w:rsid w:val="00EB5CD0"/>
    <w:rsid w:val="00EB5E85"/>
    <w:rsid w:val="00EB623C"/>
    <w:rsid w:val="00EB63FC"/>
    <w:rsid w:val="00EB664B"/>
    <w:rsid w:val="00EB692A"/>
    <w:rsid w:val="00EB6ADF"/>
    <w:rsid w:val="00EB6D9C"/>
    <w:rsid w:val="00EB6EA1"/>
    <w:rsid w:val="00EB7AD5"/>
    <w:rsid w:val="00EC017D"/>
    <w:rsid w:val="00EC04C5"/>
    <w:rsid w:val="00EC0C1A"/>
    <w:rsid w:val="00EC112F"/>
    <w:rsid w:val="00EC2ABC"/>
    <w:rsid w:val="00EC2DDE"/>
    <w:rsid w:val="00EC3168"/>
    <w:rsid w:val="00EC4104"/>
    <w:rsid w:val="00EC4142"/>
    <w:rsid w:val="00EC5B21"/>
    <w:rsid w:val="00EC5BED"/>
    <w:rsid w:val="00EC625F"/>
    <w:rsid w:val="00EC6374"/>
    <w:rsid w:val="00EC667F"/>
    <w:rsid w:val="00EC67F6"/>
    <w:rsid w:val="00EC6F79"/>
    <w:rsid w:val="00ED0B0F"/>
    <w:rsid w:val="00ED0E41"/>
    <w:rsid w:val="00ED1539"/>
    <w:rsid w:val="00ED301D"/>
    <w:rsid w:val="00ED30EA"/>
    <w:rsid w:val="00ED3393"/>
    <w:rsid w:val="00ED3846"/>
    <w:rsid w:val="00ED3858"/>
    <w:rsid w:val="00ED39A8"/>
    <w:rsid w:val="00ED4200"/>
    <w:rsid w:val="00ED4B0D"/>
    <w:rsid w:val="00ED51EC"/>
    <w:rsid w:val="00ED6113"/>
    <w:rsid w:val="00ED620B"/>
    <w:rsid w:val="00ED64C4"/>
    <w:rsid w:val="00ED66DE"/>
    <w:rsid w:val="00ED754D"/>
    <w:rsid w:val="00EE04E6"/>
    <w:rsid w:val="00EE1485"/>
    <w:rsid w:val="00EE16F6"/>
    <w:rsid w:val="00EE1A9D"/>
    <w:rsid w:val="00EE1C38"/>
    <w:rsid w:val="00EE22B3"/>
    <w:rsid w:val="00EE26CF"/>
    <w:rsid w:val="00EE26F9"/>
    <w:rsid w:val="00EE290B"/>
    <w:rsid w:val="00EE290E"/>
    <w:rsid w:val="00EE2A13"/>
    <w:rsid w:val="00EE2AA4"/>
    <w:rsid w:val="00EE2DD5"/>
    <w:rsid w:val="00EE33F4"/>
    <w:rsid w:val="00EE3A3E"/>
    <w:rsid w:val="00EE4A4A"/>
    <w:rsid w:val="00EE4CB6"/>
    <w:rsid w:val="00EE504D"/>
    <w:rsid w:val="00EE5185"/>
    <w:rsid w:val="00EE5A6F"/>
    <w:rsid w:val="00EE5A88"/>
    <w:rsid w:val="00EE6102"/>
    <w:rsid w:val="00EE628D"/>
    <w:rsid w:val="00EE62A6"/>
    <w:rsid w:val="00EE68F4"/>
    <w:rsid w:val="00EE6910"/>
    <w:rsid w:val="00EE69C5"/>
    <w:rsid w:val="00EE7429"/>
    <w:rsid w:val="00EE75CD"/>
    <w:rsid w:val="00EE7647"/>
    <w:rsid w:val="00EE7924"/>
    <w:rsid w:val="00EE7D7D"/>
    <w:rsid w:val="00EF0335"/>
    <w:rsid w:val="00EF0423"/>
    <w:rsid w:val="00EF05EE"/>
    <w:rsid w:val="00EF10B9"/>
    <w:rsid w:val="00EF115E"/>
    <w:rsid w:val="00EF2889"/>
    <w:rsid w:val="00EF2AB6"/>
    <w:rsid w:val="00EF2CA0"/>
    <w:rsid w:val="00EF2EC0"/>
    <w:rsid w:val="00EF33E3"/>
    <w:rsid w:val="00EF3531"/>
    <w:rsid w:val="00EF35A1"/>
    <w:rsid w:val="00EF35C6"/>
    <w:rsid w:val="00EF3679"/>
    <w:rsid w:val="00EF39E9"/>
    <w:rsid w:val="00EF3A13"/>
    <w:rsid w:val="00EF40EE"/>
    <w:rsid w:val="00EF44EF"/>
    <w:rsid w:val="00EF47B4"/>
    <w:rsid w:val="00EF4AC2"/>
    <w:rsid w:val="00EF6431"/>
    <w:rsid w:val="00EF6B30"/>
    <w:rsid w:val="00EF6BFA"/>
    <w:rsid w:val="00EF7B0D"/>
    <w:rsid w:val="00EF7E04"/>
    <w:rsid w:val="00F0051B"/>
    <w:rsid w:val="00F01AF2"/>
    <w:rsid w:val="00F01B73"/>
    <w:rsid w:val="00F020C5"/>
    <w:rsid w:val="00F0258D"/>
    <w:rsid w:val="00F030A3"/>
    <w:rsid w:val="00F03356"/>
    <w:rsid w:val="00F04002"/>
    <w:rsid w:val="00F0521D"/>
    <w:rsid w:val="00F057D2"/>
    <w:rsid w:val="00F058A7"/>
    <w:rsid w:val="00F058C0"/>
    <w:rsid w:val="00F065C6"/>
    <w:rsid w:val="00F065F2"/>
    <w:rsid w:val="00F06D43"/>
    <w:rsid w:val="00F070D4"/>
    <w:rsid w:val="00F078B7"/>
    <w:rsid w:val="00F07E7B"/>
    <w:rsid w:val="00F106C5"/>
    <w:rsid w:val="00F11369"/>
    <w:rsid w:val="00F11493"/>
    <w:rsid w:val="00F119CB"/>
    <w:rsid w:val="00F12295"/>
    <w:rsid w:val="00F12847"/>
    <w:rsid w:val="00F13274"/>
    <w:rsid w:val="00F13326"/>
    <w:rsid w:val="00F13436"/>
    <w:rsid w:val="00F138D4"/>
    <w:rsid w:val="00F13956"/>
    <w:rsid w:val="00F1591D"/>
    <w:rsid w:val="00F1609C"/>
    <w:rsid w:val="00F16115"/>
    <w:rsid w:val="00F168DA"/>
    <w:rsid w:val="00F16F9A"/>
    <w:rsid w:val="00F17636"/>
    <w:rsid w:val="00F17838"/>
    <w:rsid w:val="00F17D29"/>
    <w:rsid w:val="00F2064F"/>
    <w:rsid w:val="00F206B8"/>
    <w:rsid w:val="00F20D44"/>
    <w:rsid w:val="00F21B18"/>
    <w:rsid w:val="00F21DC1"/>
    <w:rsid w:val="00F21E0F"/>
    <w:rsid w:val="00F22DEC"/>
    <w:rsid w:val="00F23127"/>
    <w:rsid w:val="00F23B27"/>
    <w:rsid w:val="00F24075"/>
    <w:rsid w:val="00F24D0E"/>
    <w:rsid w:val="00F24DB0"/>
    <w:rsid w:val="00F250EB"/>
    <w:rsid w:val="00F2531B"/>
    <w:rsid w:val="00F2542F"/>
    <w:rsid w:val="00F264E6"/>
    <w:rsid w:val="00F26515"/>
    <w:rsid w:val="00F26C1C"/>
    <w:rsid w:val="00F275AF"/>
    <w:rsid w:val="00F27B33"/>
    <w:rsid w:val="00F27CFA"/>
    <w:rsid w:val="00F27E87"/>
    <w:rsid w:val="00F31E39"/>
    <w:rsid w:val="00F32010"/>
    <w:rsid w:val="00F3255D"/>
    <w:rsid w:val="00F32BCF"/>
    <w:rsid w:val="00F33164"/>
    <w:rsid w:val="00F335B2"/>
    <w:rsid w:val="00F33FA3"/>
    <w:rsid w:val="00F3400D"/>
    <w:rsid w:val="00F34426"/>
    <w:rsid w:val="00F34F81"/>
    <w:rsid w:val="00F35A03"/>
    <w:rsid w:val="00F35A28"/>
    <w:rsid w:val="00F35C1D"/>
    <w:rsid w:val="00F35CA5"/>
    <w:rsid w:val="00F36054"/>
    <w:rsid w:val="00F37151"/>
    <w:rsid w:val="00F377E2"/>
    <w:rsid w:val="00F40210"/>
    <w:rsid w:val="00F406F6"/>
    <w:rsid w:val="00F40719"/>
    <w:rsid w:val="00F40964"/>
    <w:rsid w:val="00F40EFE"/>
    <w:rsid w:val="00F40F5C"/>
    <w:rsid w:val="00F4104A"/>
    <w:rsid w:val="00F42929"/>
    <w:rsid w:val="00F42BCD"/>
    <w:rsid w:val="00F431E5"/>
    <w:rsid w:val="00F436EB"/>
    <w:rsid w:val="00F43CC6"/>
    <w:rsid w:val="00F43DBE"/>
    <w:rsid w:val="00F4408A"/>
    <w:rsid w:val="00F44674"/>
    <w:rsid w:val="00F44984"/>
    <w:rsid w:val="00F44F60"/>
    <w:rsid w:val="00F4682F"/>
    <w:rsid w:val="00F46B43"/>
    <w:rsid w:val="00F46CF2"/>
    <w:rsid w:val="00F46E74"/>
    <w:rsid w:val="00F46FD8"/>
    <w:rsid w:val="00F4716D"/>
    <w:rsid w:val="00F476AC"/>
    <w:rsid w:val="00F4777B"/>
    <w:rsid w:val="00F47E34"/>
    <w:rsid w:val="00F47EB0"/>
    <w:rsid w:val="00F5004A"/>
    <w:rsid w:val="00F50B88"/>
    <w:rsid w:val="00F5114E"/>
    <w:rsid w:val="00F51F63"/>
    <w:rsid w:val="00F521E3"/>
    <w:rsid w:val="00F5225C"/>
    <w:rsid w:val="00F52D4A"/>
    <w:rsid w:val="00F53105"/>
    <w:rsid w:val="00F53470"/>
    <w:rsid w:val="00F53CDB"/>
    <w:rsid w:val="00F54538"/>
    <w:rsid w:val="00F54937"/>
    <w:rsid w:val="00F54A81"/>
    <w:rsid w:val="00F54EC8"/>
    <w:rsid w:val="00F550A8"/>
    <w:rsid w:val="00F55106"/>
    <w:rsid w:val="00F55146"/>
    <w:rsid w:val="00F55265"/>
    <w:rsid w:val="00F55721"/>
    <w:rsid w:val="00F5595B"/>
    <w:rsid w:val="00F55FDF"/>
    <w:rsid w:val="00F56641"/>
    <w:rsid w:val="00F567CE"/>
    <w:rsid w:val="00F56C38"/>
    <w:rsid w:val="00F5704A"/>
    <w:rsid w:val="00F577DE"/>
    <w:rsid w:val="00F579D3"/>
    <w:rsid w:val="00F57A75"/>
    <w:rsid w:val="00F57B84"/>
    <w:rsid w:val="00F606D5"/>
    <w:rsid w:val="00F60AE1"/>
    <w:rsid w:val="00F60EC6"/>
    <w:rsid w:val="00F60F99"/>
    <w:rsid w:val="00F6126E"/>
    <w:rsid w:val="00F61FE9"/>
    <w:rsid w:val="00F622BE"/>
    <w:rsid w:val="00F6334E"/>
    <w:rsid w:val="00F63782"/>
    <w:rsid w:val="00F646E5"/>
    <w:rsid w:val="00F648EE"/>
    <w:rsid w:val="00F65642"/>
    <w:rsid w:val="00F6573B"/>
    <w:rsid w:val="00F65943"/>
    <w:rsid w:val="00F66092"/>
    <w:rsid w:val="00F66292"/>
    <w:rsid w:val="00F66628"/>
    <w:rsid w:val="00F67415"/>
    <w:rsid w:val="00F7013B"/>
    <w:rsid w:val="00F70223"/>
    <w:rsid w:val="00F70327"/>
    <w:rsid w:val="00F7057A"/>
    <w:rsid w:val="00F706CB"/>
    <w:rsid w:val="00F70DDB"/>
    <w:rsid w:val="00F710ED"/>
    <w:rsid w:val="00F71615"/>
    <w:rsid w:val="00F71676"/>
    <w:rsid w:val="00F71A8A"/>
    <w:rsid w:val="00F729F1"/>
    <w:rsid w:val="00F735FD"/>
    <w:rsid w:val="00F737DE"/>
    <w:rsid w:val="00F7388B"/>
    <w:rsid w:val="00F73E44"/>
    <w:rsid w:val="00F743C5"/>
    <w:rsid w:val="00F74433"/>
    <w:rsid w:val="00F7459A"/>
    <w:rsid w:val="00F74CA3"/>
    <w:rsid w:val="00F75BC1"/>
    <w:rsid w:val="00F75F46"/>
    <w:rsid w:val="00F76267"/>
    <w:rsid w:val="00F76ACA"/>
    <w:rsid w:val="00F77261"/>
    <w:rsid w:val="00F77377"/>
    <w:rsid w:val="00F77B20"/>
    <w:rsid w:val="00F80E5D"/>
    <w:rsid w:val="00F8115E"/>
    <w:rsid w:val="00F81B4D"/>
    <w:rsid w:val="00F820E2"/>
    <w:rsid w:val="00F836E6"/>
    <w:rsid w:val="00F84398"/>
    <w:rsid w:val="00F84D0F"/>
    <w:rsid w:val="00F856AB"/>
    <w:rsid w:val="00F857EA"/>
    <w:rsid w:val="00F86493"/>
    <w:rsid w:val="00F87158"/>
    <w:rsid w:val="00F878D2"/>
    <w:rsid w:val="00F909DD"/>
    <w:rsid w:val="00F90EA9"/>
    <w:rsid w:val="00F91583"/>
    <w:rsid w:val="00F9200D"/>
    <w:rsid w:val="00F92392"/>
    <w:rsid w:val="00F92956"/>
    <w:rsid w:val="00F92D61"/>
    <w:rsid w:val="00F936A0"/>
    <w:rsid w:val="00F9372D"/>
    <w:rsid w:val="00F93A27"/>
    <w:rsid w:val="00F93A2F"/>
    <w:rsid w:val="00F94482"/>
    <w:rsid w:val="00F94674"/>
    <w:rsid w:val="00F94F39"/>
    <w:rsid w:val="00F95E25"/>
    <w:rsid w:val="00F95EB4"/>
    <w:rsid w:val="00F96507"/>
    <w:rsid w:val="00F96571"/>
    <w:rsid w:val="00F9682B"/>
    <w:rsid w:val="00F97948"/>
    <w:rsid w:val="00FA00E4"/>
    <w:rsid w:val="00FA07B7"/>
    <w:rsid w:val="00FA0849"/>
    <w:rsid w:val="00FA08D0"/>
    <w:rsid w:val="00FA09B9"/>
    <w:rsid w:val="00FA0A26"/>
    <w:rsid w:val="00FA10F2"/>
    <w:rsid w:val="00FA12FA"/>
    <w:rsid w:val="00FA2D53"/>
    <w:rsid w:val="00FA2F44"/>
    <w:rsid w:val="00FA40CD"/>
    <w:rsid w:val="00FA4B94"/>
    <w:rsid w:val="00FA4F26"/>
    <w:rsid w:val="00FA4F28"/>
    <w:rsid w:val="00FA50E6"/>
    <w:rsid w:val="00FA51F1"/>
    <w:rsid w:val="00FA52EA"/>
    <w:rsid w:val="00FA5C14"/>
    <w:rsid w:val="00FA5D67"/>
    <w:rsid w:val="00FA647B"/>
    <w:rsid w:val="00FA64B7"/>
    <w:rsid w:val="00FA740A"/>
    <w:rsid w:val="00FA782B"/>
    <w:rsid w:val="00FA7EAB"/>
    <w:rsid w:val="00FB00B5"/>
    <w:rsid w:val="00FB19FB"/>
    <w:rsid w:val="00FB2069"/>
    <w:rsid w:val="00FB215F"/>
    <w:rsid w:val="00FB23BC"/>
    <w:rsid w:val="00FB2B2F"/>
    <w:rsid w:val="00FB2C0E"/>
    <w:rsid w:val="00FB2E2D"/>
    <w:rsid w:val="00FB3234"/>
    <w:rsid w:val="00FB3BF3"/>
    <w:rsid w:val="00FB42D2"/>
    <w:rsid w:val="00FB4376"/>
    <w:rsid w:val="00FB43B3"/>
    <w:rsid w:val="00FB454D"/>
    <w:rsid w:val="00FB4BBB"/>
    <w:rsid w:val="00FB52B4"/>
    <w:rsid w:val="00FB55E5"/>
    <w:rsid w:val="00FB573D"/>
    <w:rsid w:val="00FB692B"/>
    <w:rsid w:val="00FB6935"/>
    <w:rsid w:val="00FB6B2B"/>
    <w:rsid w:val="00FB6BC7"/>
    <w:rsid w:val="00FC11A2"/>
    <w:rsid w:val="00FC1537"/>
    <w:rsid w:val="00FC15CC"/>
    <w:rsid w:val="00FC15F0"/>
    <w:rsid w:val="00FC1648"/>
    <w:rsid w:val="00FC2701"/>
    <w:rsid w:val="00FC2904"/>
    <w:rsid w:val="00FC2C55"/>
    <w:rsid w:val="00FC2E2B"/>
    <w:rsid w:val="00FC3490"/>
    <w:rsid w:val="00FC35C1"/>
    <w:rsid w:val="00FC3639"/>
    <w:rsid w:val="00FC3827"/>
    <w:rsid w:val="00FC388A"/>
    <w:rsid w:val="00FC38BB"/>
    <w:rsid w:val="00FC3D79"/>
    <w:rsid w:val="00FC3FD6"/>
    <w:rsid w:val="00FC46E5"/>
    <w:rsid w:val="00FC4919"/>
    <w:rsid w:val="00FC4D37"/>
    <w:rsid w:val="00FC62D6"/>
    <w:rsid w:val="00FC63FC"/>
    <w:rsid w:val="00FC64B4"/>
    <w:rsid w:val="00FC6916"/>
    <w:rsid w:val="00FC6CB9"/>
    <w:rsid w:val="00FC6E1A"/>
    <w:rsid w:val="00FC7F0E"/>
    <w:rsid w:val="00FD0B29"/>
    <w:rsid w:val="00FD1CD5"/>
    <w:rsid w:val="00FD2032"/>
    <w:rsid w:val="00FD28AE"/>
    <w:rsid w:val="00FD2D4A"/>
    <w:rsid w:val="00FD2E6A"/>
    <w:rsid w:val="00FD2EF9"/>
    <w:rsid w:val="00FD3A6B"/>
    <w:rsid w:val="00FD4839"/>
    <w:rsid w:val="00FD4938"/>
    <w:rsid w:val="00FD4988"/>
    <w:rsid w:val="00FD4A5C"/>
    <w:rsid w:val="00FD4E97"/>
    <w:rsid w:val="00FD51DD"/>
    <w:rsid w:val="00FD620E"/>
    <w:rsid w:val="00FD6D8F"/>
    <w:rsid w:val="00FE00D9"/>
    <w:rsid w:val="00FE0238"/>
    <w:rsid w:val="00FE02A4"/>
    <w:rsid w:val="00FE0BDF"/>
    <w:rsid w:val="00FE1014"/>
    <w:rsid w:val="00FE11BC"/>
    <w:rsid w:val="00FE12F7"/>
    <w:rsid w:val="00FE1B04"/>
    <w:rsid w:val="00FE1D8A"/>
    <w:rsid w:val="00FE2D0D"/>
    <w:rsid w:val="00FE364F"/>
    <w:rsid w:val="00FE370D"/>
    <w:rsid w:val="00FE39AB"/>
    <w:rsid w:val="00FE3A1D"/>
    <w:rsid w:val="00FE3F5E"/>
    <w:rsid w:val="00FE4138"/>
    <w:rsid w:val="00FE472E"/>
    <w:rsid w:val="00FE5A8E"/>
    <w:rsid w:val="00FE6BDE"/>
    <w:rsid w:val="00FE6D78"/>
    <w:rsid w:val="00FF1248"/>
    <w:rsid w:val="00FF1513"/>
    <w:rsid w:val="00FF18E4"/>
    <w:rsid w:val="00FF190E"/>
    <w:rsid w:val="00FF1F3A"/>
    <w:rsid w:val="00FF2668"/>
    <w:rsid w:val="00FF337D"/>
    <w:rsid w:val="00FF36F1"/>
    <w:rsid w:val="00FF38A1"/>
    <w:rsid w:val="00FF3FC8"/>
    <w:rsid w:val="00FF4158"/>
    <w:rsid w:val="00FF4A05"/>
    <w:rsid w:val="00FF532C"/>
    <w:rsid w:val="00FF5F63"/>
    <w:rsid w:val="00FF619B"/>
    <w:rsid w:val="00FF634B"/>
    <w:rsid w:val="00FF6926"/>
    <w:rsid w:val="00FF69FA"/>
    <w:rsid w:val="00FF6D0A"/>
    <w:rsid w:val="00FF6EEA"/>
    <w:rsid w:val="00FF6FB5"/>
    <w:rsid w:val="00FF722D"/>
    <w:rsid w:val="00FF76D4"/>
    <w:rsid w:val="016043AA"/>
    <w:rsid w:val="022B0E5C"/>
    <w:rsid w:val="02377801"/>
    <w:rsid w:val="0247556A"/>
    <w:rsid w:val="0276345F"/>
    <w:rsid w:val="0293229C"/>
    <w:rsid w:val="03871571"/>
    <w:rsid w:val="0439078C"/>
    <w:rsid w:val="055E50A5"/>
    <w:rsid w:val="062A086E"/>
    <w:rsid w:val="06DB44D3"/>
    <w:rsid w:val="06F15AA5"/>
    <w:rsid w:val="06F753B6"/>
    <w:rsid w:val="07667FF2"/>
    <w:rsid w:val="07E65967"/>
    <w:rsid w:val="097417C3"/>
    <w:rsid w:val="09F63F8E"/>
    <w:rsid w:val="0A081A83"/>
    <w:rsid w:val="0A2368BD"/>
    <w:rsid w:val="0B04049C"/>
    <w:rsid w:val="0B3111A7"/>
    <w:rsid w:val="0B380146"/>
    <w:rsid w:val="0B4320EB"/>
    <w:rsid w:val="0B884C29"/>
    <w:rsid w:val="0C98749A"/>
    <w:rsid w:val="0CA05FA3"/>
    <w:rsid w:val="0CAC2B9A"/>
    <w:rsid w:val="0CDC3A7A"/>
    <w:rsid w:val="0CEB4084"/>
    <w:rsid w:val="0CF26C99"/>
    <w:rsid w:val="0D8238FA"/>
    <w:rsid w:val="0D897846"/>
    <w:rsid w:val="0DC9777B"/>
    <w:rsid w:val="0E385C8E"/>
    <w:rsid w:val="0E8611C8"/>
    <w:rsid w:val="0EA06E65"/>
    <w:rsid w:val="0EE77EB9"/>
    <w:rsid w:val="0EF0169A"/>
    <w:rsid w:val="0FD541B5"/>
    <w:rsid w:val="0FE268D2"/>
    <w:rsid w:val="100E78F0"/>
    <w:rsid w:val="1032785A"/>
    <w:rsid w:val="103319CE"/>
    <w:rsid w:val="11366ED6"/>
    <w:rsid w:val="11394896"/>
    <w:rsid w:val="11427B0D"/>
    <w:rsid w:val="11845E93"/>
    <w:rsid w:val="12485112"/>
    <w:rsid w:val="127557DC"/>
    <w:rsid w:val="12CB18A0"/>
    <w:rsid w:val="12F64528"/>
    <w:rsid w:val="13136DB9"/>
    <w:rsid w:val="14357918"/>
    <w:rsid w:val="144931CD"/>
    <w:rsid w:val="152116FE"/>
    <w:rsid w:val="15702696"/>
    <w:rsid w:val="15CA22E2"/>
    <w:rsid w:val="15EE753F"/>
    <w:rsid w:val="16893F4C"/>
    <w:rsid w:val="16BC60CF"/>
    <w:rsid w:val="170353CE"/>
    <w:rsid w:val="172123D6"/>
    <w:rsid w:val="172A128B"/>
    <w:rsid w:val="17540FBD"/>
    <w:rsid w:val="18372F23"/>
    <w:rsid w:val="18736C61"/>
    <w:rsid w:val="19816224"/>
    <w:rsid w:val="19E51BF3"/>
    <w:rsid w:val="1A1561A1"/>
    <w:rsid w:val="1A2F41A0"/>
    <w:rsid w:val="1ABF3D93"/>
    <w:rsid w:val="1AEC6857"/>
    <w:rsid w:val="1B6603B7"/>
    <w:rsid w:val="1B7756EE"/>
    <w:rsid w:val="1B8A679C"/>
    <w:rsid w:val="1C420E24"/>
    <w:rsid w:val="1C8B2727"/>
    <w:rsid w:val="1CC22EE4"/>
    <w:rsid w:val="1CD27C09"/>
    <w:rsid w:val="1CFA34AD"/>
    <w:rsid w:val="1D5A3F4C"/>
    <w:rsid w:val="1E0C3498"/>
    <w:rsid w:val="1E66547F"/>
    <w:rsid w:val="1F187AED"/>
    <w:rsid w:val="1F572E39"/>
    <w:rsid w:val="20360CA0"/>
    <w:rsid w:val="204A3CA1"/>
    <w:rsid w:val="209D0D1F"/>
    <w:rsid w:val="20BF580B"/>
    <w:rsid w:val="21507EF7"/>
    <w:rsid w:val="215313DE"/>
    <w:rsid w:val="21D06ED2"/>
    <w:rsid w:val="220F6524"/>
    <w:rsid w:val="22681E83"/>
    <w:rsid w:val="22841907"/>
    <w:rsid w:val="23362D65"/>
    <w:rsid w:val="23877818"/>
    <w:rsid w:val="23B316A5"/>
    <w:rsid w:val="23C77BFC"/>
    <w:rsid w:val="24207C9D"/>
    <w:rsid w:val="242348DA"/>
    <w:rsid w:val="2446076E"/>
    <w:rsid w:val="247C7914"/>
    <w:rsid w:val="24AC19AC"/>
    <w:rsid w:val="25D81B7D"/>
    <w:rsid w:val="25DA3E7C"/>
    <w:rsid w:val="261D1FBA"/>
    <w:rsid w:val="26437C73"/>
    <w:rsid w:val="26795443"/>
    <w:rsid w:val="27607F7B"/>
    <w:rsid w:val="27624415"/>
    <w:rsid w:val="277B110A"/>
    <w:rsid w:val="28C72DDD"/>
    <w:rsid w:val="29235B3A"/>
    <w:rsid w:val="29476F5E"/>
    <w:rsid w:val="296042C1"/>
    <w:rsid w:val="29C15A7E"/>
    <w:rsid w:val="29ED6E20"/>
    <w:rsid w:val="2A857FC9"/>
    <w:rsid w:val="2AAB4039"/>
    <w:rsid w:val="2B1C51F1"/>
    <w:rsid w:val="2B8C3E6A"/>
    <w:rsid w:val="2C15188B"/>
    <w:rsid w:val="2C3758DA"/>
    <w:rsid w:val="2C963BB6"/>
    <w:rsid w:val="2D504B9E"/>
    <w:rsid w:val="2EDC6EB7"/>
    <w:rsid w:val="2F1804E5"/>
    <w:rsid w:val="2F2B5748"/>
    <w:rsid w:val="2F436F36"/>
    <w:rsid w:val="2F7E1D1C"/>
    <w:rsid w:val="2FE36023"/>
    <w:rsid w:val="2FE65E06"/>
    <w:rsid w:val="307B65DC"/>
    <w:rsid w:val="30C9346B"/>
    <w:rsid w:val="30C966BB"/>
    <w:rsid w:val="31174143"/>
    <w:rsid w:val="314B2CC8"/>
    <w:rsid w:val="319728AC"/>
    <w:rsid w:val="31A0241D"/>
    <w:rsid w:val="31DC0F7C"/>
    <w:rsid w:val="32A23A15"/>
    <w:rsid w:val="32B51EF8"/>
    <w:rsid w:val="331B019D"/>
    <w:rsid w:val="33337EA4"/>
    <w:rsid w:val="337F6063"/>
    <w:rsid w:val="33811DD7"/>
    <w:rsid w:val="33BF0BD0"/>
    <w:rsid w:val="33F24E9C"/>
    <w:rsid w:val="342C7F98"/>
    <w:rsid w:val="35487054"/>
    <w:rsid w:val="366B7D6E"/>
    <w:rsid w:val="37164F30"/>
    <w:rsid w:val="374E0226"/>
    <w:rsid w:val="37A4078E"/>
    <w:rsid w:val="37EA053E"/>
    <w:rsid w:val="3862486E"/>
    <w:rsid w:val="38DF7CCF"/>
    <w:rsid w:val="38E76B84"/>
    <w:rsid w:val="3934494C"/>
    <w:rsid w:val="3AEF0F5F"/>
    <w:rsid w:val="3AEF7F72"/>
    <w:rsid w:val="3B973D9F"/>
    <w:rsid w:val="3C0435A9"/>
    <w:rsid w:val="3C157564"/>
    <w:rsid w:val="3C291261"/>
    <w:rsid w:val="3C691BAA"/>
    <w:rsid w:val="3CAB46F5"/>
    <w:rsid w:val="3D141F11"/>
    <w:rsid w:val="3D864BBD"/>
    <w:rsid w:val="3DB7623E"/>
    <w:rsid w:val="3E16714D"/>
    <w:rsid w:val="3EE85404"/>
    <w:rsid w:val="3F19335D"/>
    <w:rsid w:val="3F207F62"/>
    <w:rsid w:val="3FF57DD8"/>
    <w:rsid w:val="40217FC5"/>
    <w:rsid w:val="415B2611"/>
    <w:rsid w:val="417D0085"/>
    <w:rsid w:val="41DD6D76"/>
    <w:rsid w:val="42674891"/>
    <w:rsid w:val="428700F9"/>
    <w:rsid w:val="44E328F5"/>
    <w:rsid w:val="460E5C36"/>
    <w:rsid w:val="46116FEE"/>
    <w:rsid w:val="470C66C1"/>
    <w:rsid w:val="47733D50"/>
    <w:rsid w:val="47EB009D"/>
    <w:rsid w:val="47F73F7B"/>
    <w:rsid w:val="47F85076"/>
    <w:rsid w:val="485A3AD7"/>
    <w:rsid w:val="48A405ED"/>
    <w:rsid w:val="492D715F"/>
    <w:rsid w:val="49B303BC"/>
    <w:rsid w:val="49F11610"/>
    <w:rsid w:val="4A372D4C"/>
    <w:rsid w:val="4ACC5BD9"/>
    <w:rsid w:val="4BD9785F"/>
    <w:rsid w:val="4C092913"/>
    <w:rsid w:val="4C297F74"/>
    <w:rsid w:val="4C6B1E5E"/>
    <w:rsid w:val="4C9B5863"/>
    <w:rsid w:val="4CAF6990"/>
    <w:rsid w:val="4CB30DFF"/>
    <w:rsid w:val="4D471547"/>
    <w:rsid w:val="4DB56DF9"/>
    <w:rsid w:val="4DD92AE7"/>
    <w:rsid w:val="4DE17BEE"/>
    <w:rsid w:val="4E0935BD"/>
    <w:rsid w:val="4E1B3100"/>
    <w:rsid w:val="4EA03605"/>
    <w:rsid w:val="4ED207A4"/>
    <w:rsid w:val="4F2C67F3"/>
    <w:rsid w:val="4FBA06F6"/>
    <w:rsid w:val="504F4445"/>
    <w:rsid w:val="5055041F"/>
    <w:rsid w:val="5066262C"/>
    <w:rsid w:val="506863A4"/>
    <w:rsid w:val="507A37FE"/>
    <w:rsid w:val="50B11AF9"/>
    <w:rsid w:val="51905BB3"/>
    <w:rsid w:val="51B573C7"/>
    <w:rsid w:val="52291B63"/>
    <w:rsid w:val="5264494A"/>
    <w:rsid w:val="52D46A51"/>
    <w:rsid w:val="52D826EC"/>
    <w:rsid w:val="53144577"/>
    <w:rsid w:val="538E550C"/>
    <w:rsid w:val="53DB0C3B"/>
    <w:rsid w:val="53DF24DA"/>
    <w:rsid w:val="54680721"/>
    <w:rsid w:val="546B3D0A"/>
    <w:rsid w:val="551667DC"/>
    <w:rsid w:val="55D876A2"/>
    <w:rsid w:val="56D36189"/>
    <w:rsid w:val="56F40992"/>
    <w:rsid w:val="56FF402F"/>
    <w:rsid w:val="583D1EC5"/>
    <w:rsid w:val="58BC3B7D"/>
    <w:rsid w:val="5A94409A"/>
    <w:rsid w:val="5CF35248"/>
    <w:rsid w:val="5D726EE9"/>
    <w:rsid w:val="5E122FB6"/>
    <w:rsid w:val="5F2F5D74"/>
    <w:rsid w:val="5FD11F17"/>
    <w:rsid w:val="601442A1"/>
    <w:rsid w:val="60360516"/>
    <w:rsid w:val="608947DC"/>
    <w:rsid w:val="61785739"/>
    <w:rsid w:val="61B7262E"/>
    <w:rsid w:val="62265535"/>
    <w:rsid w:val="626E292D"/>
    <w:rsid w:val="62966334"/>
    <w:rsid w:val="62BD432E"/>
    <w:rsid w:val="630E6124"/>
    <w:rsid w:val="635307EE"/>
    <w:rsid w:val="63D112E5"/>
    <w:rsid w:val="63DF2082"/>
    <w:rsid w:val="643E324C"/>
    <w:rsid w:val="650A75D2"/>
    <w:rsid w:val="65705687"/>
    <w:rsid w:val="66486604"/>
    <w:rsid w:val="66666A8A"/>
    <w:rsid w:val="67093425"/>
    <w:rsid w:val="670F7122"/>
    <w:rsid w:val="67A3158C"/>
    <w:rsid w:val="684626D0"/>
    <w:rsid w:val="684F3C7A"/>
    <w:rsid w:val="68700D7B"/>
    <w:rsid w:val="689254AB"/>
    <w:rsid w:val="689F0032"/>
    <w:rsid w:val="68C006D4"/>
    <w:rsid w:val="68F465CF"/>
    <w:rsid w:val="692D1AE1"/>
    <w:rsid w:val="6953779A"/>
    <w:rsid w:val="69A54E97"/>
    <w:rsid w:val="6A3B0B47"/>
    <w:rsid w:val="6ACD0E86"/>
    <w:rsid w:val="6AD0094E"/>
    <w:rsid w:val="6B363DC9"/>
    <w:rsid w:val="6BAB0A47"/>
    <w:rsid w:val="6C5233D5"/>
    <w:rsid w:val="6C5D5FFE"/>
    <w:rsid w:val="6E1E6B73"/>
    <w:rsid w:val="6E9F0D8B"/>
    <w:rsid w:val="6F914B78"/>
    <w:rsid w:val="6F955545"/>
    <w:rsid w:val="6FD131C7"/>
    <w:rsid w:val="71493231"/>
    <w:rsid w:val="71681909"/>
    <w:rsid w:val="720F6228"/>
    <w:rsid w:val="74A23383"/>
    <w:rsid w:val="74A24D5F"/>
    <w:rsid w:val="74CF7863"/>
    <w:rsid w:val="74DD0860"/>
    <w:rsid w:val="75265D63"/>
    <w:rsid w:val="7541494A"/>
    <w:rsid w:val="75B84195"/>
    <w:rsid w:val="75EC7634"/>
    <w:rsid w:val="762878B8"/>
    <w:rsid w:val="770056C4"/>
    <w:rsid w:val="774B65EA"/>
    <w:rsid w:val="777B7B55"/>
    <w:rsid w:val="77A33B13"/>
    <w:rsid w:val="77DD0A83"/>
    <w:rsid w:val="785B7F73"/>
    <w:rsid w:val="79AB4A88"/>
    <w:rsid w:val="7A170D45"/>
    <w:rsid w:val="7A392094"/>
    <w:rsid w:val="7A766DC6"/>
    <w:rsid w:val="7ABE4C8F"/>
    <w:rsid w:val="7B9E77DD"/>
    <w:rsid w:val="7BDB0674"/>
    <w:rsid w:val="7C044924"/>
    <w:rsid w:val="7C253C5C"/>
    <w:rsid w:val="7C98563E"/>
    <w:rsid w:val="7CC038B3"/>
    <w:rsid w:val="7D7E4262"/>
    <w:rsid w:val="7D9D6DDE"/>
    <w:rsid w:val="7DB04BDA"/>
    <w:rsid w:val="7E1A3F8B"/>
    <w:rsid w:val="7E355268"/>
    <w:rsid w:val="7E664DEE"/>
    <w:rsid w:val="7F427C3D"/>
    <w:rsid w:val="7FB14D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7"/>
    <w:unhideWhenUsed/>
    <w:qFormat/>
    <w:uiPriority w:val="0"/>
    <w:pPr>
      <w:keepNext/>
      <w:keepLines/>
      <w:spacing w:before="100" w:after="100"/>
      <w:outlineLvl w:val="1"/>
    </w:pPr>
    <w:rPr>
      <w:rFonts w:asciiTheme="majorHAnsi" w:hAnsiTheme="majorHAnsi" w:eastAsiaTheme="majorEastAsia" w:cstheme="majorBidi"/>
      <w:b/>
      <w:bCs/>
      <w:sz w:val="32"/>
      <w:szCs w:val="32"/>
    </w:rPr>
  </w:style>
  <w:style w:type="paragraph" w:styleId="5">
    <w:name w:val="heading 3"/>
    <w:basedOn w:val="1"/>
    <w:next w:val="1"/>
    <w:link w:val="90"/>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tabs>
        <w:tab w:val="left" w:pos="0"/>
        <w:tab w:val="left" w:pos="864"/>
      </w:tabs>
      <w:adjustRightInd w:val="0"/>
      <w:spacing w:line="360" w:lineRule="auto"/>
      <w:ind w:left="864" w:hanging="864"/>
      <w:jc w:val="left"/>
      <w:textAlignment w:val="baseline"/>
      <w:outlineLvl w:val="3"/>
    </w:pPr>
    <w:rPr>
      <w:b/>
      <w:bCs/>
      <w:smallCaps/>
      <w:kern w:val="0"/>
      <w:sz w:val="24"/>
    </w:rPr>
  </w:style>
  <w:style w:type="paragraph" w:styleId="6">
    <w:name w:val="heading 5"/>
    <w:basedOn w:val="1"/>
    <w:next w:val="1"/>
    <w:link w:val="38"/>
    <w:semiHidden/>
    <w:unhideWhenUsed/>
    <w:qFormat/>
    <w:uiPriority w:val="9"/>
    <w:pPr>
      <w:keepNext/>
      <w:keepLines/>
      <w:spacing w:before="280" w:after="290" w:line="376" w:lineRule="auto"/>
      <w:outlineLvl w:val="4"/>
    </w:pPr>
    <w:rPr>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List Number"/>
    <w:basedOn w:val="1"/>
    <w:qFormat/>
    <w:uiPriority w:val="0"/>
    <w:pPr>
      <w:widowControl/>
      <w:numPr>
        <w:ilvl w:val="0"/>
        <w:numId w:val="1"/>
      </w:numPr>
      <w:tabs>
        <w:tab w:val="left" w:pos="454"/>
        <w:tab w:val="left" w:pos="720"/>
      </w:tabs>
      <w:spacing w:afterLines="50"/>
      <w:jc w:val="left"/>
    </w:pPr>
    <w:rPr>
      <w:kern w:val="0"/>
      <w:sz w:val="24"/>
      <w:szCs w:val="20"/>
    </w:rPr>
  </w:style>
  <w:style w:type="paragraph" w:styleId="8">
    <w:name w:val="Normal Indent"/>
    <w:basedOn w:val="1"/>
    <w:next w:val="1"/>
    <w:qFormat/>
    <w:uiPriority w:val="99"/>
    <w:pPr>
      <w:ind w:firstLine="420"/>
    </w:pPr>
    <w:rPr>
      <w:szCs w:val="20"/>
    </w:rPr>
  </w:style>
  <w:style w:type="paragraph" w:styleId="9">
    <w:name w:val="annotation text"/>
    <w:basedOn w:val="1"/>
    <w:link w:val="39"/>
    <w:qFormat/>
    <w:uiPriority w:val="99"/>
    <w:pPr>
      <w:jc w:val="left"/>
    </w:pPr>
  </w:style>
  <w:style w:type="paragraph" w:styleId="10">
    <w:name w:val="Body Text"/>
    <w:basedOn w:val="1"/>
    <w:link w:val="91"/>
    <w:semiHidden/>
    <w:unhideWhenUsed/>
    <w:qFormat/>
    <w:uiPriority w:val="99"/>
    <w:pPr>
      <w:spacing w:after="120"/>
    </w:pPr>
  </w:style>
  <w:style w:type="paragraph" w:styleId="11">
    <w:name w:val="Body Text Indent"/>
    <w:basedOn w:val="1"/>
    <w:next w:val="1"/>
    <w:link w:val="41"/>
    <w:qFormat/>
    <w:uiPriority w:val="0"/>
    <w:pPr>
      <w:ind w:left="420" w:leftChars="200"/>
    </w:pPr>
    <w:rPr>
      <w:kern w:val="0"/>
      <w:sz w:val="24"/>
    </w:rPr>
  </w:style>
  <w:style w:type="paragraph" w:styleId="12">
    <w:name w:val="toc 3"/>
    <w:basedOn w:val="1"/>
    <w:next w:val="1"/>
    <w:unhideWhenUsed/>
    <w:qFormat/>
    <w:uiPriority w:val="39"/>
    <w:pPr>
      <w:ind w:left="840" w:leftChars="400"/>
    </w:pPr>
  </w:style>
  <w:style w:type="paragraph" w:styleId="13">
    <w:name w:val="Plain Text"/>
    <w:basedOn w:val="1"/>
    <w:next w:val="1"/>
    <w:link w:val="42"/>
    <w:qFormat/>
    <w:uiPriority w:val="0"/>
    <w:rPr>
      <w:rFonts w:ascii="宋体" w:hAnsi="Courier New"/>
    </w:rPr>
  </w:style>
  <w:style w:type="paragraph" w:styleId="14">
    <w:name w:val="Date"/>
    <w:basedOn w:val="1"/>
    <w:next w:val="1"/>
    <w:link w:val="43"/>
    <w:qFormat/>
    <w:uiPriority w:val="0"/>
    <w:pPr>
      <w:ind w:left="2500" w:leftChars="2500"/>
    </w:pPr>
    <w:rPr>
      <w:rFonts w:eastAsia="楷体_GB2312"/>
      <w:kern w:val="0"/>
      <w:sz w:val="32"/>
      <w:szCs w:val="20"/>
    </w:rPr>
  </w:style>
  <w:style w:type="paragraph" w:styleId="15">
    <w:name w:val="Body Text Indent 2"/>
    <w:basedOn w:val="1"/>
    <w:link w:val="44"/>
    <w:unhideWhenUsed/>
    <w:qFormat/>
    <w:uiPriority w:val="99"/>
    <w:pPr>
      <w:spacing w:after="120" w:line="480" w:lineRule="auto"/>
      <w:ind w:left="420" w:leftChars="200"/>
    </w:pPr>
    <w:rPr>
      <w:szCs w:val="20"/>
    </w:rPr>
  </w:style>
  <w:style w:type="paragraph" w:styleId="16">
    <w:name w:val="Balloon Text"/>
    <w:basedOn w:val="1"/>
    <w:link w:val="45"/>
    <w:qFormat/>
    <w:uiPriority w:val="0"/>
    <w:rPr>
      <w:sz w:val="18"/>
      <w:szCs w:val="18"/>
    </w:rPr>
  </w:style>
  <w:style w:type="paragraph" w:styleId="17">
    <w:name w:val="footer"/>
    <w:basedOn w:val="1"/>
    <w:link w:val="46"/>
    <w:unhideWhenUsed/>
    <w:qFormat/>
    <w:uiPriority w:val="0"/>
    <w:pPr>
      <w:tabs>
        <w:tab w:val="center" w:pos="4153"/>
        <w:tab w:val="right" w:pos="8306"/>
      </w:tabs>
      <w:snapToGrid w:val="0"/>
      <w:jc w:val="left"/>
    </w:pPr>
    <w:rPr>
      <w:sz w:val="18"/>
      <w:szCs w:val="18"/>
    </w:rPr>
  </w:style>
  <w:style w:type="paragraph" w:styleId="18">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jc w:val="left"/>
    </w:pPr>
    <w:rPr>
      <w:rFonts w:ascii="楷体_GB2312" w:eastAsia="楷体_GB2312" w:cs="楷体_GB2312"/>
      <w:caps/>
    </w:rPr>
  </w:style>
  <w:style w:type="paragraph" w:styleId="20">
    <w:name w:val="toc 2"/>
    <w:basedOn w:val="1"/>
    <w:next w:val="1"/>
    <w:unhideWhenUsed/>
    <w:qFormat/>
    <w:uiPriority w:val="39"/>
    <w:pPr>
      <w:ind w:left="420" w:leftChars="200"/>
    </w:pPr>
  </w:style>
  <w:style w:type="paragraph" w:styleId="21">
    <w:name w:val="Normal (Web)"/>
    <w:basedOn w:val="1"/>
    <w:link w:val="48"/>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link w:val="49"/>
    <w:qFormat/>
    <w:uiPriority w:val="0"/>
    <w:pPr>
      <w:spacing w:before="240" w:after="60"/>
      <w:jc w:val="center"/>
      <w:outlineLvl w:val="0"/>
    </w:pPr>
    <w:rPr>
      <w:rFonts w:ascii="Arial" w:hAnsi="Arial" w:eastAsia="仿宋_GB2312"/>
      <w:b/>
      <w:bCs/>
      <w:kern w:val="0"/>
      <w:sz w:val="36"/>
      <w:szCs w:val="32"/>
    </w:rPr>
  </w:style>
  <w:style w:type="paragraph" w:styleId="23">
    <w:name w:val="annotation subject"/>
    <w:basedOn w:val="9"/>
    <w:next w:val="9"/>
    <w:link w:val="40"/>
    <w:qFormat/>
    <w:uiPriority w:val="0"/>
    <w:rPr>
      <w:b/>
      <w:bCs/>
    </w:rPr>
  </w:style>
  <w:style w:type="paragraph" w:styleId="24">
    <w:name w:val="Body Text First Indent"/>
    <w:basedOn w:val="10"/>
    <w:link w:val="92"/>
    <w:semiHidden/>
    <w:unhideWhenUsed/>
    <w:qFormat/>
    <w:uiPriority w:val="99"/>
    <w:pPr>
      <w:ind w:firstLine="420" w:firstLineChars="100"/>
    </w:pPr>
  </w:style>
  <w:style w:type="paragraph" w:styleId="25">
    <w:name w:val="Body Text First Indent 2"/>
    <w:basedOn w:val="11"/>
    <w:next w:val="14"/>
    <w:link w:val="89"/>
    <w:semiHidden/>
    <w:unhideWhenUsed/>
    <w:qFormat/>
    <w:uiPriority w:val="99"/>
    <w:pPr>
      <w:spacing w:after="120"/>
      <w:ind w:firstLine="420" w:firstLineChars="200"/>
    </w:pPr>
    <w:rPr>
      <w:kern w:val="2"/>
      <w:sz w:val="21"/>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FollowedHyperlink"/>
    <w:basedOn w:val="28"/>
    <w:semiHidden/>
    <w:unhideWhenUsed/>
    <w:qFormat/>
    <w:uiPriority w:val="99"/>
    <w:rPr>
      <w:color w:val="800080"/>
      <w:u w:val="single"/>
    </w:rPr>
  </w:style>
  <w:style w:type="character" w:styleId="31">
    <w:name w:val="Hyperlink"/>
    <w:basedOn w:val="28"/>
    <w:unhideWhenUsed/>
    <w:qFormat/>
    <w:uiPriority w:val="99"/>
    <w:rPr>
      <w:color w:val="0000FF" w:themeColor="hyperlink"/>
      <w:u w:val="single"/>
      <w14:textFill>
        <w14:solidFill>
          <w14:schemeClr w14:val="hlink"/>
        </w14:solidFill>
      </w14:textFill>
    </w:rPr>
  </w:style>
  <w:style w:type="character" w:styleId="32">
    <w:name w:val="annotation reference"/>
    <w:basedOn w:val="28"/>
    <w:qFormat/>
    <w:uiPriority w:val="0"/>
    <w:rPr>
      <w:sz w:val="21"/>
      <w:szCs w:val="21"/>
    </w:rPr>
  </w:style>
  <w:style w:type="character" w:customStyle="1" w:styleId="33">
    <w:name w:val="标题 1 字符"/>
    <w:basedOn w:val="28"/>
    <w:link w:val="3"/>
    <w:qFormat/>
    <w:uiPriority w:val="0"/>
    <w:rPr>
      <w:rFonts w:ascii="Times New Roman" w:hAnsi="Times New Roman" w:eastAsia="宋体" w:cs="Times New Roman"/>
      <w:b/>
      <w:bCs/>
      <w:kern w:val="44"/>
      <w:sz w:val="44"/>
      <w:szCs w:val="44"/>
    </w:rPr>
  </w:style>
  <w:style w:type="paragraph" w:styleId="34">
    <w:name w:val="List Paragraph"/>
    <w:basedOn w:val="1"/>
    <w:unhideWhenUsed/>
    <w:qFormat/>
    <w:uiPriority w:val="34"/>
    <w:pPr>
      <w:ind w:firstLine="420" w:firstLineChars="200"/>
    </w:pPr>
  </w:style>
  <w:style w:type="paragraph" w:customStyle="1" w:styleId="35">
    <w:name w:val="Body Text First Indent 21"/>
    <w:basedOn w:val="36"/>
    <w:qFormat/>
    <w:uiPriority w:val="99"/>
    <w:pPr>
      <w:ind w:firstLine="420"/>
    </w:pPr>
  </w:style>
  <w:style w:type="paragraph" w:customStyle="1" w:styleId="36">
    <w:name w:val="Body Text Indent1"/>
    <w:basedOn w:val="1"/>
    <w:qFormat/>
    <w:uiPriority w:val="0"/>
    <w:pPr>
      <w:ind w:left="420" w:leftChars="200"/>
    </w:pPr>
  </w:style>
  <w:style w:type="character" w:customStyle="1" w:styleId="37">
    <w:name w:val="标题 2 字符"/>
    <w:basedOn w:val="28"/>
    <w:link w:val="4"/>
    <w:qFormat/>
    <w:uiPriority w:val="0"/>
    <w:rPr>
      <w:rFonts w:asciiTheme="majorHAnsi" w:hAnsiTheme="majorHAnsi" w:eastAsiaTheme="majorEastAsia" w:cstheme="majorBidi"/>
      <w:b/>
      <w:bCs/>
      <w:sz w:val="32"/>
      <w:szCs w:val="32"/>
    </w:rPr>
  </w:style>
  <w:style w:type="character" w:customStyle="1" w:styleId="38">
    <w:name w:val="标题 5 字符"/>
    <w:basedOn w:val="28"/>
    <w:link w:val="6"/>
    <w:semiHidden/>
    <w:qFormat/>
    <w:uiPriority w:val="9"/>
    <w:rPr>
      <w:rFonts w:ascii="Times New Roman" w:hAnsi="Times New Roman" w:eastAsia="宋体" w:cs="Times New Roman"/>
      <w:b/>
      <w:bCs/>
      <w:kern w:val="2"/>
      <w:sz w:val="28"/>
      <w:szCs w:val="28"/>
    </w:rPr>
  </w:style>
  <w:style w:type="character" w:customStyle="1" w:styleId="39">
    <w:name w:val="批注文字 字符"/>
    <w:basedOn w:val="28"/>
    <w:link w:val="9"/>
    <w:qFormat/>
    <w:uiPriority w:val="99"/>
    <w:rPr>
      <w:rFonts w:ascii="Times New Roman" w:hAnsi="Times New Roman" w:eastAsia="宋体" w:cs="Times New Roman"/>
      <w:szCs w:val="24"/>
    </w:rPr>
  </w:style>
  <w:style w:type="character" w:customStyle="1" w:styleId="40">
    <w:name w:val="批注主题 字符"/>
    <w:basedOn w:val="39"/>
    <w:link w:val="23"/>
    <w:qFormat/>
    <w:uiPriority w:val="0"/>
    <w:rPr>
      <w:rFonts w:ascii="Times New Roman" w:hAnsi="Times New Roman" w:eastAsia="宋体" w:cs="Times New Roman"/>
      <w:b/>
      <w:bCs/>
      <w:szCs w:val="24"/>
    </w:rPr>
  </w:style>
  <w:style w:type="character" w:customStyle="1" w:styleId="41">
    <w:name w:val="正文文本缩进 字符"/>
    <w:basedOn w:val="28"/>
    <w:link w:val="11"/>
    <w:qFormat/>
    <w:uiPriority w:val="0"/>
    <w:rPr>
      <w:rFonts w:ascii="Times New Roman" w:hAnsi="Times New Roman" w:eastAsia="宋体" w:cs="Times New Roman"/>
      <w:kern w:val="0"/>
      <w:sz w:val="24"/>
      <w:szCs w:val="24"/>
    </w:rPr>
  </w:style>
  <w:style w:type="character" w:customStyle="1" w:styleId="42">
    <w:name w:val="纯文本 字符"/>
    <w:basedOn w:val="28"/>
    <w:link w:val="13"/>
    <w:qFormat/>
    <w:uiPriority w:val="0"/>
    <w:rPr>
      <w:rFonts w:ascii="宋体" w:hAnsi="Courier New" w:eastAsia="宋体" w:cs="Times New Roman"/>
      <w:szCs w:val="24"/>
    </w:rPr>
  </w:style>
  <w:style w:type="character" w:customStyle="1" w:styleId="43">
    <w:name w:val="日期 字符"/>
    <w:basedOn w:val="28"/>
    <w:link w:val="14"/>
    <w:qFormat/>
    <w:uiPriority w:val="0"/>
    <w:rPr>
      <w:rFonts w:ascii="Times New Roman" w:hAnsi="Times New Roman" w:eastAsia="楷体_GB2312" w:cs="Times New Roman"/>
      <w:kern w:val="0"/>
      <w:sz w:val="32"/>
      <w:szCs w:val="20"/>
    </w:rPr>
  </w:style>
  <w:style w:type="character" w:customStyle="1" w:styleId="44">
    <w:name w:val="正文文本缩进 2 字符"/>
    <w:basedOn w:val="28"/>
    <w:link w:val="15"/>
    <w:qFormat/>
    <w:uiPriority w:val="99"/>
    <w:rPr>
      <w:rFonts w:ascii="Times New Roman" w:hAnsi="Times New Roman" w:eastAsia="宋体" w:cs="Times New Roman"/>
      <w:szCs w:val="20"/>
    </w:rPr>
  </w:style>
  <w:style w:type="character" w:customStyle="1" w:styleId="45">
    <w:name w:val="批注框文本 字符"/>
    <w:basedOn w:val="28"/>
    <w:link w:val="16"/>
    <w:qFormat/>
    <w:uiPriority w:val="0"/>
    <w:rPr>
      <w:rFonts w:ascii="Times New Roman" w:hAnsi="Times New Roman" w:eastAsia="宋体" w:cs="Times New Roman"/>
      <w:sz w:val="18"/>
      <w:szCs w:val="18"/>
    </w:rPr>
  </w:style>
  <w:style w:type="character" w:customStyle="1" w:styleId="46">
    <w:name w:val="页脚 字符"/>
    <w:basedOn w:val="28"/>
    <w:link w:val="17"/>
    <w:qFormat/>
    <w:uiPriority w:val="99"/>
    <w:rPr>
      <w:sz w:val="18"/>
      <w:szCs w:val="18"/>
    </w:rPr>
  </w:style>
  <w:style w:type="character" w:customStyle="1" w:styleId="47">
    <w:name w:val="页眉 字符"/>
    <w:basedOn w:val="28"/>
    <w:link w:val="18"/>
    <w:qFormat/>
    <w:uiPriority w:val="99"/>
    <w:rPr>
      <w:sz w:val="18"/>
      <w:szCs w:val="18"/>
    </w:rPr>
  </w:style>
  <w:style w:type="character" w:customStyle="1" w:styleId="48">
    <w:name w:val="普通(网站) 字符"/>
    <w:link w:val="21"/>
    <w:qFormat/>
    <w:locked/>
    <w:uiPriority w:val="0"/>
    <w:rPr>
      <w:rFonts w:ascii="宋体" w:hAnsi="宋体" w:eastAsia="宋体" w:cs="宋体"/>
      <w:kern w:val="0"/>
      <w:sz w:val="24"/>
      <w:szCs w:val="24"/>
    </w:rPr>
  </w:style>
  <w:style w:type="character" w:customStyle="1" w:styleId="49">
    <w:name w:val="标题 字符"/>
    <w:basedOn w:val="28"/>
    <w:link w:val="22"/>
    <w:qFormat/>
    <w:uiPriority w:val="0"/>
    <w:rPr>
      <w:rFonts w:ascii="Arial" w:hAnsi="Arial" w:eastAsia="仿宋_GB2312" w:cs="Times New Roman"/>
      <w:b/>
      <w:bCs/>
      <w:kern w:val="0"/>
      <w:sz w:val="36"/>
      <w:szCs w:val="32"/>
    </w:rPr>
  </w:style>
  <w:style w:type="character" w:customStyle="1" w:styleId="50">
    <w:name w:val="日期 Char1"/>
    <w:basedOn w:val="28"/>
    <w:qFormat/>
    <w:uiPriority w:val="0"/>
    <w:rPr>
      <w:kern w:val="2"/>
      <w:sz w:val="21"/>
      <w:szCs w:val="24"/>
    </w:rPr>
  </w:style>
  <w:style w:type="character" w:customStyle="1" w:styleId="51">
    <w:name w:val="fontstyle01"/>
    <w:qFormat/>
    <w:uiPriority w:val="0"/>
    <w:rPr>
      <w:rFonts w:hint="eastAsia" w:ascii="宋体" w:hAnsi="宋体" w:eastAsia="宋体"/>
      <w:color w:val="000000"/>
      <w:sz w:val="22"/>
      <w:szCs w:val="22"/>
    </w:rPr>
  </w:style>
  <w:style w:type="paragraph" w:customStyle="1" w:styleId="52">
    <w:name w:val="正文段"/>
    <w:basedOn w:val="1"/>
    <w:qFormat/>
    <w:uiPriority w:val="0"/>
    <w:pPr>
      <w:widowControl/>
      <w:snapToGrid w:val="0"/>
      <w:spacing w:afterLines="50"/>
      <w:ind w:firstLine="200" w:firstLineChars="200"/>
    </w:pPr>
    <w:rPr>
      <w:kern w:val="0"/>
      <w:sz w:val="24"/>
      <w:szCs w:val="20"/>
    </w:rPr>
  </w:style>
  <w:style w:type="character" w:customStyle="1" w:styleId="53">
    <w:name w:val="标题 Char1"/>
    <w:basedOn w:val="28"/>
    <w:qFormat/>
    <w:uiPriority w:val="0"/>
    <w:rPr>
      <w:rFonts w:asciiTheme="majorHAnsi" w:hAnsiTheme="majorHAnsi" w:cstheme="majorBidi"/>
      <w:b/>
      <w:bCs/>
      <w:kern w:val="2"/>
      <w:sz w:val="32"/>
      <w:szCs w:val="32"/>
    </w:rPr>
  </w:style>
  <w:style w:type="paragraph" w:customStyle="1" w:styleId="5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55">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56">
    <w:name w:val="列出段落1"/>
    <w:basedOn w:val="1"/>
    <w:qFormat/>
    <w:uiPriority w:val="0"/>
    <w:pPr>
      <w:ind w:firstLine="420" w:firstLineChars="200"/>
    </w:pPr>
    <w:rPr>
      <w:rFonts w:asciiTheme="minorHAnsi" w:hAnsiTheme="minorHAnsi" w:eastAsiaTheme="minorEastAsia" w:cstheme="minorBidi"/>
      <w:szCs w:val="21"/>
    </w:rPr>
  </w:style>
  <w:style w:type="paragraph" w:customStyle="1" w:styleId="57">
    <w:name w:val="Char1 Char Char Char"/>
    <w:basedOn w:val="1"/>
    <w:qFormat/>
    <w:uiPriority w:val="0"/>
    <w:rPr>
      <w:rFonts w:ascii="仿宋_GB2312" w:eastAsia="仿宋_GB2312"/>
      <w:b/>
      <w:sz w:val="32"/>
      <w:szCs w:val="32"/>
    </w:rPr>
  </w:style>
  <w:style w:type="paragraph" w:customStyle="1" w:styleId="58">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59">
    <w:name w:val="xl65"/>
    <w:basedOn w:val="1"/>
    <w:qFormat/>
    <w:uiPriority w:val="0"/>
    <w:pPr>
      <w:widowControl/>
      <w:shd w:val="clear" w:color="000000" w:fill="FFFFFF"/>
      <w:spacing w:before="100" w:beforeAutospacing="1" w:after="100" w:afterAutospacing="1"/>
      <w:jc w:val="center"/>
    </w:pPr>
    <w:rPr>
      <w:rFonts w:ascii="宋体" w:hAnsi="宋体" w:cs="宋体"/>
      <w:b/>
      <w:bCs/>
      <w:kern w:val="0"/>
      <w:sz w:val="24"/>
    </w:rPr>
  </w:style>
  <w:style w:type="paragraph" w:customStyle="1" w:styleId="60">
    <w:name w:val="xl66"/>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61">
    <w:name w:val="xl67"/>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62">
    <w:name w:val="xl68"/>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63">
    <w:name w:val="xl69"/>
    <w:basedOn w:val="1"/>
    <w:qFormat/>
    <w:uiPriority w:val="0"/>
    <w:pPr>
      <w:widowControl/>
      <w:shd w:val="clear" w:color="000000" w:fill="FFFFFF"/>
      <w:spacing w:before="100" w:beforeAutospacing="1" w:after="100" w:afterAutospacing="1"/>
      <w:jc w:val="center"/>
    </w:pPr>
    <w:rPr>
      <w:rFonts w:ascii="宋体" w:hAnsi="宋体" w:cs="宋体"/>
      <w:kern w:val="0"/>
      <w:sz w:val="24"/>
    </w:rPr>
  </w:style>
  <w:style w:type="paragraph" w:customStyle="1" w:styleId="6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5">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66">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67">
    <w:name w:val="xl7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1">
    <w:name w:val="xl77"/>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2">
    <w:name w:val="xl78"/>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3">
    <w:name w:val="xl79"/>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7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7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rPr>
  </w:style>
  <w:style w:type="paragraph" w:customStyle="1" w:styleId="7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7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1">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2">
    <w:name w:val="xl8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83">
    <w:name w:val="xl89"/>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84">
    <w:name w:val="xl9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85">
    <w:name w:val="xl9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6">
    <w:name w:val="xl9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7">
    <w:name w:val="xl9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88">
    <w:name w:val="xl9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character" w:customStyle="1" w:styleId="89">
    <w:name w:val="正文文本首行缩进 2 字符"/>
    <w:basedOn w:val="41"/>
    <w:link w:val="25"/>
    <w:semiHidden/>
    <w:qFormat/>
    <w:uiPriority w:val="99"/>
    <w:rPr>
      <w:rFonts w:ascii="Times New Roman" w:hAnsi="Times New Roman" w:eastAsia="宋体" w:cs="Times New Roman"/>
      <w:kern w:val="2"/>
      <w:sz w:val="21"/>
      <w:szCs w:val="24"/>
    </w:rPr>
  </w:style>
  <w:style w:type="character" w:customStyle="1" w:styleId="90">
    <w:name w:val="标题 3 字符"/>
    <w:basedOn w:val="28"/>
    <w:link w:val="5"/>
    <w:qFormat/>
    <w:uiPriority w:val="0"/>
    <w:rPr>
      <w:rFonts w:ascii="Times New Roman" w:hAnsi="Times New Roman" w:eastAsia="宋体" w:cs="Times New Roman"/>
      <w:b/>
      <w:bCs/>
      <w:kern w:val="2"/>
      <w:sz w:val="32"/>
      <w:szCs w:val="32"/>
    </w:rPr>
  </w:style>
  <w:style w:type="character" w:customStyle="1" w:styleId="91">
    <w:name w:val="正文文本 字符"/>
    <w:basedOn w:val="28"/>
    <w:link w:val="10"/>
    <w:semiHidden/>
    <w:qFormat/>
    <w:uiPriority w:val="99"/>
    <w:rPr>
      <w:rFonts w:ascii="Times New Roman" w:hAnsi="Times New Roman" w:eastAsia="宋体" w:cs="Times New Roman"/>
      <w:kern w:val="2"/>
      <w:sz w:val="21"/>
      <w:szCs w:val="24"/>
    </w:rPr>
  </w:style>
  <w:style w:type="character" w:customStyle="1" w:styleId="92">
    <w:name w:val="正文文本首行缩进 字符"/>
    <w:basedOn w:val="91"/>
    <w:link w:val="24"/>
    <w:semiHidden/>
    <w:qFormat/>
    <w:uiPriority w:val="99"/>
    <w:rPr>
      <w:rFonts w:ascii="Times New Roman" w:hAnsi="Times New Roman" w:eastAsia="宋体" w:cs="Times New Roman"/>
      <w:kern w:val="2"/>
      <w:sz w:val="21"/>
      <w:szCs w:val="24"/>
    </w:rPr>
  </w:style>
  <w:style w:type="character" w:customStyle="1" w:styleId="93">
    <w:name w:val="font41"/>
    <w:qFormat/>
    <w:uiPriority w:val="0"/>
    <w:rPr>
      <w:rFonts w:hint="eastAsia" w:ascii="宋体" w:hAnsi="宋体" w:eastAsia="宋体" w:cs="宋体"/>
      <w:color w:val="000000"/>
      <w:sz w:val="28"/>
      <w:szCs w:val="28"/>
      <w:u w:val="none"/>
    </w:rPr>
  </w:style>
  <w:style w:type="character" w:customStyle="1" w:styleId="94">
    <w:name w:val="font01"/>
    <w:qFormat/>
    <w:uiPriority w:val="0"/>
    <w:rPr>
      <w:rFonts w:hint="default" w:ascii="Times New Roman" w:hAnsi="Times New Roman" w:cs="Times New Roman"/>
      <w:color w:val="000000"/>
      <w:sz w:val="28"/>
      <w:szCs w:val="28"/>
      <w:u w:val="none"/>
    </w:rPr>
  </w:style>
  <w:style w:type="character" w:customStyle="1" w:styleId="95">
    <w:name w:val="纯文本 字符1"/>
    <w:qFormat/>
    <w:uiPriority w:val="0"/>
    <w:rPr>
      <w:rFonts w:ascii="宋体" w:hAnsi="Courier New"/>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CAD1E-5D62-4FA7-BF86-7422B6C13E5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13091</Words>
  <Characters>13794</Characters>
  <Lines>133</Lines>
  <Paragraphs>37</Paragraphs>
  <TotalTime>5</TotalTime>
  <ScaleCrop>false</ScaleCrop>
  <LinksUpToDate>false</LinksUpToDate>
  <CharactersWithSpaces>15423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2023-06-28T08:23:00Z</dcterms:created>
  <dc:creator>Administrator</dc:creator>
  <cp:lastModifiedBy>Alin00</cp:lastModifiedBy>
  <cp:lastPrinted>2023-11-03T00:57:00Z</cp:lastPrinted>
  <dcterms:modified xsi:type="dcterms:W3CDTF">2023-11-09T01:55:27Z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296A7FEDE63D437F8B3B3BBFD544EFE2_13</vt:lpwstr>
  </property>
</Properties>
</file>