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楷体" w:hAnsi="楷体" w:eastAsia="楷体"/>
          <w:b/>
          <w:color w:val="auto"/>
          <w:spacing w:val="-6"/>
          <w:sz w:val="44"/>
          <w:szCs w:val="44"/>
          <w:highlight w:val="none"/>
        </w:rPr>
      </w:pPr>
    </w:p>
    <w:p>
      <w:pPr>
        <w:pStyle w:val="30"/>
        <w:spacing w:line="360" w:lineRule="auto"/>
        <w:rPr>
          <w:color w:val="auto"/>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浙江科技学院</w:t>
      </w:r>
    </w:p>
    <w:p>
      <w:pPr>
        <w:spacing w:line="360" w:lineRule="auto"/>
        <w:jc w:val="center"/>
        <w:rPr>
          <w:rFonts w:hint="eastAsia" w:ascii="楷体" w:hAnsi="楷体" w:eastAsia="楷体"/>
          <w:b/>
          <w:color w:val="auto"/>
          <w:spacing w:val="-6"/>
          <w:sz w:val="48"/>
          <w:szCs w:val="48"/>
          <w:highlight w:val="none"/>
          <w:lang w:eastAsia="zh-CN"/>
        </w:rPr>
      </w:pPr>
      <w:r>
        <w:rPr>
          <w:rFonts w:hint="eastAsia" w:ascii="楷体" w:hAnsi="楷体" w:eastAsia="楷体"/>
          <w:b/>
          <w:color w:val="auto"/>
          <w:spacing w:val="-6"/>
          <w:sz w:val="48"/>
          <w:szCs w:val="48"/>
          <w:highlight w:val="none"/>
          <w:lang w:eastAsia="zh-CN"/>
        </w:rPr>
        <w:t>2021年第二期公款竞争性存放</w:t>
      </w:r>
    </w:p>
    <w:p>
      <w:pPr>
        <w:spacing w:line="360" w:lineRule="auto"/>
        <w:jc w:val="center"/>
        <w:rPr>
          <w:rFonts w:ascii="楷体" w:hAnsi="楷体" w:eastAsia="楷体"/>
          <w:b/>
          <w:color w:val="auto"/>
          <w:sz w:val="72"/>
          <w:szCs w:val="72"/>
          <w:highlight w:val="none"/>
        </w:rPr>
      </w:pPr>
    </w:p>
    <w:p>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招 标 文 件</w:t>
      </w:r>
    </w:p>
    <w:p>
      <w:pPr>
        <w:spacing w:line="360" w:lineRule="auto"/>
        <w:jc w:val="center"/>
        <w:rPr>
          <w:rFonts w:ascii="楷体" w:hAnsi="楷体" w:eastAsia="楷体"/>
          <w:color w:val="auto"/>
          <w:sz w:val="44"/>
          <w:szCs w:val="44"/>
          <w:highlight w:val="none"/>
        </w:rPr>
      </w:pP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招 标 人：</w:t>
      </w:r>
      <w:r>
        <w:rPr>
          <w:rFonts w:hint="eastAsia" w:ascii="楷体" w:hAnsi="楷体" w:eastAsia="楷体"/>
          <w:b/>
          <w:color w:val="auto"/>
          <w:spacing w:val="-6"/>
          <w:sz w:val="30"/>
          <w:szCs w:val="30"/>
          <w:highlight w:val="none"/>
          <w:lang w:eastAsia="zh-CN"/>
        </w:rPr>
        <w:t>浙江科技学院</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招标项目名称：</w:t>
      </w:r>
      <w:r>
        <w:rPr>
          <w:rFonts w:hint="eastAsia" w:ascii="楷体" w:hAnsi="楷体" w:eastAsia="楷体"/>
          <w:b/>
          <w:color w:val="auto"/>
          <w:spacing w:val="-6"/>
          <w:sz w:val="30"/>
          <w:szCs w:val="30"/>
          <w:highlight w:val="none"/>
          <w:lang w:eastAsia="zh-CN"/>
        </w:rPr>
        <w:t>2021年第二期公款竞争性存放</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招标项目编号：</w:t>
      </w:r>
      <w:r>
        <w:rPr>
          <w:rFonts w:hint="eastAsia" w:ascii="楷体" w:hAnsi="楷体" w:eastAsia="楷体"/>
          <w:b/>
          <w:color w:val="auto"/>
          <w:spacing w:val="-6"/>
          <w:sz w:val="30"/>
          <w:szCs w:val="30"/>
          <w:highlight w:val="none"/>
          <w:lang w:eastAsia="zh-CN"/>
        </w:rPr>
        <w:t>QSZB-F(F)-B21387(GK)</w:t>
      </w:r>
    </w:p>
    <w:p>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招标代理机构：浙江求是招标代理有限公司</w:t>
      </w:r>
    </w:p>
    <w:p>
      <w:pPr>
        <w:spacing w:line="360" w:lineRule="auto"/>
        <w:rPr>
          <w:rFonts w:ascii="楷体" w:hAnsi="楷体" w:eastAsia="楷体"/>
          <w:b/>
          <w:color w:val="auto"/>
          <w:sz w:val="21"/>
          <w:szCs w:val="21"/>
          <w:highlight w:val="none"/>
        </w:rPr>
        <w:sectPr>
          <w:headerReference r:id="rId3" w:type="default"/>
          <w:footerReference r:id="rId4" w:type="default"/>
          <w:pgSz w:w="11906" w:h="16838"/>
          <w:pgMar w:top="1247" w:right="1247" w:bottom="1247" w:left="1247" w:header="0" w:footer="850" w:gutter="0"/>
          <w:pgNumType w:start="1"/>
          <w:cols w:space="720" w:num="1"/>
          <w:docGrid w:linePitch="381" w:charSpace="0"/>
        </w:sectPr>
      </w:pPr>
    </w:p>
    <w:p>
      <w:pPr>
        <w:pStyle w:val="30"/>
        <w:spacing w:line="360" w:lineRule="auto"/>
        <w:rPr>
          <w:color w:val="auto"/>
          <w:highlight w:val="none"/>
        </w:rPr>
      </w:pPr>
    </w:p>
    <w:p>
      <w:pPr>
        <w:pStyle w:val="12"/>
        <w:spacing w:beforeLines="0" w:afterLines="0" w:line="360" w:lineRule="auto"/>
        <w:jc w:val="center"/>
        <w:rPr>
          <w:rFonts w:ascii="楷体" w:hAnsi="楷体" w:eastAsia="楷体"/>
          <w:b/>
          <w:color w:val="auto"/>
          <w:sz w:val="30"/>
          <w:szCs w:val="30"/>
          <w:highlight w:val="none"/>
        </w:rPr>
      </w:pPr>
      <w:r>
        <w:rPr>
          <w:rFonts w:ascii="楷体" w:hAnsi="楷体" w:eastAsia="楷体"/>
          <w:b/>
          <w:color w:val="auto"/>
          <w:sz w:val="30"/>
          <w:szCs w:val="30"/>
          <w:highlight w:val="none"/>
        </w:rPr>
        <w:t>目录</w:t>
      </w:r>
    </w:p>
    <w:p>
      <w:pPr>
        <w:pStyle w:val="12"/>
        <w:spacing w:beforeLines="0" w:afterLines="0" w:line="360" w:lineRule="auto"/>
        <w:jc w:val="center"/>
        <w:rPr>
          <w:rFonts w:ascii="楷体" w:hAnsi="楷体" w:eastAsia="楷体"/>
          <w:b/>
          <w:color w:val="auto"/>
          <w:sz w:val="30"/>
          <w:szCs w:val="30"/>
          <w:highlight w:val="none"/>
        </w:rPr>
      </w:pPr>
    </w:p>
    <w:p>
      <w:pPr>
        <w:numPr>
          <w:ilvl w:val="0"/>
          <w:numId w:val="2"/>
        </w:numPr>
        <w:spacing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招标公告</w:t>
      </w:r>
    </w:p>
    <w:p>
      <w:pPr>
        <w:numPr>
          <w:ilvl w:val="0"/>
          <w:numId w:val="2"/>
        </w:numPr>
        <w:spacing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招标需求</w:t>
      </w:r>
    </w:p>
    <w:p>
      <w:pPr>
        <w:numPr>
          <w:ilvl w:val="0"/>
          <w:numId w:val="2"/>
        </w:numPr>
        <w:spacing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投标人须知</w:t>
      </w:r>
    </w:p>
    <w:p>
      <w:pPr>
        <w:numPr>
          <w:ilvl w:val="0"/>
          <w:numId w:val="2"/>
        </w:numPr>
        <w:spacing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评标办法及评分标准</w:t>
      </w:r>
    </w:p>
    <w:p>
      <w:pPr>
        <w:numPr>
          <w:ilvl w:val="0"/>
          <w:numId w:val="2"/>
        </w:numPr>
        <w:spacing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拟签订的协议文本</w:t>
      </w:r>
    </w:p>
    <w:p>
      <w:pPr>
        <w:numPr>
          <w:ilvl w:val="0"/>
          <w:numId w:val="2"/>
        </w:numPr>
        <w:spacing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投标文件格式</w:t>
      </w:r>
    </w:p>
    <w:p>
      <w:pPr>
        <w:pStyle w:val="12"/>
        <w:spacing w:beforeLines="0" w:afterLines="0" w:line="360" w:lineRule="auto"/>
        <w:jc w:val="center"/>
        <w:outlineLvl w:val="0"/>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招标公告</w:t>
      </w:r>
    </w:p>
    <w:p>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根据《关于防止领导干部在公款存放方面发生利益冲突和利益输送的办法》（浙委办发〔2015〕8号)、《浙江省省级行政事业单位公款竞争性存放管理暂行办法》(浙政办发〔2015〕91号)、</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浙江省财政厅关于印发浙江省省级行政事业单位公款竞争性存放管理办法的通知</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（浙财预执〔2021〕7号）、</w:t>
      </w:r>
      <w:r>
        <w:rPr>
          <w:rFonts w:hint="eastAsia" w:ascii="宋体" w:hAnsi="宋体"/>
          <w:color w:val="auto"/>
          <w:spacing w:val="-6"/>
          <w:kern w:val="0"/>
          <w:sz w:val="21"/>
          <w:szCs w:val="21"/>
          <w:highlight w:val="none"/>
        </w:rPr>
        <w:t>《浙江省教育厅公款竞争性存放实施细则》（浙教财〔2019〕46号)规定，决定就</w:t>
      </w:r>
      <w:r>
        <w:rPr>
          <w:rFonts w:hint="eastAsia" w:ascii="宋体" w:hAnsi="宋体"/>
          <w:color w:val="auto"/>
          <w:spacing w:val="-6"/>
          <w:kern w:val="0"/>
          <w:sz w:val="21"/>
          <w:szCs w:val="21"/>
          <w:highlight w:val="none"/>
          <w:lang w:eastAsia="zh-CN"/>
        </w:rPr>
        <w:t>浙江科技学院2021年第二期公款竞争性存放</w:t>
      </w:r>
      <w:r>
        <w:rPr>
          <w:rFonts w:hint="eastAsia" w:ascii="宋体" w:hAnsi="宋体"/>
          <w:color w:val="auto"/>
          <w:spacing w:val="-6"/>
          <w:kern w:val="0"/>
          <w:sz w:val="21"/>
          <w:szCs w:val="21"/>
          <w:highlight w:val="none"/>
        </w:rPr>
        <w:t>开展招标工作，欢迎符合条件的银行机构参加投标。</w:t>
      </w:r>
    </w:p>
    <w:p>
      <w:pPr>
        <w:spacing w:line="360" w:lineRule="auto"/>
        <w:rPr>
          <w:rFonts w:hint="eastAsia" w:ascii="宋体" w:hAnsi="宋体" w:eastAsia="宋体" w:cs="Arial"/>
          <w:b/>
          <w:color w:val="auto"/>
          <w:spacing w:val="-6"/>
          <w:sz w:val="24"/>
          <w:highlight w:val="none"/>
          <w:lang w:eastAsia="zh-CN"/>
        </w:rPr>
      </w:pPr>
      <w:r>
        <w:rPr>
          <w:rFonts w:hint="eastAsia" w:ascii="宋体" w:hAnsi="宋体" w:cs="Arial"/>
          <w:b/>
          <w:color w:val="auto"/>
          <w:spacing w:val="-6"/>
          <w:sz w:val="24"/>
          <w:highlight w:val="none"/>
        </w:rPr>
        <w:t>一、招标项目名称：</w:t>
      </w:r>
      <w:r>
        <w:rPr>
          <w:rFonts w:hint="eastAsia" w:ascii="宋体" w:hAnsi="宋体" w:cs="Arial"/>
          <w:color w:val="auto"/>
          <w:spacing w:val="-6"/>
          <w:sz w:val="21"/>
          <w:szCs w:val="21"/>
          <w:highlight w:val="none"/>
          <w:lang w:eastAsia="zh-CN"/>
        </w:rPr>
        <w:t>2021年第二期公款竞争性存放</w:t>
      </w:r>
    </w:p>
    <w:p>
      <w:pPr>
        <w:spacing w:line="360" w:lineRule="auto"/>
        <w:rPr>
          <w:rFonts w:ascii="宋体" w:hAnsi="宋体"/>
          <w:color w:val="auto"/>
          <w:spacing w:val="-6"/>
          <w:kern w:val="0"/>
          <w:sz w:val="21"/>
          <w:szCs w:val="21"/>
          <w:highlight w:val="none"/>
        </w:rPr>
      </w:pPr>
      <w:r>
        <w:rPr>
          <w:rFonts w:hint="eastAsia" w:ascii="宋体" w:hAnsi="宋体" w:cs="Arial"/>
          <w:b/>
          <w:color w:val="auto"/>
          <w:spacing w:val="-6"/>
          <w:sz w:val="24"/>
          <w:highlight w:val="none"/>
        </w:rPr>
        <w:t>二</w:t>
      </w:r>
      <w:r>
        <w:rPr>
          <w:rFonts w:ascii="宋体" w:hAnsi="宋体" w:cs="Arial"/>
          <w:b/>
          <w:color w:val="auto"/>
          <w:spacing w:val="-6"/>
          <w:sz w:val="24"/>
          <w:highlight w:val="none"/>
        </w:rPr>
        <w:t>、</w:t>
      </w:r>
      <w:r>
        <w:rPr>
          <w:rFonts w:hint="eastAsia" w:ascii="宋体" w:hAnsi="宋体" w:cs="Arial"/>
          <w:b/>
          <w:bCs/>
          <w:color w:val="auto"/>
          <w:spacing w:val="-6"/>
          <w:sz w:val="24"/>
          <w:highlight w:val="none"/>
        </w:rPr>
        <w:t>招标项目编号：</w:t>
      </w:r>
      <w:r>
        <w:rPr>
          <w:rFonts w:hint="eastAsia" w:ascii="宋体" w:hAnsi="宋体"/>
          <w:color w:val="auto"/>
          <w:spacing w:val="-6"/>
          <w:kern w:val="0"/>
          <w:sz w:val="21"/>
          <w:szCs w:val="21"/>
          <w:highlight w:val="none"/>
          <w:lang w:eastAsia="zh-CN"/>
        </w:rPr>
        <w:t>QSZB-F(F)-B21387(GK)</w:t>
      </w:r>
      <w:r>
        <w:rPr>
          <w:rFonts w:hint="eastAsia" w:ascii="宋体" w:hAnsi="宋体"/>
          <w:color w:val="auto"/>
          <w:spacing w:val="-6"/>
          <w:kern w:val="0"/>
          <w:sz w:val="21"/>
          <w:szCs w:val="21"/>
          <w:highlight w:val="none"/>
        </w:rPr>
        <w:t xml:space="preserve"> </w:t>
      </w:r>
    </w:p>
    <w:p>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rPr>
        <w:t>三、招标项目内容：</w:t>
      </w:r>
    </w:p>
    <w:tbl>
      <w:tblPr>
        <w:tblStyle w:val="2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907"/>
        <w:gridCol w:w="1306"/>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346"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采购内容</w:t>
            </w:r>
          </w:p>
        </w:tc>
        <w:tc>
          <w:tcPr>
            <w:tcW w:w="1907"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存放总金额</w:t>
            </w:r>
          </w:p>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（万元）</w:t>
            </w:r>
          </w:p>
        </w:tc>
        <w:tc>
          <w:tcPr>
            <w:tcW w:w="1306"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选择银行</w:t>
            </w:r>
          </w:p>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（家）</w:t>
            </w:r>
          </w:p>
        </w:tc>
        <w:tc>
          <w:tcPr>
            <w:tcW w:w="4939"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资金分配及存放说明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346"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宋体" w:hAnsi="宋体" w:cs="Arial"/>
                <w:color w:val="auto"/>
                <w:spacing w:val="-6"/>
                <w:sz w:val="21"/>
                <w:szCs w:val="21"/>
                <w:highlight w:val="none"/>
              </w:rPr>
              <w:t>2021年第二期公款竞争性存放</w:t>
            </w:r>
          </w:p>
        </w:tc>
        <w:tc>
          <w:tcPr>
            <w:tcW w:w="1907"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6600（含学校食堂600万）</w:t>
            </w:r>
          </w:p>
        </w:tc>
        <w:tc>
          <w:tcPr>
            <w:tcW w:w="1306"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tc>
        <w:tc>
          <w:tcPr>
            <w:tcW w:w="4939" w:type="dxa"/>
            <w:vAlign w:val="center"/>
          </w:tcPr>
          <w:p>
            <w:pPr>
              <w:adjustRightInd w:val="0"/>
              <w:snapToGrid w:val="0"/>
              <w:spacing w:line="288"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本次招标按照排名顺序选择2家银行进行资金存放，第1名一年期定期存款3900万元（含学校食堂资金600万），第2名</w:t>
            </w: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rPr>
              <w:t>年期定期存款2700万元。根据</w:t>
            </w:r>
            <w:r>
              <w:rPr>
                <w:rFonts w:hint="eastAsia" w:asciiTheme="minorEastAsia" w:hAnsiTheme="minorEastAsia" w:eastAsiaTheme="minorEastAsia"/>
                <w:color w:val="auto"/>
                <w:sz w:val="21"/>
                <w:szCs w:val="21"/>
                <w:highlight w:val="none"/>
              </w:rPr>
              <w:t>学校</w:t>
            </w:r>
            <w:r>
              <w:rPr>
                <w:rFonts w:hint="eastAsia" w:asciiTheme="minorEastAsia" w:hAnsiTheme="minorEastAsia" w:eastAsiaTheme="minorEastAsia"/>
                <w:color w:val="auto"/>
                <w:sz w:val="21"/>
                <w:szCs w:val="21"/>
                <w:highlight w:val="none"/>
              </w:rPr>
              <w:t>资金情况，先存放到第1名，第1名存放金额完成后再存放到第2名。</w:t>
            </w:r>
          </w:p>
        </w:tc>
      </w:tr>
    </w:tbl>
    <w:p>
      <w:pPr>
        <w:spacing w:line="360" w:lineRule="auto"/>
        <w:rPr>
          <w:rFonts w:ascii="宋体" w:hAnsi="宋体" w:cs="Arial"/>
          <w:b/>
          <w:bCs/>
          <w:color w:val="auto"/>
          <w:spacing w:val="-6"/>
          <w:sz w:val="24"/>
          <w:highlight w:val="none"/>
        </w:rPr>
      </w:pPr>
      <w:r>
        <w:rPr>
          <w:rFonts w:hint="eastAsia" w:ascii="宋体" w:hAnsi="宋体" w:cs="Arial"/>
          <w:b/>
          <w:color w:val="auto"/>
          <w:spacing w:val="-6"/>
          <w:sz w:val="24"/>
          <w:highlight w:val="none"/>
        </w:rPr>
        <w:t>四</w:t>
      </w:r>
      <w:r>
        <w:rPr>
          <w:rFonts w:hint="eastAsia" w:ascii="宋体" w:hAnsi="宋体" w:cs="Arial"/>
          <w:color w:val="auto"/>
          <w:spacing w:val="-6"/>
          <w:sz w:val="24"/>
          <w:highlight w:val="none"/>
        </w:rPr>
        <w:t>、</w:t>
      </w:r>
      <w:r>
        <w:rPr>
          <w:rFonts w:hint="eastAsia" w:ascii="宋体" w:hAnsi="宋体" w:cs="Arial"/>
          <w:b/>
          <w:bCs/>
          <w:color w:val="auto"/>
          <w:spacing w:val="-6"/>
          <w:sz w:val="24"/>
          <w:highlight w:val="none"/>
        </w:rPr>
        <w:t>投标人资格要求：</w:t>
      </w:r>
    </w:p>
    <w:p>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参与省级行政事业单位公款竞争性存放的银行是指在中华人民共和国境内依法设立的商业银行、农村信用合作联社等银行业金融机构。银行参与投标应符合以下条件：</w:t>
      </w:r>
    </w:p>
    <w:p>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（一）在杭州市区设有分支机构；</w:t>
      </w:r>
    </w:p>
    <w:p>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（二）依法开展经营活动，近3年内在经营活动中无重大违法违规记录及重大违约事件；</w:t>
      </w:r>
    </w:p>
    <w:p>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（三）纳入人民银行综合评价的银行，人民银行上年度综合评价应达到B级及以上，不纳入人民银行综合评价范围的银行不受此限制。</w:t>
      </w:r>
    </w:p>
    <w:p>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（四）每家银行只能有一个主体参与投标，允许以省分行或者省分行授权支行为投标主体。农村信用合作社，农村商业银行，农村合作银行等金融机构可以统一以省农信联社为投标主体进行参与。</w:t>
      </w:r>
    </w:p>
    <w:p>
      <w:pPr>
        <w:spacing w:line="360" w:lineRule="auto"/>
        <w:rPr>
          <w:rFonts w:ascii="宋体" w:hAnsi="宋体" w:cs="Arial"/>
          <w:b/>
          <w:bCs/>
          <w:color w:val="auto"/>
          <w:spacing w:val="-6"/>
          <w:sz w:val="24"/>
          <w:highlight w:val="none"/>
        </w:rPr>
      </w:pPr>
      <w:r>
        <w:rPr>
          <w:rFonts w:hint="eastAsia" w:ascii="宋体" w:hAnsi="宋体" w:cs="Arial"/>
          <w:b/>
          <w:bCs/>
          <w:color w:val="auto"/>
          <w:spacing w:val="-6"/>
          <w:sz w:val="24"/>
          <w:highlight w:val="none"/>
        </w:rPr>
        <w:t>五、招标文件获取时间、方式及地址：</w:t>
      </w:r>
    </w:p>
    <w:p>
      <w:pPr>
        <w:spacing w:line="360" w:lineRule="auto"/>
        <w:ind w:firstLine="396" w:firstLineChars="200"/>
        <w:rPr>
          <w:rFonts w:hint="default"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一</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时间：</w:t>
      </w:r>
      <w:r>
        <w:rPr>
          <w:rFonts w:hint="eastAsia" w:ascii="宋体" w:hAnsi="宋体"/>
          <w:color w:val="auto"/>
          <w:spacing w:val="-6"/>
          <w:sz w:val="21"/>
          <w:szCs w:val="21"/>
          <w:highlight w:val="none"/>
        </w:rPr>
        <w:t>2021年1</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rPr>
        <w:t>月</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rPr>
        <w:t>日至2021年11月</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rPr>
        <w:t>日</w:t>
      </w:r>
      <w:r>
        <w:rPr>
          <w:rFonts w:hint="eastAsia" w:ascii="宋体" w:hAnsi="宋体"/>
          <w:color w:val="auto"/>
          <w:spacing w:val="-6"/>
          <w:sz w:val="21"/>
          <w:szCs w:val="21"/>
          <w:highlight w:val="none"/>
          <w:lang w:val="en-US" w:eastAsia="zh-CN"/>
        </w:rPr>
        <w:t>下午17:00</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二</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报名方式：本项目实行网上报名，不接受现场报名。报名银行须登录政府采购云平台（https://www.zcygov.cn），进入</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公款竞争性存放</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模块</w:t>
      </w:r>
      <w:r>
        <w:rPr>
          <w:rFonts w:hint="eastAsia" w:ascii="宋体" w:hAnsi="宋体"/>
          <w:color w:val="auto"/>
          <w:spacing w:val="-6"/>
          <w:sz w:val="21"/>
          <w:szCs w:val="21"/>
          <w:highlight w:val="none"/>
        </w:rPr>
        <w:t>，在“竞标项目”</w:t>
      </w:r>
      <w:r>
        <w:rPr>
          <w:rFonts w:hint="eastAsia" w:ascii="宋体" w:hAnsi="宋体"/>
          <w:color w:val="auto"/>
          <w:spacing w:val="-6"/>
          <w:sz w:val="21"/>
          <w:szCs w:val="21"/>
          <w:highlight w:val="none"/>
          <w:lang w:val="en-US" w:eastAsia="zh-CN"/>
        </w:rPr>
        <w:t>选择本项目</w:t>
      </w:r>
      <w:r>
        <w:rPr>
          <w:rFonts w:hint="eastAsia" w:ascii="宋体" w:hAnsi="宋体"/>
          <w:color w:val="auto"/>
          <w:spacing w:val="-6"/>
          <w:sz w:val="21"/>
          <w:szCs w:val="21"/>
          <w:highlight w:val="none"/>
        </w:rPr>
        <w:t>按规定进行报名。报名成功后在线下载招标文件。（本次采购不提供纸质版采购文件）</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lang w:val="en-US" w:eastAsia="zh-CN"/>
        </w:rPr>
        <w:t>（三）</w:t>
      </w:r>
      <w:r>
        <w:rPr>
          <w:rFonts w:ascii="宋体" w:hAnsi="宋体"/>
          <w:color w:val="auto"/>
          <w:spacing w:val="-6"/>
          <w:sz w:val="21"/>
          <w:szCs w:val="21"/>
          <w:highlight w:val="none"/>
        </w:rPr>
        <w:t>标书</w:t>
      </w:r>
      <w:r>
        <w:rPr>
          <w:rFonts w:hint="eastAsia" w:ascii="宋体" w:hAnsi="宋体"/>
          <w:color w:val="auto"/>
          <w:spacing w:val="-6"/>
          <w:sz w:val="21"/>
          <w:szCs w:val="21"/>
          <w:highlight w:val="none"/>
        </w:rPr>
        <w:t>售价</w:t>
      </w:r>
      <w:r>
        <w:rPr>
          <w:rFonts w:ascii="宋体" w:hAnsi="宋体"/>
          <w:color w:val="auto"/>
          <w:spacing w:val="-6"/>
          <w:sz w:val="21"/>
          <w:szCs w:val="21"/>
          <w:highlight w:val="none"/>
        </w:rPr>
        <w:t>：</w:t>
      </w:r>
      <w:r>
        <w:rPr>
          <w:rFonts w:hint="eastAsia" w:ascii="宋体" w:hAnsi="宋体"/>
          <w:color w:val="auto"/>
          <w:spacing w:val="-6"/>
          <w:sz w:val="21"/>
          <w:szCs w:val="21"/>
          <w:highlight w:val="none"/>
        </w:rPr>
        <w:t>免费</w:t>
      </w:r>
    </w:p>
    <w:p>
      <w:pPr>
        <w:spacing w:line="360" w:lineRule="auto"/>
        <w:jc w:val="left"/>
        <w:rPr>
          <w:rFonts w:ascii="宋体" w:hAnsi="宋体"/>
          <w:color w:val="auto"/>
          <w:spacing w:val="-6"/>
          <w:sz w:val="21"/>
          <w:szCs w:val="21"/>
          <w:highlight w:val="none"/>
        </w:rPr>
      </w:pPr>
      <w:r>
        <w:rPr>
          <w:rFonts w:hint="eastAsia" w:ascii="宋体" w:hAnsi="宋体" w:cs="Arial"/>
          <w:b/>
          <w:color w:val="auto"/>
          <w:spacing w:val="-6"/>
          <w:sz w:val="24"/>
          <w:highlight w:val="none"/>
        </w:rPr>
        <w:t>六、</w:t>
      </w:r>
      <w:r>
        <w:rPr>
          <w:rFonts w:hint="eastAsia" w:ascii="宋体" w:hAnsi="宋体" w:cs="Arial"/>
          <w:b/>
          <w:bCs/>
          <w:color w:val="auto"/>
          <w:spacing w:val="-6"/>
          <w:sz w:val="24"/>
          <w:highlight w:val="none"/>
        </w:rPr>
        <w:t>投标截止时间</w:t>
      </w:r>
      <w:r>
        <w:rPr>
          <w:rFonts w:hint="eastAsia" w:ascii="宋体" w:hAnsi="宋体" w:cs="Arial"/>
          <w:color w:val="auto"/>
          <w:spacing w:val="-6"/>
          <w:sz w:val="24"/>
          <w:highlight w:val="none"/>
        </w:rPr>
        <w:t>：</w:t>
      </w:r>
      <w:r>
        <w:rPr>
          <w:rFonts w:hint="eastAsia" w:ascii="宋体" w:hAnsi="宋体"/>
          <w:color w:val="auto"/>
          <w:spacing w:val="-6"/>
          <w:sz w:val="21"/>
          <w:szCs w:val="21"/>
          <w:highlight w:val="none"/>
          <w:lang w:eastAsia="zh-CN"/>
        </w:rPr>
        <w:t>2021年11月</w:t>
      </w:r>
      <w:r>
        <w:rPr>
          <w:rFonts w:hint="eastAsia" w:ascii="宋体" w:hAnsi="宋体"/>
          <w:color w:val="auto"/>
          <w:spacing w:val="-6"/>
          <w:sz w:val="21"/>
          <w:szCs w:val="21"/>
          <w:highlight w:val="none"/>
          <w:lang w:val="en-US" w:eastAsia="zh-CN"/>
        </w:rPr>
        <w:t>9</w:t>
      </w:r>
      <w:r>
        <w:rPr>
          <w:rFonts w:hint="eastAsia" w:ascii="宋体" w:hAnsi="宋体"/>
          <w:color w:val="auto"/>
          <w:spacing w:val="-6"/>
          <w:sz w:val="21"/>
          <w:szCs w:val="21"/>
          <w:highlight w:val="none"/>
          <w:lang w:eastAsia="zh-CN"/>
        </w:rPr>
        <w:t>日</w:t>
      </w:r>
      <w:r>
        <w:rPr>
          <w:rFonts w:hint="eastAsia" w:ascii="宋体" w:hAnsi="宋体"/>
          <w:color w:val="auto"/>
          <w:spacing w:val="-6"/>
          <w:sz w:val="21"/>
          <w:szCs w:val="21"/>
          <w:highlight w:val="none"/>
        </w:rPr>
        <w:t>下午13:30:00</w:t>
      </w:r>
    </w:p>
    <w:p>
      <w:pPr>
        <w:spacing w:line="360" w:lineRule="auto"/>
        <w:jc w:val="left"/>
        <w:rPr>
          <w:rFonts w:ascii="宋体" w:hAnsi="宋体"/>
          <w:bCs/>
          <w:color w:val="auto"/>
          <w:spacing w:val="-6"/>
          <w:sz w:val="21"/>
          <w:szCs w:val="21"/>
          <w:highlight w:val="none"/>
        </w:rPr>
      </w:pPr>
      <w:r>
        <w:rPr>
          <w:rFonts w:hint="eastAsia" w:ascii="宋体" w:hAnsi="宋体" w:cs="Arial"/>
          <w:b/>
          <w:bCs/>
          <w:color w:val="auto"/>
          <w:spacing w:val="-6"/>
          <w:sz w:val="24"/>
          <w:highlight w:val="none"/>
        </w:rPr>
        <w:t>七、投标文件</w:t>
      </w:r>
      <w:r>
        <w:rPr>
          <w:rFonts w:hint="eastAsia" w:ascii="宋体" w:hAnsi="宋体"/>
          <w:b/>
          <w:color w:val="auto"/>
          <w:sz w:val="24"/>
          <w:highlight w:val="none"/>
        </w:rPr>
        <w:t>提交方式、地点：</w:t>
      </w:r>
      <w:r>
        <w:rPr>
          <w:rFonts w:hint="eastAsia" w:ascii="宋体" w:hAnsi="宋体"/>
          <w:color w:val="auto"/>
          <w:spacing w:val="-6"/>
          <w:sz w:val="21"/>
          <w:szCs w:val="21"/>
          <w:highlight w:val="none"/>
        </w:rPr>
        <w:t>通过政府采购云平台（https://login.zcygov.cn）在线电子投标</w:t>
      </w:r>
      <w:r>
        <w:rPr>
          <w:rFonts w:hint="eastAsia" w:ascii="宋体" w:hAnsi="宋体"/>
          <w:bCs/>
          <w:color w:val="auto"/>
          <w:spacing w:val="-6"/>
          <w:sz w:val="21"/>
          <w:szCs w:val="21"/>
          <w:highlight w:val="none"/>
        </w:rPr>
        <w:t>；</w:t>
      </w:r>
    </w:p>
    <w:p>
      <w:pPr>
        <w:spacing w:line="360" w:lineRule="auto"/>
        <w:jc w:val="left"/>
        <w:rPr>
          <w:rFonts w:ascii="宋体" w:hAnsi="宋体"/>
          <w:bCs/>
          <w:color w:val="auto"/>
          <w:spacing w:val="-6"/>
          <w:sz w:val="21"/>
          <w:szCs w:val="21"/>
          <w:highlight w:val="none"/>
        </w:rPr>
      </w:pPr>
      <w:r>
        <w:rPr>
          <w:rFonts w:hint="eastAsia" w:ascii="宋体" w:hAnsi="宋体"/>
          <w:b/>
          <w:color w:val="auto"/>
          <w:spacing w:val="-6"/>
          <w:sz w:val="21"/>
          <w:szCs w:val="21"/>
          <w:highlight w:val="none"/>
        </w:rPr>
        <w:t>备注：</w:t>
      </w:r>
      <w:r>
        <w:rPr>
          <w:rFonts w:hint="eastAsia" w:ascii="宋体" w:hAnsi="宋体"/>
          <w:bCs/>
          <w:color w:val="auto"/>
          <w:spacing w:val="-6"/>
          <w:sz w:val="21"/>
          <w:szCs w:val="21"/>
          <w:highlight w:val="none"/>
        </w:rPr>
        <w:t>本项目实行在线电子招投标，投标人报名后即可在政采云系统中编制响应文件，在投标截止时间前进行投标。</w:t>
      </w:r>
    </w:p>
    <w:p>
      <w:pPr>
        <w:spacing w:line="360" w:lineRule="auto"/>
        <w:rPr>
          <w:rFonts w:ascii="宋体" w:hAnsi="宋体" w:cs="Arial"/>
          <w:color w:val="auto"/>
          <w:spacing w:val="-6"/>
          <w:sz w:val="24"/>
          <w:highlight w:val="none"/>
        </w:rPr>
      </w:pPr>
      <w:r>
        <w:rPr>
          <w:rFonts w:hint="eastAsia" w:ascii="宋体" w:hAnsi="宋体" w:cs="Arial"/>
          <w:b/>
          <w:bCs/>
          <w:color w:val="auto"/>
          <w:spacing w:val="-6"/>
          <w:sz w:val="24"/>
          <w:highlight w:val="none"/>
        </w:rPr>
        <w:t>八、开标时间及地点</w:t>
      </w:r>
      <w:r>
        <w:rPr>
          <w:rFonts w:hint="eastAsia" w:ascii="宋体" w:hAnsi="宋体" w:cs="Arial"/>
          <w:color w:val="auto"/>
          <w:spacing w:val="-6"/>
          <w:sz w:val="24"/>
          <w:highlight w:val="none"/>
        </w:rPr>
        <w:t>：</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时间：</w:t>
      </w:r>
      <w:r>
        <w:rPr>
          <w:rFonts w:hint="eastAsia" w:ascii="宋体" w:hAnsi="宋体"/>
          <w:color w:val="auto"/>
          <w:spacing w:val="-6"/>
          <w:sz w:val="21"/>
          <w:szCs w:val="21"/>
          <w:highlight w:val="none"/>
          <w:lang w:eastAsia="zh-CN"/>
        </w:rPr>
        <w:t>2021年11月</w:t>
      </w:r>
      <w:r>
        <w:rPr>
          <w:rFonts w:hint="eastAsia" w:ascii="宋体" w:hAnsi="宋体"/>
          <w:color w:val="auto"/>
          <w:spacing w:val="-6"/>
          <w:sz w:val="21"/>
          <w:szCs w:val="21"/>
          <w:highlight w:val="none"/>
          <w:lang w:val="en-US" w:eastAsia="zh-CN"/>
        </w:rPr>
        <w:t>9</w:t>
      </w:r>
      <w:r>
        <w:rPr>
          <w:rFonts w:hint="eastAsia" w:ascii="宋体" w:hAnsi="宋体"/>
          <w:color w:val="auto"/>
          <w:spacing w:val="-6"/>
          <w:sz w:val="21"/>
          <w:szCs w:val="21"/>
          <w:highlight w:val="none"/>
          <w:lang w:eastAsia="zh-CN"/>
        </w:rPr>
        <w:t>日</w:t>
      </w:r>
      <w:r>
        <w:rPr>
          <w:rFonts w:hint="eastAsia" w:ascii="宋体" w:hAnsi="宋体"/>
          <w:color w:val="auto"/>
          <w:spacing w:val="-6"/>
          <w:sz w:val="21"/>
          <w:szCs w:val="21"/>
          <w:highlight w:val="none"/>
        </w:rPr>
        <w:t>下午13:30:00</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地点：通过政府采购云平台（https://login.zcygov.cn）在线开标</w:t>
      </w:r>
    </w:p>
    <w:p>
      <w:pPr>
        <w:spacing w:line="360" w:lineRule="auto"/>
        <w:rPr>
          <w:rFonts w:hint="default" w:ascii="宋体" w:hAnsi="宋体" w:eastAsia="宋体" w:cs="Arial"/>
          <w:b/>
          <w:color w:val="auto"/>
          <w:spacing w:val="-6"/>
          <w:sz w:val="24"/>
          <w:highlight w:val="none"/>
          <w:lang w:val="en-US" w:eastAsia="zh-CN"/>
        </w:rPr>
      </w:pPr>
      <w:r>
        <w:rPr>
          <w:rFonts w:hint="eastAsia" w:ascii="宋体" w:hAnsi="宋体" w:cs="Arial"/>
          <w:b/>
          <w:color w:val="auto"/>
          <w:spacing w:val="-6"/>
          <w:sz w:val="24"/>
          <w:highlight w:val="none"/>
        </w:rPr>
        <w:t>九、</w:t>
      </w:r>
      <w:r>
        <w:rPr>
          <w:rFonts w:hint="eastAsia" w:ascii="宋体" w:hAnsi="宋体" w:cs="Arial"/>
          <w:b/>
          <w:color w:val="auto"/>
          <w:spacing w:val="-6"/>
          <w:sz w:val="24"/>
          <w:highlight w:val="none"/>
          <w:lang w:val="en-US" w:eastAsia="zh-CN"/>
        </w:rPr>
        <w:t>其他说明：</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一</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投标人应在投标报名前提交政府采购云平台（https://www.zcygov.cn/）银行入驻申请并成为公款存放正式供应商，否则无法参与线上公款竞争性存放业务。</w:t>
      </w:r>
    </w:p>
    <w:p>
      <w:pPr>
        <w:spacing w:line="360" w:lineRule="auto"/>
        <w:ind w:firstLine="396" w:firstLineChars="200"/>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二</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投标人应在投标前完成CA数字证书办理。网上电子投标具体流程详见操作指南：登录政府采购云平台（https://www.zcygov.cn/），从首页-服务中心-帮助文档-公款竞争性存放-操作流程，查看文档</w:t>
      </w:r>
      <w:r>
        <w:rPr>
          <w:rFonts w:hint="eastAsia" w:ascii="宋体" w:hAnsi="宋体"/>
          <w:color w:val="auto"/>
          <w:spacing w:val="-6"/>
          <w:sz w:val="21"/>
          <w:szCs w:val="21"/>
          <w:highlight w:val="none"/>
          <w:lang w:eastAsia="zh-CN"/>
        </w:rPr>
        <w:t>。</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三</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如有疑问，可致电政府采购云平台技术支持热线咨询，联系方式：400-881-7190。</w:t>
      </w:r>
    </w:p>
    <w:p>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lang w:val="en-US" w:eastAsia="zh-CN"/>
        </w:rPr>
        <w:t>十、</w:t>
      </w:r>
      <w:r>
        <w:rPr>
          <w:rFonts w:hint="eastAsia" w:ascii="宋体" w:hAnsi="宋体" w:cs="Arial"/>
          <w:b/>
          <w:color w:val="auto"/>
          <w:spacing w:val="-6"/>
          <w:sz w:val="24"/>
          <w:highlight w:val="none"/>
        </w:rPr>
        <w:t>业务咨询：</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招标人名称：浙江科技学院</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地址：杭州市留和路318号</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联系人：田老师</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联系方法：0571-85070189</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招标代理机构名称：浙江求是招标代理有限公司</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地址：杭州市西湖区玉古路173号中田大厦11楼</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业务联系人：陈应俭、杨立凯</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联系方法：0571-87670301</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获取文件联系人：周嘉倩</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联系方法：0571-56532513</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传真：0571-87666116</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招标代理机构质疑联系人：余水星</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联系方法：0571-81110356</w:t>
      </w:r>
    </w:p>
    <w:p>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质疑邮箱：jdkh@qszb.net</w:t>
      </w:r>
    </w:p>
    <w:p>
      <w:pPr>
        <w:spacing w:line="360" w:lineRule="auto"/>
        <w:ind w:firstLine="420" w:firstLineChars="200"/>
        <w:jc w:val="center"/>
        <w:outlineLvl w:val="0"/>
        <w:rPr>
          <w:rFonts w:asciiTheme="minorEastAsia" w:hAnsiTheme="minorEastAsia" w:eastAsiaTheme="minorEastAsia"/>
          <w:color w:val="auto"/>
          <w:sz w:val="21"/>
          <w:szCs w:val="21"/>
          <w:highlight w:val="none"/>
        </w:rPr>
      </w:pPr>
      <w:r>
        <w:rPr>
          <w:rFonts w:hint="eastAsia" w:ascii="宋体" w:hAnsi="宋体"/>
          <w:color w:val="auto"/>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招标需求</w:t>
      </w:r>
    </w:p>
    <w:p>
      <w:pPr>
        <w:adjustRightInd w:val="0"/>
        <w:snapToGrid w:val="0"/>
        <w:spacing w:line="288" w:lineRule="auto"/>
        <w:ind w:firstLine="420" w:firstLineChars="200"/>
        <w:rPr>
          <w:rFonts w:ascii="宋体" w:hAnsi="宋体" w:cs="宋体"/>
          <w:color w:val="auto"/>
          <w:spacing w:val="-6"/>
          <w:kern w:val="0"/>
          <w:sz w:val="21"/>
          <w:szCs w:val="21"/>
          <w:highlight w:val="none"/>
        </w:rPr>
      </w:pPr>
      <w:r>
        <w:rPr>
          <w:rFonts w:hint="eastAsia" w:asciiTheme="minorEastAsia" w:hAnsiTheme="minorEastAsia" w:eastAsiaTheme="minorEastAsia"/>
          <w:color w:val="auto"/>
          <w:sz w:val="21"/>
          <w:szCs w:val="21"/>
          <w:highlight w:val="none"/>
        </w:rPr>
        <w:t>本次招标采用综合评分法，招标确</w:t>
      </w:r>
      <w:r>
        <w:rPr>
          <w:rFonts w:hint="eastAsia" w:ascii="宋体" w:hAnsi="宋体" w:cs="宋体"/>
          <w:color w:val="auto"/>
          <w:spacing w:val="-6"/>
          <w:kern w:val="0"/>
          <w:sz w:val="21"/>
          <w:szCs w:val="21"/>
          <w:highlight w:val="none"/>
        </w:rPr>
        <w:t>定</w:t>
      </w:r>
      <w:r>
        <w:rPr>
          <w:rFonts w:hint="eastAsia" w:ascii="宋体" w:hAnsi="宋体" w:cs="宋体"/>
          <w:color w:val="auto"/>
          <w:spacing w:val="-6"/>
          <w:kern w:val="0"/>
          <w:sz w:val="21"/>
          <w:szCs w:val="21"/>
          <w:highlight w:val="none"/>
        </w:rPr>
        <w:t>2</w:t>
      </w:r>
      <w:r>
        <w:rPr>
          <w:rFonts w:hint="eastAsia" w:ascii="宋体" w:hAnsi="宋体" w:cs="宋体"/>
          <w:color w:val="auto"/>
          <w:spacing w:val="-6"/>
          <w:kern w:val="0"/>
          <w:sz w:val="21"/>
          <w:szCs w:val="21"/>
          <w:highlight w:val="none"/>
        </w:rPr>
        <w:t>家银行机构负责提供浙江科技学院2021年第二期公款竞争性存放服务。</w:t>
      </w:r>
    </w:p>
    <w:p>
      <w:pPr>
        <w:adjustRightInd w:val="0"/>
        <w:snapToGrid w:val="0"/>
        <w:spacing w:line="288" w:lineRule="auto"/>
        <w:ind w:firstLine="396" w:firstLineChars="20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服务要求：</w:t>
      </w:r>
    </w:p>
    <w:tbl>
      <w:tblPr>
        <w:tblStyle w:val="2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38"/>
        <w:gridCol w:w="1417"/>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04"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采购内容</w:t>
            </w:r>
          </w:p>
        </w:tc>
        <w:tc>
          <w:tcPr>
            <w:tcW w:w="1838"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存放总金额</w:t>
            </w:r>
          </w:p>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（万元）</w:t>
            </w:r>
          </w:p>
        </w:tc>
        <w:tc>
          <w:tcPr>
            <w:tcW w:w="1417"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选择银行</w:t>
            </w:r>
          </w:p>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（家）</w:t>
            </w:r>
          </w:p>
        </w:tc>
        <w:tc>
          <w:tcPr>
            <w:tcW w:w="4839"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资金分配及存放说明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404"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定期存款</w:t>
            </w:r>
          </w:p>
        </w:tc>
        <w:tc>
          <w:tcPr>
            <w:tcW w:w="1838"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6600（含学校食堂600万）</w:t>
            </w:r>
          </w:p>
        </w:tc>
        <w:tc>
          <w:tcPr>
            <w:tcW w:w="1417" w:type="dxa"/>
            <w:vAlign w:val="center"/>
          </w:tcPr>
          <w:p>
            <w:pPr>
              <w:adjustRightInd w:val="0"/>
              <w:snapToGrid w:val="0"/>
              <w:spacing w:line="288"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tc>
        <w:tc>
          <w:tcPr>
            <w:tcW w:w="4839" w:type="dxa"/>
            <w:vAlign w:val="center"/>
          </w:tcPr>
          <w:p>
            <w:pPr>
              <w:adjustRightInd w:val="0"/>
              <w:snapToGrid w:val="0"/>
              <w:spacing w:line="288"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本次招标按照排名顺序选择2家银行进行资金存放，第1名一年期定期存款3900万元（含学校食堂资金600万），第2名</w:t>
            </w:r>
            <w:r>
              <w:rPr>
                <w:rFonts w:hint="eastAsia" w:asciiTheme="minorEastAsia" w:hAnsiTheme="minorEastAsia" w:eastAsiaTheme="minorEastAsia"/>
                <w:color w:val="auto"/>
                <w:sz w:val="21"/>
                <w:szCs w:val="21"/>
                <w:highlight w:val="none"/>
                <w:lang w:val="en-US" w:eastAsia="zh-CN"/>
              </w:rPr>
              <w:t>一</w:t>
            </w:r>
            <w:r>
              <w:rPr>
                <w:rFonts w:hint="eastAsia" w:asciiTheme="minorEastAsia" w:hAnsiTheme="minorEastAsia" w:eastAsiaTheme="minorEastAsia"/>
                <w:color w:val="auto"/>
                <w:sz w:val="21"/>
                <w:szCs w:val="21"/>
                <w:highlight w:val="none"/>
              </w:rPr>
              <w:t>年期定期存款2700万元。根据</w:t>
            </w:r>
            <w:r>
              <w:rPr>
                <w:rFonts w:hint="eastAsia" w:asciiTheme="minorEastAsia" w:hAnsiTheme="minorEastAsia" w:eastAsiaTheme="minorEastAsia"/>
                <w:color w:val="auto"/>
                <w:sz w:val="21"/>
                <w:szCs w:val="21"/>
                <w:highlight w:val="none"/>
                <w:lang w:val="en-US" w:eastAsia="zh-CN"/>
              </w:rPr>
              <w:t>学校</w:t>
            </w:r>
            <w:r>
              <w:rPr>
                <w:rFonts w:hint="eastAsia" w:asciiTheme="minorEastAsia" w:hAnsiTheme="minorEastAsia" w:eastAsiaTheme="minorEastAsia"/>
                <w:color w:val="auto"/>
                <w:sz w:val="21"/>
                <w:szCs w:val="21"/>
                <w:highlight w:val="none"/>
              </w:rPr>
              <w:t>资金情况，先存放到第1名，第1名存放金额完成后再存放到第2名。</w:t>
            </w:r>
          </w:p>
        </w:tc>
      </w:tr>
    </w:tbl>
    <w:p>
      <w:pPr>
        <w:adjustRightInd w:val="0"/>
        <w:snapToGrid w:val="0"/>
        <w:spacing w:line="288" w:lineRule="auto"/>
        <w:ind w:firstLine="396" w:firstLineChars="20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一）严格按照《关于防止领导干部在公款存放方面发生利益冲突和利益输送的办法》（浙委办发〔2015〕8号)、《浙江省省级行政事业单位公款竞争性存放管理暂行办法》（浙政办发〔2015〕91号）、《浙江省教育厅公款竞争性存放实施细则》（浙教财〔2019〕46号)、《浙江省财政厅关于印发浙江省省级行政事业单位公款竞争性存放管理办法的通知》（浙财预执〔2021〕7号）等公款存放的制度规定，办理各项业务，保证资金的安全性。遇到有被银监局降级等特殊情况，会危及资金安全的需要在情况发生3天内及时通知招标人。</w:t>
      </w:r>
    </w:p>
    <w:p>
      <w:pPr>
        <w:adjustRightInd w:val="0"/>
        <w:snapToGrid w:val="0"/>
        <w:spacing w:line="288" w:lineRule="auto"/>
        <w:ind w:firstLine="396" w:firstLineChars="200"/>
        <w:rPr>
          <w:rFonts w:ascii="宋体" w:hAnsi="宋体" w:cs="宋体"/>
          <w:color w:val="auto"/>
          <w:sz w:val="21"/>
          <w:szCs w:val="21"/>
          <w:highlight w:val="none"/>
        </w:rPr>
      </w:pPr>
      <w:r>
        <w:rPr>
          <w:rFonts w:hint="eastAsia" w:ascii="宋体" w:hAnsi="宋体" w:cs="宋体"/>
          <w:color w:val="auto"/>
          <w:spacing w:val="-6"/>
          <w:kern w:val="0"/>
          <w:sz w:val="21"/>
          <w:szCs w:val="21"/>
          <w:highlight w:val="none"/>
        </w:rPr>
        <w:t>（二）本项目定期存款存期为</w:t>
      </w:r>
      <w:r>
        <w:rPr>
          <w:rFonts w:hint="eastAsia" w:ascii="宋体" w:hAnsi="宋体" w:cs="宋体"/>
          <w:color w:val="auto"/>
          <w:spacing w:val="-6"/>
          <w:kern w:val="0"/>
          <w:sz w:val="21"/>
          <w:szCs w:val="21"/>
          <w:highlight w:val="none"/>
        </w:rPr>
        <w:t>12个月，第1名一年期定期存款3900万元（含学校食堂资金600万），第2名</w:t>
      </w:r>
      <w:r>
        <w:rPr>
          <w:rFonts w:hint="eastAsia" w:ascii="宋体" w:hAnsi="宋体" w:cs="宋体"/>
          <w:color w:val="auto"/>
          <w:spacing w:val="-6"/>
          <w:kern w:val="0"/>
          <w:sz w:val="21"/>
          <w:szCs w:val="21"/>
          <w:highlight w:val="none"/>
        </w:rPr>
        <w:t>一</w:t>
      </w:r>
      <w:r>
        <w:rPr>
          <w:rFonts w:hint="eastAsia" w:ascii="宋体" w:hAnsi="宋体" w:cs="宋体"/>
          <w:color w:val="auto"/>
          <w:spacing w:val="-6"/>
          <w:kern w:val="0"/>
          <w:sz w:val="21"/>
          <w:szCs w:val="21"/>
          <w:highlight w:val="none"/>
        </w:rPr>
        <w:t>年期定期存款2700万元</w:t>
      </w:r>
      <w:r>
        <w:rPr>
          <w:rFonts w:hint="eastAsia" w:ascii="宋体" w:hAnsi="宋体" w:cs="宋体"/>
          <w:color w:val="auto"/>
          <w:spacing w:val="-6"/>
          <w:kern w:val="0"/>
          <w:sz w:val="21"/>
          <w:szCs w:val="21"/>
          <w:highlight w:val="none"/>
        </w:rPr>
        <w:t>。续存按《浙江省省级行政事业单位公款竞争性存放管理暂行办法》(浙政办发〔2015〕91号)、《浙江省财政厅关于印发浙江省省级行政事业单位公款竞争性存放管理办法的通知》（浙财预执〔2021〕7号）</w:t>
      </w:r>
      <w:r>
        <w:rPr>
          <w:rFonts w:hint="eastAsia" w:ascii="宋体" w:hAnsi="宋体" w:cs="宋体"/>
          <w:color w:val="auto"/>
          <w:sz w:val="21"/>
          <w:szCs w:val="21"/>
          <w:highlight w:val="none"/>
        </w:rPr>
        <w:t>规定执行。凡发现并经核实中标人未遵守廉政承诺或者在资金存放中存在其他利益输送行为的，</w:t>
      </w:r>
      <w:r>
        <w:rPr>
          <w:rFonts w:hint="eastAsia" w:ascii="宋体" w:hAnsi="宋体" w:cs="宋体"/>
          <w:color w:val="auto"/>
          <w:spacing w:val="-6"/>
          <w:kern w:val="0"/>
          <w:sz w:val="21"/>
          <w:szCs w:val="21"/>
          <w:highlight w:val="none"/>
        </w:rPr>
        <w:t>招标人</w:t>
      </w:r>
      <w:r>
        <w:rPr>
          <w:rFonts w:hint="eastAsia" w:ascii="宋体" w:hAnsi="宋体" w:cs="宋体"/>
          <w:color w:val="auto"/>
          <w:sz w:val="21"/>
          <w:szCs w:val="21"/>
          <w:highlight w:val="none"/>
        </w:rPr>
        <w:t>有权提前收回资金。</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（三）按中标利率对公款资金进行计息，定期存款到期时应及时将本息打入</w:t>
      </w:r>
      <w:r>
        <w:rPr>
          <w:rFonts w:hint="eastAsia" w:ascii="宋体" w:hAnsi="宋体" w:cs="宋体"/>
          <w:color w:val="auto"/>
          <w:spacing w:val="-6"/>
          <w:kern w:val="0"/>
          <w:sz w:val="21"/>
          <w:szCs w:val="21"/>
          <w:highlight w:val="none"/>
        </w:rPr>
        <w:t>招标人</w:t>
      </w:r>
      <w:r>
        <w:rPr>
          <w:rFonts w:hint="eastAsia" w:ascii="宋体" w:hAnsi="宋体" w:cs="宋体"/>
          <w:color w:val="auto"/>
          <w:sz w:val="21"/>
          <w:szCs w:val="21"/>
          <w:highlight w:val="none"/>
        </w:rPr>
        <w:t>账户。不能以任何理由拒绝办理或部分办理。</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（四）有专人负责办理相关业务，及时上门提供定期账单，重大金额及重要事项当天送达。</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（五）免收银行各项业务手续费。</w:t>
      </w:r>
    </w:p>
    <w:p>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（六）遇到需要提前支取的情况，应该在核对相应的材料后给予绿色通道快速处理，不得拖延。提前支取规则：根据流动性需求提前支取的存款，在每家中标人中平均支取。</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（七）投标人应在投标文件中对服务内容明确承诺，承诺内容必须达到本章及招标文件其他条款的要求。</w:t>
      </w:r>
    </w:p>
    <w:p>
      <w:pPr>
        <w:adjustRightInd w:val="0"/>
        <w:snapToGrid w:val="0"/>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（八）基本要求：</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rPr>
        <w:t>投标报价为定期存款利率较基准利率的增加基点(BP)报价。本期年利率设保底价为招标公告发布当日中国人民银行公布的整存整取的定期存款基准利率。增加基点（BP）按现行利率政策规定范围填写。</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2.投标文件中承诺的基点值在整个合同执行期内固定不变，基准利率以中国人民银行公告的利率为准。</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3.利息自存入之日起计算，存入时间由招标人根据实际情况决定。</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4.允许招标人根据实际需要确定存单面值、提前支取部分或全部存款。</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投标时确定的针对本项目的服务机构是获得总行或在浙江省的最高级别机构唯一授权的分支机构。投标人与最终公款存放的网点一致（如不一致的，须在投标文件中明确最终公款存放的网点），服务期限内不得随意转移。</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6.当中标人因自身原因放弃中标资格，招标人有权选择排名中标人后顺位一位的银行进行递补，以此类推。</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.日常服务包括但不限于：</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（1）指定专人负责定期存款相关服务；</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（2）及时上门提供定期账单，提供银行对账电子稿；</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（3）协助办理本项目的相关手续等</w:t>
      </w:r>
      <w:bookmarkStart w:id="2" w:name="_GoBack"/>
      <w:bookmarkEnd w:id="2"/>
      <w:r>
        <w:rPr>
          <w:rFonts w:hint="eastAsia" w:ascii="宋体" w:hAnsi="宋体" w:cs="宋体"/>
          <w:color w:val="auto"/>
          <w:sz w:val="21"/>
          <w:szCs w:val="21"/>
          <w:highlight w:val="none"/>
        </w:rPr>
        <w:t>；</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（4）及时按中标利率对公款资金进行计息和偿付，提前支取给予绿色通道快速处理；</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（5）及时告知银行出现的重大安全事项；</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（6）如有开户，对账户的收支业务提供对账单上门服务。</w:t>
      </w:r>
    </w:p>
    <w:p>
      <w:pPr>
        <w:adjustRightInd w:val="0"/>
        <w:snapToGrid w:val="0"/>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.投标人须在中标后按项目需要办理相关手续，并在合同约定的服务期限内按招标人要求提供服务，涉及存放金额和存放期限的，均由招标人自主确定，投标人不得做限制性规定，也不得降低服务质量和标准。</w:t>
      </w:r>
    </w:p>
    <w:p>
      <w:pPr>
        <w:adjustRightInd w:val="0"/>
        <w:snapToGrid w:val="0"/>
        <w:spacing w:line="360" w:lineRule="auto"/>
        <w:ind w:firstLine="420" w:firstLineChars="200"/>
        <w:rPr>
          <w:rFonts w:ascii="宋体" w:hAnsi="宋体" w:cs="宋体"/>
          <w:color w:val="auto"/>
          <w:sz w:val="21"/>
          <w:szCs w:val="21"/>
          <w:highlight w:val="none"/>
        </w:rPr>
      </w:pPr>
    </w:p>
    <w:p>
      <w:pPr>
        <w:adjustRightInd w:val="0"/>
        <w:snapToGrid w:val="0"/>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注：</w:t>
      </w:r>
      <w:r>
        <w:rPr>
          <w:rFonts w:hint="eastAsia" w:ascii="宋体" w:hAnsi="宋体" w:cs="宋体"/>
          <w:color w:val="auto"/>
          <w:sz w:val="21"/>
          <w:szCs w:val="21"/>
          <w:highlight w:val="none"/>
        </w:rPr>
        <w:t>带“▲”的有关技术和商务条款为实质性条款，投标人必须做出实质性响应。</w:t>
      </w:r>
    </w:p>
    <w:p>
      <w:pPr>
        <w:adjustRightInd w:val="0"/>
        <w:snapToGrid w:val="0"/>
        <w:spacing w:line="360" w:lineRule="auto"/>
        <w:ind w:firstLine="422" w:firstLineChars="200"/>
        <w:jc w:val="left"/>
        <w:rPr>
          <w:rFonts w:asciiTheme="minorEastAsia" w:hAnsiTheme="minorEastAsia" w:eastAsiaTheme="minorEastAsia"/>
          <w:b/>
          <w:bCs/>
          <w:color w:val="auto"/>
          <w:sz w:val="21"/>
          <w:szCs w:val="21"/>
          <w:highlight w:val="none"/>
        </w:rPr>
      </w:pPr>
    </w:p>
    <w:p>
      <w:pPr>
        <w:spacing w:line="360" w:lineRule="auto"/>
        <w:jc w:val="center"/>
        <w:outlineLvl w:val="0"/>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b/>
          <w:color w:val="auto"/>
          <w:sz w:val="32"/>
          <w:szCs w:val="32"/>
          <w:highlight w:val="none"/>
        </w:rPr>
        <w:t>第三章  投标人须知</w:t>
      </w:r>
    </w:p>
    <w:p>
      <w:pPr>
        <w:spacing w:line="360" w:lineRule="auto"/>
        <w:jc w:val="center"/>
        <w:outlineLvl w:val="1"/>
        <w:rPr>
          <w:rFonts w:ascii="宋体" w:hAnsi="宋体"/>
          <w:b/>
          <w:color w:val="auto"/>
          <w:sz w:val="24"/>
          <w:highlight w:val="none"/>
        </w:rPr>
      </w:pPr>
      <w:r>
        <w:rPr>
          <w:rFonts w:hint="eastAsia" w:ascii="宋体" w:hAnsi="宋体"/>
          <w:b/>
          <w:color w:val="auto"/>
          <w:sz w:val="24"/>
          <w:highlight w:val="none"/>
        </w:rPr>
        <w:t>投标人</w:t>
      </w:r>
      <w:r>
        <w:rPr>
          <w:rFonts w:ascii="宋体" w:hAnsi="宋体"/>
          <w:b/>
          <w:color w:val="auto"/>
          <w:sz w:val="24"/>
          <w:highlight w:val="none"/>
        </w:rPr>
        <w:t>须知</w:t>
      </w:r>
      <w:r>
        <w:rPr>
          <w:rFonts w:hint="eastAsia" w:ascii="宋体" w:hAnsi="宋体"/>
          <w:b/>
          <w:color w:val="auto"/>
          <w:sz w:val="24"/>
          <w:highlight w:val="none"/>
        </w:rPr>
        <w:t>前附表</w:t>
      </w:r>
    </w:p>
    <w:tbl>
      <w:tblPr>
        <w:tblStyle w:val="28"/>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招标人：浙江科技学院</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招标项目名称：2021年第二期公款竞争性存放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投标报价：</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1.投标报价是指一次性报出不得更改的价格；</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2.本次投标</w:t>
            </w:r>
            <w:r>
              <w:rPr>
                <w:rFonts w:hint="eastAsia" w:ascii="宋体" w:hAnsi="宋体" w:cs="宋体"/>
                <w:color w:val="auto"/>
                <w:sz w:val="21"/>
                <w:szCs w:val="21"/>
                <w:highlight w:val="none"/>
                <w:lang w:val="en-US" w:eastAsia="zh-CN"/>
              </w:rPr>
              <w:t>采用</w:t>
            </w:r>
            <w:r>
              <w:rPr>
                <w:rFonts w:hint="eastAsia" w:ascii="宋体" w:hAnsi="宋体" w:cs="宋体"/>
                <w:color w:val="auto"/>
                <w:sz w:val="21"/>
                <w:szCs w:val="21"/>
                <w:highlight w:val="none"/>
              </w:rPr>
              <w:t>定期存款利率较基准利率的增加基点(BP)报价</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投标费用：</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1.不论投标结果如何，投标人均应自行承担所有与投标有关的全部费用；</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2.中标人在中标通知书发出后七个工作日内，向招标代理机构交纳代理服务费。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投标文件份数：在线上传递交</w:t>
            </w:r>
            <w:r>
              <w:rPr>
                <w:rFonts w:hint="eastAsia" w:ascii="宋体" w:hAnsi="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投标</w:t>
            </w:r>
            <w:r>
              <w:rPr>
                <w:rFonts w:ascii="宋体" w:hAnsi="宋体"/>
                <w:color w:val="auto"/>
                <w:sz w:val="21"/>
                <w:szCs w:val="21"/>
                <w:highlight w:val="none"/>
              </w:rPr>
              <w:t>有效期</w:t>
            </w:r>
            <w:r>
              <w:rPr>
                <w:rFonts w:hint="eastAsia" w:ascii="宋体" w:hAnsi="宋体"/>
                <w:color w:val="auto"/>
                <w:sz w:val="21"/>
                <w:szCs w:val="21"/>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评标结果公示：评标结果公示于浙江政府采购网（</w:t>
            </w:r>
            <w:r>
              <w:rPr>
                <w:rFonts w:hint="eastAsia"/>
                <w:color w:val="auto"/>
                <w:highlight w:val="none"/>
              </w:rPr>
              <w:fldChar w:fldCharType="begin"/>
            </w:r>
            <w:r>
              <w:rPr>
                <w:color w:val="auto"/>
                <w:highlight w:val="none"/>
              </w:rPr>
              <w:instrText xml:space="preserve"> HYPERLINK "http://www.zjzfcg.gov.cn/" </w:instrText>
            </w:r>
            <w:r>
              <w:rPr>
                <w:rFonts w:hint="eastAsia"/>
                <w:color w:val="auto"/>
                <w:highlight w:val="none"/>
              </w:rPr>
              <w:fldChar w:fldCharType="separate"/>
            </w:r>
            <w:r>
              <w:rPr>
                <w:rStyle w:val="26"/>
                <w:rFonts w:hint="eastAsia" w:ascii="宋体" w:hAnsi="宋体"/>
                <w:color w:val="auto"/>
                <w:sz w:val="21"/>
                <w:szCs w:val="21"/>
                <w:highlight w:val="none"/>
              </w:rPr>
              <w:t>http://www.z</w:t>
            </w:r>
            <w:bookmarkStart w:id="0" w:name="_Hlt495665240"/>
            <w:bookmarkStart w:id="1" w:name="_Hlt495665241"/>
            <w:r>
              <w:rPr>
                <w:rStyle w:val="26"/>
                <w:rFonts w:hint="eastAsia" w:ascii="宋体" w:hAnsi="宋体"/>
                <w:color w:val="auto"/>
                <w:sz w:val="21"/>
                <w:szCs w:val="21"/>
                <w:highlight w:val="none"/>
              </w:rPr>
              <w:t>j</w:t>
            </w:r>
            <w:bookmarkEnd w:id="0"/>
            <w:bookmarkEnd w:id="1"/>
            <w:r>
              <w:rPr>
                <w:rStyle w:val="26"/>
                <w:rFonts w:hint="eastAsia" w:ascii="宋体" w:hAnsi="宋体"/>
                <w:color w:val="auto"/>
                <w:sz w:val="21"/>
                <w:szCs w:val="21"/>
                <w:highlight w:val="none"/>
              </w:rPr>
              <w:t>zfcg.gov.cn</w:t>
            </w:r>
            <w:r>
              <w:rPr>
                <w:rStyle w:val="26"/>
                <w:rFonts w:hint="eastAsia" w:ascii="宋体" w:hAnsi="宋体"/>
                <w:color w:val="auto"/>
                <w:sz w:val="21"/>
                <w:szCs w:val="21"/>
                <w:highlight w:val="none"/>
              </w:rPr>
              <w:fldChar w:fldCharType="end"/>
            </w:r>
            <w:r>
              <w:rPr>
                <w:rFonts w:hint="eastAsia" w:ascii="宋体" w:hAnsi="宋体"/>
                <w:color w:val="auto"/>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签订协议：中标通知书发出后30日内。</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支付代理服务费：中标通知书发出后七个工作日内。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定期存款存放银行出现以下情形，招标人及时提前收回定期存款，并有权拒绝其在以后2年内参与本单位公款</w:t>
            </w:r>
            <w:r>
              <w:rPr>
                <w:rFonts w:ascii="宋体" w:hAnsi="宋体"/>
                <w:color w:val="auto"/>
                <w:sz w:val="21"/>
                <w:szCs w:val="21"/>
                <w:highlight w:val="none"/>
              </w:rPr>
              <w:t>存放</w:t>
            </w:r>
            <w:r>
              <w:rPr>
                <w:rFonts w:hint="eastAsia" w:ascii="宋体" w:hAnsi="宋体"/>
                <w:color w:val="auto"/>
                <w:sz w:val="21"/>
                <w:szCs w:val="21"/>
                <w:highlight w:val="none"/>
              </w:rPr>
              <w:t>。</w:t>
            </w:r>
          </w:p>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（一）出现资金安全事故、重大违法违规情况或财务状况恶化的；</w:t>
            </w:r>
          </w:p>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（二）监管评级降低后低于人民银行上年度综合评价B级，监管部门认为存在较大运营风险的；</w:t>
            </w:r>
          </w:p>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（三）进行不正当投标的；</w:t>
            </w:r>
          </w:p>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（四）没有按照中标协议承诺履行相应的责任和义务的；</w:t>
            </w:r>
          </w:p>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（五）不能按规定将到期存款本息足额缴入单位账户的；</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（六）存在其他妨害资金安全行为的。</w:t>
            </w:r>
          </w:p>
        </w:tc>
      </w:tr>
    </w:tbl>
    <w:p>
      <w:pPr>
        <w:pStyle w:val="12"/>
        <w:spacing w:beforeLines="0" w:afterLines="0" w:line="360"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总则</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本招标文件适用于</w:t>
      </w:r>
      <w:r>
        <w:rPr>
          <w:rFonts w:hint="eastAsia" w:ascii="宋体" w:hAnsi="宋体"/>
          <w:color w:val="auto"/>
          <w:spacing w:val="-6"/>
          <w:sz w:val="21"/>
          <w:szCs w:val="21"/>
          <w:highlight w:val="none"/>
          <w:lang w:eastAsia="zh-CN"/>
        </w:rPr>
        <w:t>2021年第二期公款竞争性存放</w:t>
      </w:r>
      <w:r>
        <w:rPr>
          <w:rFonts w:hint="eastAsia" w:ascii="宋体" w:hAnsi="宋体"/>
          <w:color w:val="auto"/>
          <w:spacing w:val="-6"/>
          <w:sz w:val="21"/>
          <w:szCs w:val="21"/>
          <w:highlight w:val="none"/>
        </w:rPr>
        <w:t>的招标、评标、定标、验收、合同履约、付款等（法律、法规另有规定的，从其规定）。</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（二） 定义</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1.“招标人”系指</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2.“招标代理机构”系指组织本次招标的浙江求是招标代理有限公司；</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“投标人”系指是指响应招标、参加投标竞争的法人、其他组织；</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w:t>
      </w:r>
      <w:r>
        <w:rPr>
          <w:rFonts w:hint="eastAsia" w:ascii="宋体" w:hAnsi="宋体"/>
          <w:color w:val="auto"/>
          <w:spacing w:val="-6"/>
          <w:sz w:val="21"/>
          <w:szCs w:val="21"/>
          <w:highlight w:val="none"/>
        </w:rPr>
        <w:t>“书面形式”包括信函、传真、电子邮件等；</w:t>
      </w:r>
    </w:p>
    <w:p>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5.“电子投标文件”系指通过政采云电子交易客户端（政采云投标客户端）完成投标文件编制后生成数据电文形式的投标文件；</w:t>
      </w:r>
    </w:p>
    <w:p>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6.“公章”除特殊说明外系指政采云电子交易客户端（政采云投标客户端）中投标人的电子签章；</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7.“▲”系指实质性要求条款，投标人应当做出实质性响应。</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招标方式</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本次招标采用公开招标方式进行。</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（四） 投标委托</w:t>
      </w:r>
    </w:p>
    <w:p>
      <w:pPr>
        <w:spacing w:line="360" w:lineRule="auto"/>
        <w:ind w:firstLine="396" w:firstLineChars="200"/>
        <w:rPr>
          <w:color w:val="auto"/>
          <w:spacing w:val="-6"/>
          <w:sz w:val="21"/>
          <w:szCs w:val="21"/>
          <w:highlight w:val="none"/>
        </w:rPr>
      </w:pPr>
      <w:r>
        <w:rPr>
          <w:rFonts w:ascii="宋体" w:hAnsi="宋体"/>
          <w:color w:val="auto"/>
          <w:spacing w:val="-6"/>
          <w:sz w:val="21"/>
          <w:szCs w:val="21"/>
          <w:highlight w:val="none"/>
        </w:rPr>
        <w:t>如投标人代表不是企业负责人，须有</w:t>
      </w:r>
      <w:r>
        <w:rPr>
          <w:rFonts w:ascii="宋体" w:hAnsi="宋体"/>
          <w:bCs/>
          <w:color w:val="auto"/>
          <w:spacing w:val="-6"/>
          <w:sz w:val="21"/>
          <w:szCs w:val="21"/>
          <w:highlight w:val="none"/>
        </w:rPr>
        <w:t>附有企业负责人资格证明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的企业负责人授权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（详见投标文件格式）</w:t>
      </w:r>
      <w:r>
        <w:rPr>
          <w:rFonts w:hint="eastAsia"/>
          <w:color w:val="auto"/>
          <w:spacing w:val="-6"/>
          <w:sz w:val="21"/>
          <w:szCs w:val="21"/>
          <w:highlight w:val="none"/>
        </w:rPr>
        <w:t>。</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（五） 投标费用</w:t>
      </w:r>
    </w:p>
    <w:p>
      <w:pPr>
        <w:spacing w:line="360"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不论投标结果如何，投标人均应自行承担所有与投标有关的全部费用；</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2.中标人在中标通知书发出后七个工作日内，每家入围银行向招标代理机构交纳代理服务费，</w:t>
      </w:r>
      <w:r>
        <w:rPr>
          <w:rFonts w:ascii="宋体" w:hAnsi="宋体"/>
          <w:color w:val="auto"/>
          <w:spacing w:val="-6"/>
          <w:sz w:val="21"/>
          <w:szCs w:val="21"/>
          <w:highlight w:val="none"/>
        </w:rPr>
        <w:t>收费标准</w:t>
      </w:r>
      <w:r>
        <w:rPr>
          <w:rFonts w:hint="eastAsia" w:ascii="宋体" w:hAnsi="宋体"/>
          <w:color w:val="auto"/>
          <w:spacing w:val="-6"/>
          <w:sz w:val="21"/>
          <w:szCs w:val="21"/>
          <w:highlight w:val="none"/>
        </w:rPr>
        <w:t>人民币捌仟元整。</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（六） 联合体投标</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本项目不接受联合体投标。</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（七） 转包</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本项目不允许转包。</w:t>
      </w:r>
    </w:p>
    <w:p>
      <w:pPr>
        <w:spacing w:line="360" w:lineRule="auto"/>
        <w:rPr>
          <w:rFonts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10"/>
        <w:spacing w:line="360"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.投标人应仔细阅读招标文件的所有内容，按照招标文件的要求提交投标文件，并对所提供的全部资料的真实性承担法律责任。</w:t>
      </w:r>
    </w:p>
    <w:p>
      <w:pPr>
        <w:pStyle w:val="10"/>
        <w:spacing w:line="360"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单位负责人为同一人或者存在直接控股、管理关系的不同供应商，不得参加同一合同项下的采购活动。</w:t>
      </w:r>
    </w:p>
    <w:p>
      <w:pPr>
        <w:pStyle w:val="10"/>
        <w:spacing w:line="360" w:lineRule="auto"/>
        <w:ind w:firstLine="0"/>
        <w:jc w:val="center"/>
        <w:outlineLvl w:val="1"/>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、招标文件</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（一） 招标文件的构成。本招标文件由以下部分组成：</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1.招标公告</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2.招标需求</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3.投标人须知</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4.评标办法及评分标准</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5.拟签订的协议文本</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6.投标文件格式</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7.本项目招标文件的澄清、答复、修改、补充的内容</w:t>
      </w:r>
    </w:p>
    <w:p>
      <w:pPr>
        <w:spacing w:line="360" w:lineRule="auto"/>
        <w:jc w:val="left"/>
        <w:rPr>
          <w:rFonts w:ascii="宋体" w:hAnsi="宋体"/>
          <w:color w:val="auto"/>
          <w:spacing w:val="-6"/>
          <w:sz w:val="24"/>
          <w:highlight w:val="none"/>
        </w:rPr>
      </w:pPr>
      <w:r>
        <w:rPr>
          <w:rFonts w:hint="eastAsia" w:ascii="宋体" w:hAnsi="宋体"/>
          <w:b/>
          <w:color w:val="auto"/>
          <w:spacing w:val="-6"/>
          <w:sz w:val="24"/>
          <w:highlight w:val="none"/>
        </w:rPr>
        <w:t>（二） 投标人的风险</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投标人没有按照招标文件要求提供全部资料，或者投标人没有对招标文件在各方面作出实质性响应是投标人的风险，并可能导致其投标被拒绝。</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招标文件的澄清与修改</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.招标人或者招标代理机构可以对已发出的招标文件进行必要的澄清或者修改</w:t>
      </w:r>
      <w:r>
        <w:rPr>
          <w:rFonts w:hint="eastAsia" w:hAnsi="宋体"/>
          <w:color w:val="auto"/>
          <w:spacing w:val="-6"/>
          <w:sz w:val="21"/>
          <w:szCs w:val="21"/>
          <w:highlight w:val="none"/>
        </w:rPr>
        <w:t>，</w:t>
      </w:r>
      <w:r>
        <w:rPr>
          <w:rFonts w:hAnsi="宋体"/>
          <w:color w:val="auto"/>
          <w:spacing w:val="-6"/>
          <w:sz w:val="21"/>
          <w:szCs w:val="21"/>
          <w:highlight w:val="none"/>
        </w:rPr>
        <w:t>澄清或者修改</w:t>
      </w:r>
      <w:r>
        <w:rPr>
          <w:rFonts w:hint="eastAsia" w:hAnsi="宋体"/>
          <w:color w:val="auto"/>
          <w:spacing w:val="-6"/>
          <w:sz w:val="21"/>
          <w:szCs w:val="21"/>
          <w:highlight w:val="none"/>
        </w:rPr>
        <w:t>会</w:t>
      </w:r>
      <w:r>
        <w:rPr>
          <w:rFonts w:hAnsi="宋体"/>
          <w:color w:val="auto"/>
          <w:spacing w:val="-6"/>
          <w:sz w:val="21"/>
          <w:szCs w:val="21"/>
          <w:highlight w:val="none"/>
        </w:rPr>
        <w:t>在原公告发布媒体上发布澄清公告</w:t>
      </w:r>
      <w:r>
        <w:rPr>
          <w:rFonts w:hint="eastAsia" w:hAnsi="宋体"/>
          <w:color w:val="auto"/>
          <w:spacing w:val="-6"/>
          <w:sz w:val="21"/>
          <w:szCs w:val="21"/>
          <w:highlight w:val="none"/>
        </w:rPr>
        <w:t>，</w:t>
      </w:r>
      <w:r>
        <w:rPr>
          <w:rFonts w:hAnsi="宋体"/>
          <w:color w:val="auto"/>
          <w:spacing w:val="-6"/>
          <w:sz w:val="21"/>
          <w:szCs w:val="21"/>
          <w:highlight w:val="none"/>
        </w:rPr>
        <w:t>澄清或者修改的内容为招标文件的组成部分。</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澄清或者修改的内容可能影响投标文件编制的，招标人或者招标代理机构会在投标截止时间至少5个</w:t>
      </w:r>
      <w:r>
        <w:rPr>
          <w:rFonts w:hAnsi="宋体"/>
          <w:color w:val="auto"/>
          <w:spacing w:val="-6"/>
          <w:sz w:val="21"/>
          <w:szCs w:val="21"/>
          <w:highlight w:val="none"/>
        </w:rPr>
        <w:t>工作</w:t>
      </w:r>
      <w:r>
        <w:rPr>
          <w:rFonts w:hint="eastAsia" w:hAnsi="宋体"/>
          <w:color w:val="auto"/>
          <w:spacing w:val="-6"/>
          <w:sz w:val="21"/>
          <w:szCs w:val="21"/>
          <w:highlight w:val="none"/>
        </w:rPr>
        <w:t>日前，以书面形式通知所有获取招标文件的潜在投标人；不足5个</w:t>
      </w:r>
      <w:r>
        <w:rPr>
          <w:rFonts w:hAnsi="宋体"/>
          <w:color w:val="auto"/>
          <w:spacing w:val="-6"/>
          <w:sz w:val="21"/>
          <w:szCs w:val="21"/>
          <w:highlight w:val="none"/>
        </w:rPr>
        <w:t>工作</w:t>
      </w:r>
      <w:r>
        <w:rPr>
          <w:rFonts w:hint="eastAsia" w:hAnsi="宋体"/>
          <w:color w:val="auto"/>
          <w:spacing w:val="-6"/>
          <w:sz w:val="21"/>
          <w:szCs w:val="21"/>
          <w:highlight w:val="none"/>
        </w:rPr>
        <w:t>日的，招标人或者招标代理机构会顺延提交投标文件的截止时间。</w:t>
      </w:r>
    </w:p>
    <w:p>
      <w:pPr>
        <w:pStyle w:val="10"/>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pPr>
        <w:pStyle w:val="10"/>
        <w:spacing w:line="360" w:lineRule="auto"/>
        <w:ind w:firstLine="0"/>
        <w:jc w:val="center"/>
        <w:outlineLvl w:val="1"/>
        <w:rPr>
          <w:rFonts w:hAnsi="宋体"/>
          <w:color w:val="auto"/>
          <w:spacing w:val="-6"/>
          <w:sz w:val="21"/>
          <w:szCs w:val="21"/>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投标文件的编制</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（一） 投标文件的组成</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投标文件由：报价文件、资格文件、商务和技术文件组成（格式详见招标文件第六章）。</w:t>
      </w:r>
    </w:p>
    <w:p>
      <w:pPr>
        <w:spacing w:line="360" w:lineRule="auto"/>
        <w:ind w:firstLine="398" w:firstLineChars="200"/>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1.报价文件：</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（1）开标一览表</w:t>
      </w:r>
    </w:p>
    <w:p>
      <w:pPr>
        <w:spacing w:line="360" w:lineRule="auto"/>
        <w:ind w:firstLine="398" w:firstLineChars="200"/>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2.资格文件：</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rPr>
        <w:t>）有效的法人或者其他组织的营业执照等证明文件（扫描件加盖公章）</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中华人民共和国金融许可证（扫描件加盖公章）</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rPr>
        <w:t>）中标后对本项目指定的一家杭州市区分支机构作为存款银行的承诺书，承诺在合同期内不得随意转移（包含但不限于杭分支机构的地址，联系人等信息）（格式自拟）</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rPr>
        <w:t>）参加采购活动前3年内在经营活动中没有重大违法记录的书面声明（格式自拟）</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rPr>
        <w:t>）人民银行杭州中心支行2020年度综合评价证明材料</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5</w:t>
      </w:r>
      <w:r>
        <w:rPr>
          <w:rFonts w:hint="eastAsia" w:ascii="宋体" w:hAnsi="宋体"/>
          <w:color w:val="auto"/>
          <w:spacing w:val="-6"/>
          <w:sz w:val="21"/>
          <w:szCs w:val="21"/>
          <w:highlight w:val="none"/>
        </w:rPr>
        <w:t>）省级分行针对本项目的授权委托书（投标人为总行或省级分行的不需提供）</w:t>
      </w:r>
    </w:p>
    <w:p>
      <w:pPr>
        <w:snapToGrid w:val="0"/>
        <w:spacing w:line="360"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lang w:val="en-US" w:eastAsia="zh-CN"/>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商务和技术文件：</w:t>
      </w:r>
    </w:p>
    <w:p>
      <w:pPr>
        <w:snapToGrid w:val="0"/>
        <w:spacing w:line="360" w:lineRule="auto"/>
        <w:ind w:firstLine="390" w:firstLineChars="197"/>
        <w:jc w:val="left"/>
        <w:rPr>
          <w:rFonts w:ascii="宋体" w:hAnsi="宋体"/>
          <w:color w:val="auto"/>
          <w:spacing w:val="-6"/>
          <w:sz w:val="21"/>
          <w:szCs w:val="21"/>
          <w:highlight w:val="none"/>
        </w:rPr>
      </w:pPr>
      <w:r>
        <w:rPr>
          <w:rFonts w:hint="eastAsia" w:ascii="宋体" w:hAnsi="宋体"/>
          <w:color w:val="auto"/>
          <w:spacing w:val="-6"/>
          <w:sz w:val="21"/>
          <w:szCs w:val="21"/>
          <w:highlight w:val="none"/>
        </w:rPr>
        <w:t>（1）开标一览表</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（2）投标函</w:t>
      </w:r>
    </w:p>
    <w:p>
      <w:pPr>
        <w:spacing w:line="360" w:lineRule="auto"/>
        <w:ind w:firstLine="396" w:firstLineChars="200"/>
        <w:rPr>
          <w:rFonts w:ascii="宋体" w:hAnsi="宋体"/>
          <w:b/>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企业负责人资格证明书</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（4）企业负责人授权委托书</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（5）投标声明书</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6</w:t>
      </w:r>
      <w:r>
        <w:rPr>
          <w:rFonts w:hint="eastAsia" w:ascii="宋体" w:hAnsi="宋体"/>
          <w:color w:val="auto"/>
          <w:spacing w:val="-6"/>
          <w:sz w:val="21"/>
          <w:szCs w:val="21"/>
          <w:highlight w:val="none"/>
        </w:rPr>
        <w:t>）廉政承诺书</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7</w:t>
      </w:r>
      <w:r>
        <w:rPr>
          <w:rFonts w:hint="eastAsia" w:ascii="宋体" w:hAnsi="宋体"/>
          <w:color w:val="auto"/>
          <w:spacing w:val="-6"/>
          <w:sz w:val="21"/>
          <w:szCs w:val="21"/>
          <w:highlight w:val="none"/>
        </w:rPr>
        <w:t>）服务</w:t>
      </w:r>
      <w:r>
        <w:rPr>
          <w:rFonts w:ascii="宋体" w:hAnsi="宋体"/>
          <w:color w:val="auto"/>
          <w:spacing w:val="-6"/>
          <w:sz w:val="21"/>
          <w:szCs w:val="21"/>
          <w:highlight w:val="none"/>
        </w:rPr>
        <w:t>承诺对照表</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8</w:t>
      </w:r>
      <w:r>
        <w:rPr>
          <w:rFonts w:hint="eastAsia" w:ascii="宋体" w:hAnsi="宋体"/>
          <w:color w:val="auto"/>
          <w:spacing w:val="-6"/>
          <w:sz w:val="21"/>
          <w:szCs w:val="21"/>
          <w:highlight w:val="none"/>
        </w:rPr>
        <w:t>）既往服务情况</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9</w:t>
      </w:r>
      <w:r>
        <w:rPr>
          <w:rFonts w:hint="eastAsia" w:ascii="宋体" w:hAnsi="宋体"/>
          <w:color w:val="auto"/>
          <w:spacing w:val="-6"/>
          <w:sz w:val="21"/>
          <w:szCs w:val="21"/>
          <w:highlight w:val="none"/>
        </w:rPr>
        <w:t>）整体服务方案</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10</w:t>
      </w:r>
      <w:r>
        <w:rPr>
          <w:rFonts w:hint="eastAsia" w:ascii="宋体" w:hAnsi="宋体"/>
          <w:color w:val="auto"/>
          <w:spacing w:val="-6"/>
          <w:sz w:val="21"/>
          <w:szCs w:val="21"/>
          <w:highlight w:val="none"/>
        </w:rPr>
        <w:t>）风险保障方案</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11</w:t>
      </w:r>
      <w:r>
        <w:rPr>
          <w:rFonts w:hint="eastAsia" w:ascii="宋体" w:hAnsi="宋体"/>
          <w:color w:val="auto"/>
          <w:spacing w:val="-6"/>
          <w:sz w:val="21"/>
          <w:szCs w:val="21"/>
          <w:highlight w:val="none"/>
        </w:rPr>
        <w:t>）金融服务支持情况及承诺</w:t>
      </w:r>
    </w:p>
    <w:p>
      <w:pPr>
        <w:spacing w:line="360" w:lineRule="auto"/>
        <w:ind w:firstLine="396" w:firstLineChars="200"/>
        <w:rPr>
          <w:rFonts w:hint="eastAsia" w:ascii="宋体" w:hAnsi="宋体"/>
          <w:color w:val="auto"/>
          <w:spacing w:val="-6"/>
          <w:sz w:val="21"/>
          <w:szCs w:val="21"/>
          <w:highlight w:val="none"/>
        </w:rPr>
      </w:pPr>
      <w:r>
        <w:rPr>
          <w:rFonts w:hint="eastAsia" w:ascii="宋体" w:hAnsi="宋体"/>
          <w:color w:val="auto"/>
          <w:spacing w:val="-6"/>
          <w:sz w:val="21"/>
          <w:szCs w:val="21"/>
          <w:highlight w:val="none"/>
        </w:rPr>
        <w:t>（</w:t>
      </w:r>
      <w:r>
        <w:rPr>
          <w:rFonts w:hint="eastAsia" w:ascii="宋体" w:hAnsi="宋体"/>
          <w:color w:val="auto"/>
          <w:spacing w:val="-6"/>
          <w:sz w:val="21"/>
          <w:szCs w:val="21"/>
          <w:highlight w:val="none"/>
          <w:lang w:val="en-US" w:eastAsia="zh-CN"/>
        </w:rPr>
        <w:t>12</w:t>
      </w:r>
      <w:r>
        <w:rPr>
          <w:rFonts w:hint="eastAsia" w:ascii="宋体" w:hAnsi="宋体"/>
          <w:color w:val="auto"/>
          <w:spacing w:val="-6"/>
          <w:sz w:val="21"/>
          <w:szCs w:val="21"/>
          <w:highlight w:val="none"/>
        </w:rPr>
        <w:t>）提前用款计息方案</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（二） 投标文件的签署和份数</w:t>
      </w:r>
    </w:p>
    <w:p>
      <w:pPr>
        <w:spacing w:line="360" w:lineRule="auto"/>
        <w:ind w:firstLine="396" w:firstLineChars="200"/>
        <w:jc w:val="left"/>
        <w:rPr>
          <w:rFonts w:ascii="宋体" w:hAnsi="宋体"/>
          <w:b/>
          <w:bCs/>
          <w:color w:val="auto"/>
          <w:spacing w:val="-6"/>
          <w:sz w:val="21"/>
          <w:szCs w:val="21"/>
          <w:highlight w:val="none"/>
        </w:rPr>
      </w:pPr>
      <w:r>
        <w:rPr>
          <w:rFonts w:hint="eastAsia" w:ascii="宋体" w:hAnsi="宋体"/>
          <w:color w:val="auto"/>
          <w:spacing w:val="-6"/>
          <w:sz w:val="21"/>
          <w:szCs w:val="21"/>
          <w:highlight w:val="none"/>
        </w:rPr>
        <w:t>1.投标人应按照招标文件和政府采购云平台的要求，根据投标文件的组成规定的内容及顺序通过政采云电子交易客户端（政采云投标客户端）编制投标文件，投标文件内容不完整、编排混乱导致投标文件被误读、漏读或者查找不到相关内容的，是投标人的责任。</w:t>
      </w:r>
      <w:r>
        <w:rPr>
          <w:rFonts w:hint="eastAsia" w:ascii="宋体" w:hAnsi="宋体"/>
          <w:b/>
          <w:bCs/>
          <w:color w:val="auto"/>
          <w:spacing w:val="-6"/>
          <w:sz w:val="21"/>
          <w:szCs w:val="21"/>
          <w:highlight w:val="none"/>
        </w:rPr>
        <w:t>其中资格文件、商务技术文件中不得出现投标报价，如因投标人原因提前泄露投标报价，是投标人的责任。</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2.投标文件须由投标人在规定位置加盖公章并由投标人</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签署，投标人应写全称。</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3.投标文件不得涂改，若有修改错漏处，须由投标人代表签字并加盖公章。投标文件因字迹潦草或表达不清所引起的后果由投标人负责。</w:t>
      </w:r>
    </w:p>
    <w:p>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4.投标文件份数：</w:t>
      </w:r>
    </w:p>
    <w:p>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电子投标文件：政府采购云平台在线上传一份。</w:t>
      </w:r>
    </w:p>
    <w:p>
      <w:pPr>
        <w:spacing w:line="360" w:lineRule="auto"/>
        <w:ind w:firstLine="422" w:firstLineChars="200"/>
        <w:jc w:val="left"/>
        <w:rPr>
          <w:rFonts w:ascii="宋体" w:hAnsi="宋体"/>
          <w:b/>
          <w:bCs/>
          <w:color w:val="auto"/>
          <w:sz w:val="21"/>
          <w:szCs w:val="21"/>
          <w:highlight w:val="none"/>
        </w:rPr>
      </w:pPr>
      <w:r>
        <w:rPr>
          <w:rFonts w:hint="eastAsia" w:ascii="宋体" w:hAnsi="宋体"/>
          <w:b/>
          <w:bCs/>
          <w:color w:val="auto"/>
          <w:sz w:val="21"/>
          <w:szCs w:val="21"/>
          <w:highlight w:val="none"/>
        </w:rPr>
        <w:t>备注：</w:t>
      </w:r>
    </w:p>
    <w:p>
      <w:pPr>
        <w:spacing w:line="360" w:lineRule="auto"/>
        <w:ind w:firstLine="422" w:firstLineChars="200"/>
        <w:jc w:val="left"/>
        <w:rPr>
          <w:rFonts w:ascii="宋体" w:hAnsi="宋体"/>
          <w:b/>
          <w:color w:val="auto"/>
          <w:spacing w:val="-6"/>
          <w:sz w:val="24"/>
          <w:highlight w:val="none"/>
        </w:rPr>
      </w:pPr>
      <w:r>
        <w:rPr>
          <w:rFonts w:hint="eastAsia" w:ascii="宋体" w:hAnsi="宋体"/>
          <w:b/>
          <w:bCs/>
          <w:color w:val="auto"/>
          <w:sz w:val="21"/>
          <w:szCs w:val="21"/>
          <w:highlight w:val="none"/>
        </w:rPr>
        <w:t>投标人可通过浙江省“电子交易/不见面开评标”学习专题提前进行专题学习，熟悉操作，避免影响采购活动（</w:t>
      </w:r>
      <w:r>
        <w:rPr>
          <w:rFonts w:hint="eastAsia"/>
          <w:color w:val="auto"/>
          <w:highlight w:val="none"/>
        </w:rPr>
        <w:fldChar w:fldCharType="begin"/>
      </w:r>
      <w:r>
        <w:rPr>
          <w:color w:val="auto"/>
          <w:highlight w:val="none"/>
        </w:rPr>
        <w:instrText xml:space="preserve"> HYPERLINK "https://edu.zcygov.cn/luban/e-biding" </w:instrText>
      </w:r>
      <w:r>
        <w:rPr>
          <w:rFonts w:hint="eastAsia"/>
          <w:color w:val="auto"/>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pPr>
        <w:spacing w:line="360" w:lineRule="auto"/>
        <w:jc w:val="left"/>
        <w:outlineLvl w:val="2"/>
        <w:rPr>
          <w:rFonts w:ascii="宋体" w:hAnsi="宋体"/>
          <w:b/>
          <w:color w:val="auto"/>
          <w:spacing w:val="-6"/>
          <w:sz w:val="24"/>
          <w:highlight w:val="none"/>
        </w:rPr>
      </w:pPr>
      <w:r>
        <w:rPr>
          <w:rFonts w:hint="eastAsia" w:ascii="宋体" w:hAnsi="宋体"/>
          <w:b/>
          <w:color w:val="auto"/>
          <w:spacing w:val="-6"/>
          <w:sz w:val="24"/>
          <w:highlight w:val="none"/>
        </w:rPr>
        <w:t>（三）投标文件的上传、递交、修改和撤回</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1.投标文件的上传、递交：</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1）电子投标文件的上传：</w:t>
      </w:r>
    </w:p>
    <w:p>
      <w:pPr>
        <w:spacing w:line="360" w:lineRule="auto"/>
        <w:ind w:firstLine="396" w:firstLineChars="200"/>
        <w:jc w:val="left"/>
        <w:rPr>
          <w:rFonts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a.投标人应在投标截止时间前将电子投标文件成功上传至政府采购云平台，否则投标无效；</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b.电子投标文件成功上传后，投标人可自行打印投标文件接收回执。</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360" w:lineRule="auto"/>
        <w:jc w:val="left"/>
        <w:rPr>
          <w:rFonts w:ascii="宋体" w:hAnsi="宋体"/>
          <w:color w:val="auto"/>
          <w:spacing w:val="-6"/>
          <w:sz w:val="24"/>
          <w:highlight w:val="none"/>
        </w:rPr>
      </w:pPr>
      <w:r>
        <w:rPr>
          <w:rFonts w:hint="eastAsia" w:ascii="宋体" w:hAnsi="宋体"/>
          <w:b/>
          <w:color w:val="auto"/>
          <w:spacing w:val="-6"/>
          <w:sz w:val="24"/>
          <w:highlight w:val="none"/>
        </w:rPr>
        <w:t>（四） 投标文件的语言及计量</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投标文件以及投标人与招标人或</w:t>
      </w:r>
      <w:r>
        <w:rPr>
          <w:rFonts w:ascii="宋体" w:hAnsi="宋体"/>
          <w:color w:val="auto"/>
          <w:spacing w:val="-6"/>
          <w:sz w:val="21"/>
          <w:szCs w:val="21"/>
          <w:highlight w:val="none"/>
        </w:rPr>
        <w:t>招标代理机构</w:t>
      </w:r>
      <w:r>
        <w:rPr>
          <w:rFonts w:hint="eastAsia" w:ascii="宋体" w:hAnsi="宋体"/>
          <w:color w:val="auto"/>
          <w:spacing w:val="-6"/>
          <w:sz w:val="21"/>
          <w:szCs w:val="21"/>
          <w:highlight w:val="none"/>
        </w:rPr>
        <w:t>就有关投标事宜的所有来往函电，均应以中文汉语书写。除签名、盖章、专用名称等特殊情形外，以中文汉语以外的文字表述的投标文件视同未提供（有中文汉语说明的除外）。</w:t>
      </w:r>
    </w:p>
    <w:p>
      <w:pPr>
        <w:spacing w:line="360" w:lineRule="auto"/>
        <w:jc w:val="left"/>
        <w:rPr>
          <w:rFonts w:ascii="宋体" w:hAnsi="宋体"/>
          <w:color w:val="auto"/>
          <w:spacing w:val="-6"/>
          <w:sz w:val="24"/>
          <w:highlight w:val="none"/>
        </w:rPr>
      </w:pPr>
      <w:r>
        <w:rPr>
          <w:rFonts w:hint="eastAsia" w:ascii="宋体" w:hAnsi="宋体"/>
          <w:b/>
          <w:color w:val="auto"/>
          <w:spacing w:val="-6"/>
          <w:sz w:val="24"/>
          <w:highlight w:val="none"/>
        </w:rPr>
        <w:t>（五） 投标报价</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1.本次投标采用</w:t>
      </w:r>
      <w:r>
        <w:rPr>
          <w:rFonts w:hint="eastAsia" w:ascii="宋体" w:hAnsi="宋体" w:cs="宋体"/>
          <w:color w:val="auto"/>
          <w:sz w:val="21"/>
          <w:szCs w:val="21"/>
          <w:highlight w:val="none"/>
        </w:rPr>
        <w:t>一年定期存</w:t>
      </w:r>
      <w:r>
        <w:rPr>
          <w:rFonts w:hint="eastAsia" w:cs="宋体" w:asciiTheme="minorEastAsia" w:hAnsiTheme="minorEastAsia" w:eastAsiaTheme="minorEastAsia"/>
          <w:color w:val="auto"/>
          <w:kern w:val="0"/>
          <w:sz w:val="21"/>
          <w:szCs w:val="21"/>
          <w:highlight w:val="none"/>
        </w:rPr>
        <w:t>款利率较基准利率增加基点（BP）</w:t>
      </w:r>
      <w:r>
        <w:rPr>
          <w:rFonts w:hint="eastAsia" w:cs="宋体" w:asciiTheme="minorEastAsia" w:hAnsiTheme="minorEastAsia" w:eastAsiaTheme="minorEastAsia"/>
          <w:color w:val="auto"/>
          <w:kern w:val="0"/>
          <w:sz w:val="21"/>
          <w:szCs w:val="21"/>
          <w:highlight w:val="none"/>
          <w:lang w:val="en-US" w:eastAsia="zh-CN"/>
        </w:rPr>
        <w:t>报价</w:t>
      </w:r>
      <w:r>
        <w:rPr>
          <w:rFonts w:hint="eastAsia" w:ascii="宋体" w:hAnsi="宋体"/>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2.投标报价是指一次性报出不得更改的价格</w:t>
      </w:r>
      <w:r>
        <w:rPr>
          <w:rFonts w:hint="eastAsia" w:ascii="宋体" w:hAnsi="宋体"/>
          <w:color w:val="auto"/>
          <w:sz w:val="21"/>
          <w:szCs w:val="21"/>
          <w:highlight w:val="none"/>
        </w:rPr>
        <w:t>，</w:t>
      </w:r>
      <w:r>
        <w:rPr>
          <w:rFonts w:ascii="宋体" w:hAnsi="宋体"/>
          <w:color w:val="auto"/>
          <w:sz w:val="21"/>
          <w:szCs w:val="21"/>
          <w:highlight w:val="none"/>
        </w:rPr>
        <w:t>投标报价应按招标文件中相关附表格式填写</w:t>
      </w:r>
      <w:r>
        <w:rPr>
          <w:rFonts w:hint="eastAsia" w:ascii="宋体" w:hAnsi="宋体"/>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投标文件只允许有一个报价，有选择的报价将不予接受。</w:t>
      </w:r>
    </w:p>
    <w:p>
      <w:pPr>
        <w:pStyle w:val="6"/>
        <w:widowControl w:val="0"/>
        <w:numPr>
          <w:ilvl w:val="0"/>
          <w:numId w:val="0"/>
        </w:numPr>
        <w:spacing w:afterLines="0" w:line="360" w:lineRule="auto"/>
        <w:ind w:left="327" w:hanging="327"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投标有效期</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从提交投标文件的截止之日起90天。</w:t>
      </w:r>
    </w:p>
    <w:p>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在原投标有效期满之前，如果出现特殊情况，招标人</w:t>
      </w:r>
      <w:r>
        <w:rPr>
          <w:rFonts w:ascii="宋体" w:hAnsi="宋体"/>
          <w:color w:val="auto"/>
          <w:spacing w:val="-6"/>
          <w:sz w:val="21"/>
          <w:szCs w:val="21"/>
          <w:highlight w:val="none"/>
        </w:rPr>
        <w:t>或</w:t>
      </w:r>
      <w:r>
        <w:rPr>
          <w:rFonts w:hint="eastAsia" w:ascii="宋体" w:hAnsi="宋体"/>
          <w:color w:val="auto"/>
          <w:spacing w:val="-6"/>
          <w:sz w:val="21"/>
          <w:szCs w:val="21"/>
          <w:highlight w:val="none"/>
        </w:rPr>
        <w:t>招标代理机构以书面形式通知投标人延长投标有效期。</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（七） 投标无效的情形</w:t>
      </w:r>
    </w:p>
    <w:p>
      <w:pPr>
        <w:widowControl/>
        <w:spacing w:line="360"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在资格审查时，如发现下列情形之一的，投标文件将被视为无效：</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招标</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（2）投标人不具备招标文件中规定的资格要求的。</w:t>
      </w:r>
    </w:p>
    <w:p>
      <w:pPr>
        <w:spacing w:line="360"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时，如发现下列情形之一的，投标文件将被视为无效：</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（2）未提供或未按要求提供投标函、企业负责人资格证明书、企业负责人授权委托书、投标声明书；</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明显不符合招标文件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w:t>
      </w:r>
      <w:r>
        <w:rPr>
          <w:rFonts w:ascii="宋体" w:hAnsi="宋体"/>
          <w:color w:val="auto"/>
          <w:spacing w:val="-6"/>
          <w:sz w:val="21"/>
          <w:szCs w:val="21"/>
          <w:highlight w:val="none"/>
        </w:rPr>
        <w:t>招标文件中标“▲”的项目发生实质性偏离的；</w:t>
      </w:r>
    </w:p>
    <w:p>
      <w:pPr>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（4）投标文件含有招标人不能接受的附加条件的；</w:t>
      </w:r>
    </w:p>
    <w:p>
      <w:pPr>
        <w:widowControl/>
        <w:spacing w:line="360"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（5）法律、法规和招标文件规定的其他无效情形。</w:t>
      </w:r>
    </w:p>
    <w:p>
      <w:pPr>
        <w:widowControl/>
        <w:spacing w:line="360"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3.在报价评审时，如发现下列情形之一的，投标文件将被视为无效：</w:t>
      </w:r>
    </w:p>
    <w:p>
      <w:pPr>
        <w:spacing w:line="360"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（1）未按照招标文件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报价的；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投标报价具有选择性，或者开标价格与投标文件承诺的优惠（折扣）价格不一致的；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（3）定期存款利率低于相同期限基准存款利率和违反国家利率政策规定的。</w:t>
      </w:r>
    </w:p>
    <w:p>
      <w:pPr>
        <w:widowControl/>
        <w:spacing w:line="360"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有下列情形之一的，视为投标人串通投标，其投标无效，由招标人或招标代理机构上报监督管理部门，视情列入不良行为记录名单，在一至三年内禁止参加采购活动：</w:t>
      </w:r>
    </w:p>
    <w:p>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（1）不同投标人的投标文件由同一单位或者个人编制；</w:t>
      </w:r>
    </w:p>
    <w:p>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（2）不同投标人委托同一单位或者个人办理投标事宜；</w:t>
      </w:r>
    </w:p>
    <w:p>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（3）不同投标人的投标文件载明的项目管理成员或者联系人员为同一人；</w:t>
      </w:r>
    </w:p>
    <w:p>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（4）不同投标人的投标文件异常一致或者投标报价呈规律性差异；</w:t>
      </w:r>
    </w:p>
    <w:p>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（5）不同投标人的投标文件相互混装；</w:t>
      </w:r>
    </w:p>
    <w:p>
      <w:pPr>
        <w:widowControl/>
        <w:spacing w:line="360" w:lineRule="auto"/>
        <w:ind w:firstLine="398" w:firstLineChars="200"/>
        <w:jc w:val="center"/>
        <w:outlineLvl w:val="1"/>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、开标</w:t>
      </w:r>
    </w:p>
    <w:p>
      <w:pPr>
        <w:pStyle w:val="10"/>
        <w:spacing w:line="360" w:lineRule="auto"/>
        <w:ind w:firstLine="0"/>
        <w:rPr>
          <w:rFonts w:hAnsi="宋体"/>
          <w:b/>
          <w:color w:val="auto"/>
          <w:spacing w:val="-6"/>
          <w:sz w:val="24"/>
          <w:szCs w:val="24"/>
          <w:highlight w:val="none"/>
        </w:rPr>
      </w:pPr>
      <w:r>
        <w:rPr>
          <w:rFonts w:hint="eastAsia" w:hAnsi="宋体"/>
          <w:b/>
          <w:color w:val="auto"/>
          <w:spacing w:val="-6"/>
          <w:sz w:val="24"/>
          <w:szCs w:val="24"/>
          <w:highlight w:val="none"/>
        </w:rPr>
        <w:t>（一） 开标准备</w:t>
      </w:r>
    </w:p>
    <w:p>
      <w:pPr>
        <w:pStyle w:val="10"/>
        <w:spacing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采购组织机构将按照招标文件规定的时间通过“政府采购云平台”组织在线开标，所有供应商均应当准时在线参加。</w:t>
      </w:r>
    </w:p>
    <w:p>
      <w:pPr>
        <w:pStyle w:val="10"/>
        <w:spacing w:line="360" w:lineRule="auto"/>
        <w:ind w:firstLine="0"/>
        <w:rPr>
          <w:rFonts w:hAnsi="宋体"/>
          <w:b/>
          <w:color w:val="auto"/>
          <w:spacing w:val="-6"/>
          <w:sz w:val="24"/>
          <w:szCs w:val="24"/>
          <w:highlight w:val="none"/>
        </w:rPr>
      </w:pPr>
      <w:r>
        <w:rPr>
          <w:rFonts w:hint="eastAsia" w:hAnsi="宋体"/>
          <w:b/>
          <w:color w:val="auto"/>
          <w:spacing w:val="-6"/>
          <w:sz w:val="24"/>
          <w:szCs w:val="24"/>
          <w:highlight w:val="none"/>
        </w:rPr>
        <w:t>（二） 开标程序</w:t>
      </w:r>
    </w:p>
    <w:p>
      <w:pPr>
        <w:pStyle w:val="10"/>
        <w:spacing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1.到投标截止时间，递交响应文件的投标人少于</w:t>
      </w:r>
      <w:r>
        <w:rPr>
          <w:rFonts w:hint="eastAsia" w:hAnsi="宋体"/>
          <w:color w:val="auto"/>
          <w:spacing w:val="-6"/>
          <w:sz w:val="21"/>
          <w:szCs w:val="21"/>
          <w:highlight w:val="none"/>
          <w:lang w:val="en-US" w:eastAsia="zh-CN"/>
        </w:rPr>
        <w:t>3</w:t>
      </w:r>
      <w:r>
        <w:rPr>
          <w:rFonts w:hint="eastAsia" w:hAnsi="宋体"/>
          <w:color w:val="auto"/>
          <w:spacing w:val="-6"/>
          <w:sz w:val="21"/>
          <w:szCs w:val="21"/>
          <w:highlight w:val="none"/>
        </w:rPr>
        <w:t>家的，招标人将依法重新组织招标。评标期间，如通过</w:t>
      </w:r>
      <w:r>
        <w:rPr>
          <w:rFonts w:hint="eastAsia" w:hAnsi="宋体"/>
          <w:bCs/>
          <w:color w:val="auto"/>
          <w:spacing w:val="-6"/>
          <w:sz w:val="21"/>
          <w:szCs w:val="21"/>
          <w:highlight w:val="none"/>
        </w:rPr>
        <w:t>资格审查、</w:t>
      </w:r>
      <w:r>
        <w:rPr>
          <w:rFonts w:hint="eastAsia" w:hAnsi="宋体"/>
          <w:color w:val="auto"/>
          <w:spacing w:val="-6"/>
          <w:sz w:val="21"/>
          <w:szCs w:val="21"/>
          <w:highlight w:val="none"/>
        </w:rPr>
        <w:t>符合性审查的有效投标人少于</w:t>
      </w:r>
      <w:r>
        <w:rPr>
          <w:rFonts w:hint="eastAsia" w:hAnsi="宋体"/>
          <w:color w:val="auto"/>
          <w:spacing w:val="-6"/>
          <w:sz w:val="21"/>
          <w:szCs w:val="21"/>
          <w:highlight w:val="none"/>
          <w:lang w:val="en-US" w:eastAsia="zh-CN"/>
        </w:rPr>
        <w:t>3</w:t>
      </w:r>
      <w:r>
        <w:rPr>
          <w:rFonts w:hint="eastAsia" w:hAnsi="宋体"/>
          <w:color w:val="auto"/>
          <w:spacing w:val="-6"/>
          <w:sz w:val="21"/>
          <w:szCs w:val="21"/>
          <w:highlight w:val="none"/>
        </w:rPr>
        <w:t>家的，招标人将重新组织招标。</w:t>
      </w:r>
    </w:p>
    <w:p>
      <w:pPr>
        <w:pStyle w:val="10"/>
        <w:spacing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2.所有的开标流程按照政采云平台关于公款竞争性存放的操作流程进行开标程序。</w:t>
      </w:r>
    </w:p>
    <w:p>
      <w:pPr>
        <w:pStyle w:val="12"/>
        <w:spacing w:beforeLines="0" w:afterLines="0" w:line="360" w:lineRule="auto"/>
        <w:jc w:val="center"/>
        <w:outlineLvl w:val="1"/>
        <w:rPr>
          <w:rFonts w:hAnsi="宋体"/>
          <w:b/>
          <w:color w:val="auto"/>
          <w:spacing w:val="-6"/>
          <w:sz w:val="32"/>
          <w:szCs w:val="32"/>
          <w:highlight w:val="none"/>
        </w:rPr>
      </w:pPr>
      <w:r>
        <w:rPr>
          <w:rFonts w:hAnsi="宋体"/>
          <w:b/>
          <w:color w:val="auto"/>
          <w:spacing w:val="-6"/>
          <w:sz w:val="32"/>
          <w:szCs w:val="32"/>
          <w:highlight w:val="none"/>
        </w:rPr>
        <w:br w:type="page"/>
      </w:r>
      <w:r>
        <w:rPr>
          <w:rFonts w:hint="eastAsia" w:hAnsi="宋体"/>
          <w:b/>
          <w:color w:val="auto"/>
          <w:spacing w:val="-6"/>
          <w:sz w:val="32"/>
          <w:szCs w:val="32"/>
          <w:highlight w:val="none"/>
        </w:rPr>
        <w:t>五、评  标</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（一） 组建评标委员会</w:t>
      </w:r>
    </w:p>
    <w:p>
      <w:pPr>
        <w:pStyle w:val="12"/>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本项目评标委员会</w:t>
      </w:r>
      <w:r>
        <w:rPr>
          <w:rFonts w:hint="eastAsia" w:hAnsi="宋体"/>
          <w:color w:val="auto"/>
          <w:spacing w:val="-6"/>
          <w:sz w:val="21"/>
          <w:szCs w:val="21"/>
          <w:highlight w:val="none"/>
        </w:rPr>
        <w:t>依据相关法律法规组建，成员人数为5人</w:t>
      </w:r>
      <w:r>
        <w:rPr>
          <w:rFonts w:hAnsi="宋体"/>
          <w:color w:val="auto"/>
          <w:spacing w:val="-6"/>
          <w:sz w:val="21"/>
          <w:szCs w:val="21"/>
          <w:highlight w:val="none"/>
        </w:rPr>
        <w:t>。</w:t>
      </w:r>
    </w:p>
    <w:p>
      <w:pPr>
        <w:pStyle w:val="10"/>
        <w:spacing w:line="360" w:lineRule="auto"/>
        <w:ind w:firstLine="0"/>
        <w:rPr>
          <w:rFonts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xml:space="preserve">） </w:t>
      </w:r>
      <w:r>
        <w:rPr>
          <w:rFonts w:hAnsi="宋体"/>
          <w:b/>
          <w:color w:val="auto"/>
          <w:spacing w:val="-6"/>
          <w:sz w:val="24"/>
          <w:szCs w:val="24"/>
          <w:highlight w:val="none"/>
        </w:rPr>
        <w:t>评标的方式</w:t>
      </w:r>
    </w:p>
    <w:p>
      <w:pPr>
        <w:pStyle w:val="10"/>
        <w:spacing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本项目采用不公开方式评标，评标的依据为招标文件和投标文件。</w:t>
      </w:r>
    </w:p>
    <w:p>
      <w:pPr>
        <w:pStyle w:val="10"/>
        <w:spacing w:line="360" w:lineRule="auto"/>
        <w:ind w:firstLine="0"/>
        <w:rPr>
          <w:rFonts w:hAnsi="宋体"/>
          <w:b/>
          <w:color w:val="auto"/>
          <w:spacing w:val="-6"/>
          <w:sz w:val="24"/>
          <w:szCs w:val="24"/>
          <w:highlight w:val="none"/>
        </w:rPr>
      </w:pPr>
      <w:r>
        <w:rPr>
          <w:rFonts w:hAnsi="宋体"/>
          <w:b/>
          <w:color w:val="auto"/>
          <w:spacing w:val="-6"/>
          <w:sz w:val="24"/>
          <w:szCs w:val="24"/>
          <w:highlight w:val="none"/>
        </w:rPr>
        <w:t>（三）评标程序</w:t>
      </w:r>
    </w:p>
    <w:p>
      <w:pPr>
        <w:pStyle w:val="12"/>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1.形式审查</w:t>
      </w:r>
    </w:p>
    <w:p>
      <w:pPr>
        <w:pStyle w:val="12"/>
        <w:snapToGrid w:val="0"/>
        <w:spacing w:beforeLines="0" w:afterLines="0"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招标</w:t>
      </w:r>
      <w:r>
        <w:rPr>
          <w:rFonts w:hAnsi="宋体"/>
          <w:color w:val="auto"/>
          <w:spacing w:val="-6"/>
          <w:sz w:val="21"/>
          <w:szCs w:val="21"/>
          <w:highlight w:val="none"/>
        </w:rPr>
        <w:t>代理机构工作人员协助评标委员会对投标人的资格(投标报名时已进行资格审查的除外)和投标文件的完整性、合法性等进行审查。</w:t>
      </w:r>
    </w:p>
    <w:p>
      <w:pPr>
        <w:pStyle w:val="12"/>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2.实质审查与比较</w:t>
      </w:r>
    </w:p>
    <w:p>
      <w:pPr>
        <w:pStyle w:val="12"/>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（1）评标委员会审查投标文件的实质性内容是否符合招标文件的实质性要求。</w:t>
      </w:r>
    </w:p>
    <w:p>
      <w:pPr>
        <w:pStyle w:val="12"/>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（2）评标委员会将根据投标人的投标文件进行审查、核对</w:t>
      </w:r>
      <w:r>
        <w:rPr>
          <w:rFonts w:hint="eastAsia" w:hAnsi="宋体"/>
          <w:color w:val="auto"/>
          <w:spacing w:val="-6"/>
          <w:sz w:val="21"/>
          <w:szCs w:val="21"/>
          <w:highlight w:val="none"/>
        </w:rPr>
        <w:t>，</w:t>
      </w:r>
      <w:r>
        <w:rPr>
          <w:rFonts w:hAnsi="宋体"/>
          <w:color w:val="auto"/>
          <w:spacing w:val="-6"/>
          <w:sz w:val="21"/>
          <w:szCs w:val="21"/>
          <w:highlight w:val="none"/>
        </w:rPr>
        <w:t>如有疑问</w:t>
      </w:r>
      <w:r>
        <w:rPr>
          <w:rFonts w:hint="eastAsia" w:hAnsi="宋体"/>
          <w:color w:val="auto"/>
          <w:spacing w:val="-6"/>
          <w:sz w:val="21"/>
          <w:szCs w:val="21"/>
          <w:highlight w:val="none"/>
        </w:rPr>
        <w:t>，</w:t>
      </w:r>
      <w:r>
        <w:rPr>
          <w:rFonts w:hAnsi="宋体"/>
          <w:color w:val="auto"/>
          <w:spacing w:val="-6"/>
          <w:sz w:val="21"/>
          <w:szCs w:val="21"/>
          <w:highlight w:val="none"/>
        </w:rPr>
        <w:t>将对投标人进行询标</w:t>
      </w:r>
      <w:r>
        <w:rPr>
          <w:rFonts w:hint="eastAsia" w:hAnsi="宋体"/>
          <w:color w:val="auto"/>
          <w:spacing w:val="-6"/>
          <w:sz w:val="21"/>
          <w:szCs w:val="21"/>
          <w:highlight w:val="none"/>
        </w:rPr>
        <w:t>，</w:t>
      </w:r>
      <w:r>
        <w:rPr>
          <w:rFonts w:hAnsi="宋体"/>
          <w:color w:val="auto"/>
          <w:spacing w:val="-6"/>
          <w:sz w:val="21"/>
          <w:szCs w:val="21"/>
          <w:highlight w:val="none"/>
        </w:rPr>
        <w:t>投标人要向评标委员会澄清有关问题</w:t>
      </w:r>
      <w:r>
        <w:rPr>
          <w:rFonts w:hint="eastAsia" w:hAnsi="宋体"/>
          <w:color w:val="auto"/>
          <w:spacing w:val="-6"/>
          <w:sz w:val="21"/>
          <w:szCs w:val="21"/>
          <w:highlight w:val="none"/>
        </w:rPr>
        <w:t>，</w:t>
      </w:r>
      <w:r>
        <w:rPr>
          <w:rFonts w:hAnsi="宋体"/>
          <w:color w:val="auto"/>
          <w:spacing w:val="-6"/>
          <w:sz w:val="21"/>
          <w:szCs w:val="21"/>
          <w:highlight w:val="none"/>
        </w:rPr>
        <w:t>并最终以书面形式进行答复。投标人代表拒绝澄清或者澄清的内容改变了投标文件的实质性内容的，评标委员会有权对该投标文件作出不利于投标人的评判。</w:t>
      </w:r>
    </w:p>
    <w:p>
      <w:pPr>
        <w:pStyle w:val="12"/>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（3）评标委员会</w:t>
      </w:r>
      <w:r>
        <w:rPr>
          <w:rFonts w:hint="eastAsia" w:hAnsi="宋体"/>
          <w:color w:val="auto"/>
          <w:spacing w:val="-6"/>
          <w:sz w:val="21"/>
          <w:szCs w:val="21"/>
          <w:highlight w:val="none"/>
        </w:rPr>
        <w:t>采用综合评分法评审打分，</w:t>
      </w:r>
      <w:r>
        <w:rPr>
          <w:rFonts w:hAnsi="宋体"/>
          <w:color w:val="auto"/>
          <w:spacing w:val="-6"/>
          <w:sz w:val="21"/>
          <w:szCs w:val="21"/>
          <w:highlight w:val="none"/>
        </w:rPr>
        <w:t>由指定专人进行计算复核。</w:t>
      </w:r>
    </w:p>
    <w:p>
      <w:pPr>
        <w:pStyle w:val="12"/>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（4）评分汇总，撰写评标报告。</w:t>
      </w:r>
    </w:p>
    <w:p>
      <w:pPr>
        <w:pStyle w:val="10"/>
        <w:spacing w:line="360" w:lineRule="auto"/>
        <w:ind w:firstLine="0"/>
        <w:rPr>
          <w:rFonts w:hAnsi="宋体"/>
          <w:b/>
          <w:color w:val="auto"/>
          <w:spacing w:val="-6"/>
          <w:sz w:val="24"/>
          <w:szCs w:val="24"/>
          <w:highlight w:val="none"/>
        </w:rPr>
      </w:pPr>
      <w:r>
        <w:rPr>
          <w:rFonts w:hAnsi="宋体"/>
          <w:b/>
          <w:color w:val="auto"/>
          <w:spacing w:val="-6"/>
          <w:sz w:val="24"/>
          <w:szCs w:val="24"/>
          <w:highlight w:val="none"/>
        </w:rPr>
        <w:t>（四）澄清问题的形式</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投标人的澄清、说明或者补正应当采用书面形式，并加盖公章，或者由企业负责人或其授权的代表签字。投标人的澄清、说明或者补正不得超出投标文件的范围或者改变投标文件的实质性内容。</w:t>
      </w:r>
    </w:p>
    <w:p>
      <w:pPr>
        <w:pStyle w:val="10"/>
        <w:spacing w:line="360" w:lineRule="auto"/>
        <w:ind w:firstLine="0"/>
        <w:rPr>
          <w:rFonts w:hAnsi="宋体"/>
          <w:b/>
          <w:color w:val="auto"/>
          <w:spacing w:val="-6"/>
          <w:sz w:val="24"/>
          <w:szCs w:val="24"/>
          <w:highlight w:val="none"/>
        </w:rPr>
      </w:pPr>
      <w:r>
        <w:rPr>
          <w:rFonts w:hAnsi="宋体"/>
          <w:b/>
          <w:color w:val="auto"/>
          <w:spacing w:val="-6"/>
          <w:sz w:val="24"/>
          <w:szCs w:val="24"/>
          <w:highlight w:val="none"/>
        </w:rPr>
        <w:t>（五）错误修正</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投标文件如果出现计算上的错误，修正错误的原则如下：</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两份开标一览表投标总价不一致的，以唱标的开标一览表为准；</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投标文件的大写金额和小写金额不一致的，以大写金额为准；</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单价金额小数点有明显错位的，应以总价为准，并修改单价；</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w:t>
      </w:r>
      <w:r>
        <w:rPr>
          <w:rFonts w:hint="eastAsia" w:ascii="宋体" w:hAnsi="宋体"/>
          <w:color w:val="auto"/>
          <w:spacing w:val="-6"/>
          <w:sz w:val="21"/>
          <w:szCs w:val="21"/>
          <w:highlight w:val="none"/>
        </w:rPr>
        <w:t>对不同文字文本投标文件的解释发生异议的，以中文文本为准。</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按上述修正错误的原则及方法调整或修正投标文件的投标报价，投标人同意并签字确认后，调整后的投标报价对投标人具有约束作用。如果投标人不接受修正后的报价，则其投标将被拒绝。</w:t>
      </w:r>
    </w:p>
    <w:p>
      <w:pPr>
        <w:pStyle w:val="10"/>
        <w:spacing w:line="360"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六</w:t>
      </w:r>
      <w:r>
        <w:rPr>
          <w:rFonts w:hAnsi="宋体"/>
          <w:b/>
          <w:color w:val="auto"/>
          <w:spacing w:val="-6"/>
          <w:sz w:val="24"/>
          <w:szCs w:val="24"/>
          <w:highlight w:val="none"/>
        </w:rPr>
        <w:t>）评标原则和评标办法</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委员会成员应当按照客观、公正、审慎的原则，根据招标文件规定的评标程序、评标方法和评标标准进行独立评审。招标文件内容违反国家有关强制性规定的，评标委员会应当停止评标并向招标人或者招标代理机构说明情况。</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评标中因评标委员会成员缺席、回避或者健康等特殊原因导致评标委员会组成不符合规定的，依法补足后继续评标。被更换的评标委员会成员所作出的评标意见无效。</w:t>
      </w:r>
    </w:p>
    <w:p>
      <w:pPr>
        <w:spacing w:line="360"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3.</w:t>
      </w:r>
      <w:r>
        <w:rPr>
          <w:rFonts w:hint="eastAsia" w:ascii="宋体" w:hAnsi="宋体"/>
          <w:color w:val="auto"/>
          <w:spacing w:val="-6"/>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4.评标办法。本项目评标办法是综合评分法，具体评标内容及评分标准等详见《第四章：评标办法及评分标准》。</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（七） 定 标</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1.招标代理机构自评审结束之日起2个工作日内将评审报告送交招标人。招标人收到评审报告之日起</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个工作日内在评审报告推荐的中标候选人中按顺序确定中标人，招标人将根据评选委员会提交的评审报告及推荐的中标候选人，</w:t>
      </w:r>
      <w:r>
        <w:rPr>
          <w:rFonts w:hint="eastAsia" w:ascii="宋体" w:hAnsi="宋体"/>
          <w:color w:val="auto"/>
          <w:spacing w:val="-6"/>
          <w:sz w:val="21"/>
          <w:szCs w:val="21"/>
          <w:highlight w:val="none"/>
        </w:rPr>
        <w:t>确定第一、二为中标人。</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2.招标代理机构自中标人确定之日起</w:t>
      </w:r>
      <w:r>
        <w:rPr>
          <w:rFonts w:ascii="宋体" w:hAnsi="宋体"/>
          <w:color w:val="auto"/>
          <w:spacing w:val="-6"/>
          <w:sz w:val="21"/>
          <w:szCs w:val="21"/>
          <w:highlight w:val="none"/>
        </w:rPr>
        <w:t>2</w:t>
      </w:r>
      <w:r>
        <w:rPr>
          <w:rFonts w:hint="eastAsia" w:ascii="宋体" w:hAnsi="宋体"/>
          <w:color w:val="auto"/>
          <w:spacing w:val="-6"/>
          <w:sz w:val="21"/>
          <w:szCs w:val="21"/>
          <w:highlight w:val="none"/>
        </w:rPr>
        <w:t>个工作日内，发出中标通知书，并在浙江政府采购网</w:t>
      </w:r>
      <w:r>
        <w:rPr>
          <w:rFonts w:hint="eastAsia" w:ascii="宋体" w:hAnsi="宋体"/>
          <w:color w:val="auto"/>
          <w:sz w:val="21"/>
          <w:szCs w:val="21"/>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olor w:val="auto"/>
          <w:sz w:val="21"/>
          <w:szCs w:val="21"/>
          <w:highlight w:val="none"/>
        </w:rPr>
        <w:t>http://www.zjzfcg.gov.cn</w:t>
      </w:r>
      <w:r>
        <w:rPr>
          <w:rFonts w:hint="eastAsia" w:ascii="宋体" w:hAnsi="宋体"/>
          <w:color w:val="auto"/>
          <w:sz w:val="21"/>
          <w:szCs w:val="21"/>
          <w:highlight w:val="none"/>
        </w:rPr>
        <w:fldChar w:fldCharType="end"/>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上公告中标结果。</w:t>
      </w:r>
    </w:p>
    <w:p>
      <w:pPr>
        <w:spacing w:line="360" w:lineRule="auto"/>
        <w:rPr>
          <w:rFonts w:ascii="宋体" w:hAnsi="宋体"/>
          <w:color w:val="auto"/>
          <w:spacing w:val="-6"/>
          <w:sz w:val="24"/>
          <w:highlight w:val="none"/>
        </w:rPr>
      </w:pPr>
      <w:r>
        <w:rPr>
          <w:rFonts w:hint="eastAsia" w:ascii="宋体" w:hAnsi="宋体"/>
          <w:b/>
          <w:bCs/>
          <w:color w:val="auto"/>
          <w:spacing w:val="-6"/>
          <w:sz w:val="24"/>
          <w:highlight w:val="none"/>
        </w:rPr>
        <w:t>（八） 合同授予</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招标人应当自中标通知书发出之日起30日内，按照招标文件和中标人投标文件的规定，与中标人签订书面合同。所签订的合同不得对招标文件确定的事项和中标人投标文件作实质性修改。招标人不得向中标人提出任何不合理的要求作为签订合同的条件。</w:t>
      </w:r>
    </w:p>
    <w:p>
      <w:pPr>
        <w:spacing w:line="360" w:lineRule="auto"/>
        <w:ind w:firstLine="398" w:firstLineChars="200"/>
        <w:jc w:val="center"/>
        <w:outlineLvl w:val="1"/>
        <w:rPr>
          <w:rFonts w:ascii="宋体" w:hAnsi="宋体"/>
          <w:color w:val="auto"/>
          <w:sz w:val="24"/>
          <w:highlight w:val="none"/>
        </w:rPr>
      </w:pPr>
      <w:r>
        <w:rPr>
          <w:rFonts w:ascii="宋体" w:hAnsi="宋体"/>
          <w:b/>
          <w:bCs/>
          <w:color w:val="auto"/>
          <w:spacing w:val="-6"/>
          <w:sz w:val="21"/>
          <w:szCs w:val="21"/>
          <w:highlight w:val="none"/>
        </w:rPr>
        <w:br w:type="page"/>
      </w:r>
      <w:r>
        <w:rPr>
          <w:rFonts w:hint="eastAsia" w:ascii="宋体" w:hAnsi="宋体"/>
          <w:b/>
          <w:color w:val="auto"/>
          <w:spacing w:val="-6"/>
          <w:sz w:val="32"/>
          <w:szCs w:val="32"/>
          <w:highlight w:val="none"/>
        </w:rPr>
        <w:t>六、可中止电子交易活动的情形</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采购过程中出现以下情形，导致电子交易平台无法正常运行，或者无法保证电子交易的公平、公正和安全时，采购代理机构可中止电子交易活动：</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1.电子交易平台发生故障而无法登录访问的；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2.电子交易平台应用或数据库出现错误，不能进行正常操作的；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3.电子交易平台发现严重安全漏洞，有潜在泄密危险的；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4.病毒发作导致不能进行正常操作的；</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5.其他无法保证电子交易的公平、公正和安全的情况。</w:t>
      </w:r>
    </w:p>
    <w:p>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br w:type="page"/>
      </w:r>
    </w:p>
    <w:p>
      <w:pPr>
        <w:spacing w:line="360" w:lineRule="auto"/>
        <w:jc w:val="center"/>
        <w:outlineLvl w:val="0"/>
        <w:rPr>
          <w:rFonts w:ascii="宋体" w:hAnsi="宋体"/>
          <w:b/>
          <w:color w:val="auto"/>
          <w:spacing w:val="-6"/>
          <w:sz w:val="21"/>
          <w:szCs w:val="21"/>
          <w:highlight w:val="none"/>
        </w:rPr>
      </w:pPr>
      <w:r>
        <w:rPr>
          <w:rFonts w:hint="eastAsia" w:ascii="宋体" w:hAnsi="宋体"/>
          <w:b/>
          <w:color w:val="auto"/>
          <w:sz w:val="32"/>
          <w:szCs w:val="32"/>
          <w:highlight w:val="none"/>
        </w:rPr>
        <w:t>第四章  评标办法及评分标准</w:t>
      </w:r>
    </w:p>
    <w:p>
      <w:pPr>
        <w:numPr>
          <w:ilvl w:val="0"/>
          <w:numId w:val="3"/>
        </w:num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总则</w:t>
      </w:r>
    </w:p>
    <w:p>
      <w:pPr>
        <w:spacing w:line="360"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投标人定期存</w:t>
      </w:r>
      <w:r>
        <w:rPr>
          <w:rFonts w:hint="eastAsia" w:ascii="宋体" w:hAnsi="宋体"/>
          <w:bCs/>
          <w:color w:val="auto"/>
          <w:spacing w:val="-6"/>
          <w:sz w:val="21"/>
          <w:szCs w:val="21"/>
          <w:highlight w:val="none"/>
        </w:rPr>
        <w:t>款投标利率应符合国家利率政策相关规定和浙江省市场利率定价自律机制约定范围。</w:t>
      </w:r>
    </w:p>
    <w:p>
      <w:pPr>
        <w:spacing w:line="360"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.采</w:t>
      </w:r>
      <w:r>
        <w:rPr>
          <w:rFonts w:hint="eastAsia" w:ascii="宋体" w:hAnsi="宋体"/>
          <w:bCs/>
          <w:color w:val="auto"/>
          <w:spacing w:val="-6"/>
          <w:sz w:val="21"/>
          <w:szCs w:val="21"/>
          <w:highlight w:val="none"/>
        </w:rPr>
        <w:t>用综合评分法，总分为100分。合格投标人的评标得分为各项目汇总得分，中标资格按照评标总得分由高到低顺序排列，得分相同的，依次按</w:t>
      </w:r>
      <w:r>
        <w:rPr>
          <w:rFonts w:hint="eastAsia" w:cs="宋体" w:asciiTheme="minorEastAsia" w:hAnsiTheme="minorEastAsia" w:eastAsiaTheme="minorEastAsia"/>
          <w:color w:val="auto"/>
          <w:kern w:val="0"/>
          <w:sz w:val="21"/>
          <w:szCs w:val="21"/>
          <w:highlight w:val="none"/>
        </w:rPr>
        <w:t>基准利率增加基点（BP）</w:t>
      </w:r>
      <w:r>
        <w:rPr>
          <w:rFonts w:hint="eastAsia" w:ascii="宋体" w:hAnsi="宋体"/>
          <w:bCs/>
          <w:color w:val="auto"/>
          <w:spacing w:val="-6"/>
          <w:sz w:val="21"/>
          <w:szCs w:val="21"/>
          <w:highlight w:val="none"/>
        </w:rPr>
        <w:t>、服务水平、经营状况、经济贡献度指标分值由高到低排序，全部相同采用抽签决定，</w:t>
      </w:r>
      <w:r>
        <w:rPr>
          <w:rFonts w:hint="eastAsia" w:ascii="宋体" w:hAnsi="宋体"/>
          <w:bCs/>
          <w:color w:val="auto"/>
          <w:spacing w:val="-6"/>
          <w:sz w:val="21"/>
          <w:szCs w:val="21"/>
          <w:highlight w:val="none"/>
        </w:rPr>
        <w:t>依次推荐</w:t>
      </w:r>
      <w:r>
        <w:rPr>
          <w:rFonts w:hint="eastAsia" w:ascii="宋体" w:hAnsi="宋体"/>
          <w:bCs/>
          <w:color w:val="auto"/>
          <w:spacing w:val="-6"/>
          <w:sz w:val="21"/>
          <w:szCs w:val="21"/>
          <w:highlight w:val="none"/>
          <w:lang w:val="en-US" w:eastAsia="zh-CN"/>
        </w:rPr>
        <w:t>三</w:t>
      </w:r>
      <w:r>
        <w:rPr>
          <w:rFonts w:hint="eastAsia" w:ascii="宋体" w:hAnsi="宋体"/>
          <w:bCs/>
          <w:color w:val="auto"/>
          <w:spacing w:val="-6"/>
          <w:sz w:val="21"/>
          <w:szCs w:val="21"/>
          <w:highlight w:val="none"/>
        </w:rPr>
        <w:t>名中标候选人，并编写评选报告。评分过程中采用四舍五入法，并保留小数2位。</w:t>
      </w:r>
    </w:p>
    <w:p>
      <w:pPr>
        <w:spacing w:line="360"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投标人评标综合得分=定期存款利率水平指标分值+服务水平指标分值+经营状况指标分值+经济贡献度指标分值，服务水平、经营状况、经济贡献度指标分值按照评标委员会成员的独立评分结果汇总数的算术平均分计算，计算公式为：服务水平、经营状况、经济贡献度指标分值=评标委员会所有成员评分合计数÷评标委员会人数。</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二、评标内容及标准</w:t>
      </w:r>
    </w:p>
    <w:tbl>
      <w:tblPr>
        <w:tblStyle w:val="28"/>
        <w:tblW w:w="10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99"/>
        <w:gridCol w:w="786"/>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282" w:type="dxa"/>
            <w:gridSpan w:val="2"/>
            <w:vAlign w:val="center"/>
          </w:tcPr>
          <w:p>
            <w:pPr>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评分项目</w:t>
            </w:r>
          </w:p>
        </w:tc>
        <w:tc>
          <w:tcPr>
            <w:tcW w:w="786" w:type="dxa"/>
            <w:vAlign w:val="center"/>
          </w:tcPr>
          <w:p>
            <w:pPr>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7034" w:type="dxa"/>
            <w:vAlign w:val="center"/>
          </w:tcPr>
          <w:p>
            <w:pPr>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1083" w:type="dxa"/>
            <w:vAlign w:val="center"/>
          </w:tcPr>
          <w:p>
            <w:pPr>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利率水平指标</w:t>
            </w:r>
          </w:p>
          <w:p>
            <w:pPr>
              <w:snapToGrid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(20分)</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一年定期存</w:t>
            </w:r>
            <w:r>
              <w:rPr>
                <w:rFonts w:hint="eastAsia" w:cs="宋体" w:asciiTheme="minorEastAsia" w:hAnsiTheme="minorEastAsia" w:eastAsiaTheme="minorEastAsia"/>
                <w:color w:val="auto"/>
                <w:kern w:val="0"/>
                <w:sz w:val="21"/>
                <w:szCs w:val="21"/>
                <w:highlight w:val="none"/>
              </w:rPr>
              <w:t>款利率较基准利率增加基点（BP）</w:t>
            </w:r>
          </w:p>
        </w:tc>
        <w:tc>
          <w:tcPr>
            <w:tcW w:w="786"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w:t>
            </w:r>
          </w:p>
        </w:tc>
        <w:tc>
          <w:tcPr>
            <w:tcW w:w="7034" w:type="dxa"/>
            <w:vAlign w:val="center"/>
          </w:tcPr>
          <w:p>
            <w:pP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满足招标文件要求且一年定期存款利率较基准利率增加基点最高的作为评标基准价</w:t>
            </w:r>
            <w:r>
              <w:rPr>
                <w:rFonts w:hint="eastAsia" w:ascii="宋体" w:hAnsi="宋体" w:cs="宋体"/>
                <w:color w:val="auto"/>
                <w:sz w:val="21"/>
                <w:szCs w:val="21"/>
                <w:highlight w:val="none"/>
              </w:rPr>
              <w:t>，其他投标银行的报价得分按照下列公式计算：</w:t>
            </w:r>
          </w:p>
          <w:p>
            <w:pPr>
              <w:rPr>
                <w:rFonts w:hint="eastAsia" w:ascii="宋体" w:hAnsi="宋体" w:eastAsia="宋体" w:cs="宋体"/>
                <w:color w:val="auto"/>
                <w:spacing w:val="-6"/>
                <w:sz w:val="21"/>
                <w:szCs w:val="21"/>
                <w:highlight w:val="none"/>
                <w:lang w:val="en-US" w:eastAsia="zh-CN"/>
              </w:rPr>
            </w:pPr>
            <w:r>
              <w:rPr>
                <w:rFonts w:hint="eastAsia" w:cs="宋体" w:asciiTheme="minorEastAsia" w:hAnsiTheme="minorEastAsia" w:eastAsiaTheme="minorEastAsia"/>
                <w:color w:val="auto"/>
                <w:kern w:val="0"/>
                <w:sz w:val="21"/>
                <w:szCs w:val="21"/>
                <w:highlight w:val="none"/>
              </w:rPr>
              <w:t>利率报价得分=（一年定期存款利率较基准利率增加基点/评标基准价）×</w:t>
            </w:r>
            <w:r>
              <w:rPr>
                <w:rFonts w:hint="eastAsia" w:cs="宋体" w:asciiTheme="minorEastAsia" w:hAnsiTheme="minorEastAsia" w:eastAsiaTheme="minorEastAsia"/>
                <w:color w:val="auto"/>
                <w:kern w:val="0"/>
                <w:sz w:val="21"/>
                <w:szCs w:val="21"/>
                <w:highlight w:val="none"/>
                <w:lang w:val="en-US" w:eastAsia="zh-CN"/>
              </w:rPr>
              <w:t>20</w:t>
            </w:r>
            <w:r>
              <w:rPr>
                <w:rFonts w:hint="eastAsia" w:cs="宋体" w:asciiTheme="minorEastAsia" w:hAnsiTheme="minorEastAsia" w:eastAsiaTheme="minorEastAsia"/>
                <w:color w:val="auto"/>
                <w:kern w:val="0"/>
                <w:sz w:val="21"/>
                <w:szCs w:val="21"/>
                <w:highlight w:val="none"/>
              </w:rPr>
              <w:t>，</w:t>
            </w:r>
            <w:r>
              <w:rPr>
                <w:rFonts w:hint="eastAsia" w:ascii="宋体" w:hAnsi="宋体" w:cs="宋体"/>
                <w:color w:val="auto"/>
                <w:sz w:val="21"/>
                <w:szCs w:val="21"/>
                <w:highlight w:val="none"/>
              </w:rPr>
              <w:t>高于浙江省市场利率定价自律机制委员会最新存款利率报价规定的不得分。</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1083" w:type="dxa"/>
            <w:vMerge w:val="restart"/>
            <w:vAlign w:val="center"/>
          </w:tcPr>
          <w:p>
            <w:pPr>
              <w:autoSpaceDE w:val="0"/>
              <w:autoSpaceDN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服务水平指标</w:t>
            </w:r>
          </w:p>
          <w:p>
            <w:pPr>
              <w:autoSpaceDE w:val="0"/>
              <w:autoSpaceDN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(20分)</w:t>
            </w:r>
          </w:p>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widowControl/>
              <w:adjustRightInd w:val="0"/>
              <w:snapToGrid w:val="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既往服务情况</w:t>
            </w:r>
          </w:p>
        </w:tc>
        <w:tc>
          <w:tcPr>
            <w:tcW w:w="786" w:type="dxa"/>
            <w:vAlign w:val="center"/>
          </w:tcPr>
          <w:p>
            <w:pPr>
              <w:widowControl/>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7034" w:type="dxa"/>
            <w:vAlign w:val="center"/>
          </w:tcPr>
          <w:p>
            <w:pPr>
              <w:widowControl/>
              <w:numPr>
                <w:ilvl w:val="0"/>
                <w:numId w:val="4"/>
              </w:num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投标人或其所属银行其他分支机构入围2019年以来省级机关事业单位公款存放招标的</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不包含浙江科技学院</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，入围1家得0.5分，最高不超过2分。（需提供相关证明材料：中标通知书复印件或合同复印件，不提供不得分）。</w:t>
            </w:r>
          </w:p>
          <w:p>
            <w:pPr>
              <w:widowControl/>
              <w:numPr>
                <w:ilvl w:val="0"/>
                <w:numId w:val="4"/>
              </w:num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投标人或其所属银行其他分支机构</w:t>
            </w:r>
            <w:r>
              <w:rPr>
                <w:rFonts w:hint="eastAsia" w:ascii="宋体" w:hAnsi="宋体" w:cs="宋体"/>
                <w:color w:val="auto"/>
                <w:kern w:val="0"/>
                <w:sz w:val="21"/>
                <w:szCs w:val="21"/>
                <w:highlight w:val="none"/>
                <w:lang w:val="en-US" w:eastAsia="zh-CN"/>
              </w:rPr>
              <w:t>2019年以来为浙江科技学院实施</w:t>
            </w:r>
            <w:r>
              <w:rPr>
                <w:rFonts w:hint="eastAsia" w:ascii="宋体" w:hAnsi="宋体" w:cs="宋体"/>
                <w:color w:val="auto"/>
                <w:kern w:val="0"/>
                <w:sz w:val="21"/>
                <w:szCs w:val="21"/>
                <w:highlight w:val="none"/>
              </w:rPr>
              <w:t>公款存放</w:t>
            </w:r>
            <w:r>
              <w:rPr>
                <w:rFonts w:hint="eastAsia" w:ascii="宋体" w:hAnsi="宋体" w:cs="宋体"/>
                <w:color w:val="auto"/>
                <w:kern w:val="0"/>
                <w:sz w:val="21"/>
                <w:szCs w:val="21"/>
                <w:highlight w:val="none"/>
                <w:lang w:val="en-US" w:eastAsia="zh-CN"/>
              </w:rPr>
              <w:t>的得1分。</w:t>
            </w:r>
            <w:r>
              <w:rPr>
                <w:rFonts w:hint="eastAsia" w:ascii="宋体" w:hAnsi="宋体" w:cs="宋体"/>
                <w:color w:val="auto"/>
                <w:kern w:val="0"/>
                <w:sz w:val="21"/>
                <w:szCs w:val="21"/>
                <w:highlight w:val="none"/>
              </w:rPr>
              <w:t>（需提供相关证明材料：中标通知书复印件或合同复印件，不提供不得分）。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083" w:type="dxa"/>
            <w:vMerge w:val="continue"/>
            <w:vAlign w:val="center"/>
          </w:tcPr>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widowControl/>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整体服务方案</w:t>
            </w:r>
          </w:p>
        </w:tc>
        <w:tc>
          <w:tcPr>
            <w:tcW w:w="786" w:type="dxa"/>
            <w:vAlign w:val="center"/>
          </w:tcPr>
          <w:p>
            <w:pPr>
              <w:widowControl/>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7034" w:type="dxa"/>
            <w:vAlign w:val="center"/>
          </w:tcPr>
          <w:p>
            <w:pPr>
              <w:widowControl/>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rPr>
              <w:t>投标银行针对本项目提供详细的服务方案、信息系统建设情况：方案是否具有针对性，是否具有可行性，是否深入了解招标人的需求；信息系统建设是否完善、数据安全保障情况、操作流程是否清晰、便捷，秘钥等远程操作的安全性、便捷性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083" w:type="dxa"/>
            <w:vMerge w:val="continue"/>
            <w:vAlign w:val="center"/>
          </w:tcPr>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widowControl/>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风险保障方案</w:t>
            </w:r>
          </w:p>
        </w:tc>
        <w:tc>
          <w:tcPr>
            <w:tcW w:w="786" w:type="dxa"/>
            <w:vAlign w:val="center"/>
          </w:tcPr>
          <w:p>
            <w:pPr>
              <w:widowControl/>
              <w:adjustRightInd w:val="0"/>
              <w:snapToGrid w:val="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7034" w:type="dxa"/>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根据提供资金安全承诺书的内容进行横向比较，承诺确保账户资金安全，否则承担一切法律后果。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1083" w:type="dxa"/>
            <w:vMerge w:val="continue"/>
            <w:vAlign w:val="center"/>
          </w:tcPr>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widowControl/>
              <w:adjustRightInd w:val="0"/>
              <w:snapToGrid w:val="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金融服务支持情况及承诺</w:t>
            </w:r>
          </w:p>
        </w:tc>
        <w:tc>
          <w:tcPr>
            <w:tcW w:w="786" w:type="dxa"/>
            <w:vAlign w:val="center"/>
          </w:tcPr>
          <w:p>
            <w:pPr>
              <w:widowControl/>
              <w:adjustRightInd w:val="0"/>
              <w:snapToGrid w:val="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8</w:t>
            </w:r>
          </w:p>
        </w:tc>
        <w:tc>
          <w:tcPr>
            <w:tcW w:w="7034" w:type="dxa"/>
            <w:vAlign w:val="center"/>
          </w:tcPr>
          <w:p>
            <w:pPr>
              <w:widowControl/>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投标银行对浙江科技学院金融服务支持的具体方案及承诺，包括但不限于：</w:t>
            </w:r>
          </w:p>
          <w:p>
            <w:pPr>
              <w:widowControl/>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（1）指定专人负责定期存款相关服务；</w:t>
            </w:r>
          </w:p>
          <w:p>
            <w:pPr>
              <w:widowControl/>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（2）及时上门提供定期账单，提供银行对账电子稿；</w:t>
            </w:r>
          </w:p>
          <w:p>
            <w:pPr>
              <w:widowControl/>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（3）协助办理本项目的相关手续等；</w:t>
            </w:r>
          </w:p>
          <w:p>
            <w:pPr>
              <w:widowControl/>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（4）及时告知银行出现的重大安全事项；</w:t>
            </w:r>
          </w:p>
          <w:p>
            <w:pPr>
              <w:widowControl/>
              <w:adjustRightInd w:val="0"/>
              <w:snapToGrid w:val="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（5）如有开户，对账户的收支业务提供对账单上门服务；</w:t>
            </w:r>
          </w:p>
          <w:p>
            <w:pPr>
              <w:widowControl/>
              <w:adjustRightInd w:val="0"/>
              <w:snapToGrid w:val="0"/>
              <w:jc w:val="left"/>
              <w:rPr>
                <w:rFonts w:ascii="宋体" w:hAnsi="宋体" w:cs="宋体"/>
                <w:color w:val="auto"/>
                <w:sz w:val="21"/>
                <w:szCs w:val="21"/>
                <w:highlight w:val="none"/>
              </w:rPr>
            </w:pPr>
            <w:r>
              <w:rPr>
                <w:rFonts w:hint="eastAsia" w:ascii="宋体" w:hAnsi="宋体" w:cs="宋体"/>
                <w:color w:val="auto"/>
                <w:kern w:val="0"/>
                <w:sz w:val="21"/>
                <w:szCs w:val="21"/>
                <w:highlight w:val="none"/>
              </w:rPr>
              <w:t>（6）投标银行针对本项目提供其他服务及承诺。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083" w:type="dxa"/>
            <w:vMerge w:val="continue"/>
            <w:vAlign w:val="center"/>
          </w:tcPr>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widowControl/>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提前用款计息方案</w:t>
            </w:r>
          </w:p>
        </w:tc>
        <w:tc>
          <w:tcPr>
            <w:tcW w:w="786" w:type="dxa"/>
            <w:vAlign w:val="center"/>
          </w:tcPr>
          <w:p>
            <w:pPr>
              <w:widowControl/>
              <w:adjustRightInd w:val="0"/>
              <w:snapToGrid w:val="0"/>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7034" w:type="dxa"/>
            <w:vAlign w:val="center"/>
          </w:tcPr>
          <w:p>
            <w:pPr>
              <w:widowControl/>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投标银行提供提前支取定期存款计息方案，包括提前支取部分和未提前支取部分的计息方案。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1083" w:type="dxa"/>
            <w:vMerge w:val="restart"/>
            <w:vAlign w:val="center"/>
          </w:tcPr>
          <w:p>
            <w:pPr>
              <w:autoSpaceDE w:val="0"/>
              <w:autoSpaceDN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经营状况指标</w:t>
            </w:r>
          </w:p>
          <w:p>
            <w:pPr>
              <w:autoSpaceDE w:val="0"/>
              <w:autoSpaceDN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(30分)</w:t>
            </w:r>
          </w:p>
        </w:tc>
        <w:tc>
          <w:tcPr>
            <w:tcW w:w="1199"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1.资产质量</w:t>
            </w:r>
          </w:p>
        </w:tc>
        <w:tc>
          <w:tcPr>
            <w:tcW w:w="786"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034" w:type="dxa"/>
            <w:vAlign w:val="center"/>
          </w:tcPr>
          <w:p>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根据投标银行不良资产率排名评分。</w:t>
            </w:r>
            <w:r>
              <w:rPr>
                <w:rFonts w:hint="eastAsia" w:ascii="宋体" w:hAnsi="宋体" w:cs="宋体"/>
                <w:color w:val="auto"/>
                <w:sz w:val="21"/>
                <w:szCs w:val="21"/>
                <w:highlight w:val="none"/>
              </w:rPr>
              <w:t>排名第一得8分</w:t>
            </w:r>
            <w:r>
              <w:rPr>
                <w:rFonts w:hint="eastAsia" w:ascii="宋体" w:hAnsi="宋体" w:cs="宋体"/>
                <w:color w:val="auto"/>
                <w:kern w:val="0"/>
                <w:sz w:val="21"/>
                <w:szCs w:val="21"/>
                <w:highlight w:val="none"/>
              </w:rPr>
              <w:t>，其余投标银行排名每降低一名相应递减0.4分，减完为止。（由浙江省财政厅提供数据）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83" w:type="dxa"/>
            <w:vMerge w:val="continue"/>
            <w:vAlign w:val="center"/>
          </w:tcPr>
          <w:p>
            <w:pPr>
              <w:autoSpaceDE w:val="0"/>
              <w:autoSpaceDN w:val="0"/>
              <w:spacing w:line="288" w:lineRule="auto"/>
              <w:jc w:val="center"/>
              <w:rPr>
                <w:rFonts w:ascii="宋体" w:hAnsi="宋体" w:cs="宋体"/>
                <w:color w:val="auto"/>
                <w:sz w:val="21"/>
                <w:szCs w:val="21"/>
                <w:highlight w:val="none"/>
              </w:rPr>
            </w:pPr>
          </w:p>
        </w:tc>
        <w:tc>
          <w:tcPr>
            <w:tcW w:w="1199" w:type="dxa"/>
            <w:vMerge w:val="restart"/>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2.运营状况</w:t>
            </w:r>
          </w:p>
        </w:tc>
        <w:tc>
          <w:tcPr>
            <w:tcW w:w="786"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034" w:type="dxa"/>
            <w:vAlign w:val="center"/>
          </w:tcPr>
          <w:p>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根据投标银行利润总额排名评分。排名第一得3分，其余投标银行排名每降低一名相应递减0.15分，减完为止。（由浙江省财政厅提供数据）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continue"/>
            <w:vAlign w:val="center"/>
          </w:tcPr>
          <w:p>
            <w:pPr>
              <w:snapToGrid w:val="0"/>
              <w:spacing w:line="288" w:lineRule="auto"/>
              <w:jc w:val="center"/>
              <w:rPr>
                <w:rFonts w:ascii="宋体" w:hAnsi="宋体" w:cs="宋体"/>
                <w:color w:val="auto"/>
                <w:sz w:val="21"/>
                <w:szCs w:val="21"/>
                <w:highlight w:val="none"/>
              </w:rPr>
            </w:pPr>
          </w:p>
        </w:tc>
        <w:tc>
          <w:tcPr>
            <w:tcW w:w="786"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034" w:type="dxa"/>
            <w:vAlign w:val="center"/>
          </w:tcPr>
          <w:p>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根据投标银行利润增长率排名评分。排名第一得3分，其余投标银行排名每降低一名相应递减0.15分，减完为止。（由浙江省财政厅提供数据）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3.偿付能力</w:t>
            </w:r>
          </w:p>
        </w:tc>
        <w:tc>
          <w:tcPr>
            <w:tcW w:w="786"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034" w:type="dxa"/>
            <w:vAlign w:val="center"/>
          </w:tcPr>
          <w:p>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根据投标银行拨备覆盖率排名评分。排名第一得8分，其余投标银行排名每降低一名相应递减0.4分，减完为止。（由浙江省财政厅提供数据）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4.内控水平</w:t>
            </w:r>
          </w:p>
        </w:tc>
        <w:tc>
          <w:tcPr>
            <w:tcW w:w="786" w:type="dxa"/>
            <w:vAlign w:val="center"/>
          </w:tcPr>
          <w:p>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034" w:type="dxa"/>
            <w:vAlign w:val="center"/>
          </w:tcPr>
          <w:p>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根据投标银行近三年银保监行政处罚情况排名评分。排名第一得8分，其余投标银行排名每降低一名相应递减0.4分，减完为止。（由浙江省财政厅提供数据）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83" w:type="dxa"/>
            <w:vMerge w:val="restart"/>
            <w:vAlign w:val="center"/>
          </w:tcPr>
          <w:p>
            <w:pPr>
              <w:jc w:val="center"/>
              <w:rPr>
                <w:rFonts w:ascii="宋体" w:hAnsi="宋体" w:cs="宋体"/>
                <w:b/>
                <w:bCs/>
                <w:color w:val="auto"/>
                <w:sz w:val="21"/>
                <w:szCs w:val="21"/>
                <w:highlight w:val="none"/>
              </w:rPr>
            </w:pPr>
            <w:r>
              <w:rPr>
                <w:rFonts w:hint="eastAsia" w:ascii="宋体" w:hAnsi="宋体" w:cs="宋体"/>
                <w:b/>
                <w:color w:val="auto"/>
                <w:sz w:val="21"/>
                <w:szCs w:val="21"/>
                <w:highlight w:val="none"/>
              </w:rPr>
              <w:t>经济贡献度指标（30分）</w:t>
            </w:r>
          </w:p>
        </w:tc>
        <w:tc>
          <w:tcPr>
            <w:tcW w:w="1199"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1.支持地方经济社会发展情况</w:t>
            </w: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根据投标银行浙江省政府金融机构支持地方经济社会发展评价结果进行评分（一等奖、二等奖、三等奖、未得奖）。一等奖得5分，二等奖3分，三等奖1分，未得奖0分。（由浙江省财政厅提供数据）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2.支持制造业情况</w:t>
            </w: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根据投标银行制造业贷款余额排名进行评分。排名第一得2分，其余投标银行排名每降低一名相应递减0.02分，减完为止。（由浙江省财政厅提供数据）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pPr>
              <w:snapToGrid w:val="0"/>
              <w:spacing w:line="288" w:lineRule="auto"/>
              <w:jc w:val="center"/>
              <w:rPr>
                <w:rFonts w:ascii="宋体" w:hAnsi="宋体" w:cs="宋体"/>
                <w:color w:val="auto"/>
                <w:sz w:val="21"/>
                <w:szCs w:val="21"/>
                <w:highlight w:val="none"/>
              </w:rPr>
            </w:pP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根据投标银行制造业贷款额占各项贷款余额比例增长情况排名进行评分。排名第一得2分，其余投标银行排名每降低一名相应递减0.02分，减完为止。（由浙江省财政厅提供数据）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3.支持小微企业情况</w:t>
            </w: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根据投标银行小微企业贷款余额排名进行评分。排名第一得2分，其余投标银行排名每降低一名相应递减0.02分，减完为止。（由浙江省财政厅提供数据）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pPr>
              <w:snapToGrid w:val="0"/>
              <w:spacing w:line="288" w:lineRule="auto"/>
              <w:jc w:val="center"/>
              <w:rPr>
                <w:rFonts w:ascii="宋体" w:hAnsi="宋体" w:cs="宋体"/>
                <w:color w:val="auto"/>
                <w:sz w:val="21"/>
                <w:szCs w:val="21"/>
                <w:highlight w:val="none"/>
              </w:rPr>
            </w:pP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根据投标银行小微企业贷款额占各项贷款余额比例增长情况排名进行评分。排名第一得2分，其余投标银行排名每降低一名相应递减0.02分，减完为止。（由浙江省财政厅提供数据）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4.支持“三农”情况</w:t>
            </w: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根据投标银行涉农贷款余额排名进行评分。排名第一得2分，其余投标银行排名每降低一名相应递减0.02分，减完为止。（由浙江省财政厅提供数据）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pPr>
              <w:snapToGrid w:val="0"/>
              <w:spacing w:line="288" w:lineRule="auto"/>
              <w:jc w:val="center"/>
              <w:rPr>
                <w:rFonts w:ascii="宋体" w:hAnsi="宋体" w:cs="宋体"/>
                <w:color w:val="auto"/>
                <w:sz w:val="21"/>
                <w:szCs w:val="21"/>
                <w:highlight w:val="none"/>
              </w:rPr>
            </w:pP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根据投标银行涉农贷款额占各项贷款余额比例增长情况排名进行评分。排名第一得2分，其余投标银行排名每降低一名相应递减0.02分，减完为止。（由浙江省财政厅提供数据）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5.非金融企业债务融资工具承销情况</w:t>
            </w: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根据投标银行非金融企业债务融资工具承销额排名进行评分。排名第一得2分，其余投标银行排名每降低一名相应递减0.02分，减完为止。（由浙江省财政厅提供数据）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pPr>
              <w:snapToGrid w:val="0"/>
              <w:spacing w:line="288" w:lineRule="auto"/>
              <w:jc w:val="center"/>
              <w:rPr>
                <w:rFonts w:ascii="宋体" w:hAnsi="宋体" w:cs="宋体"/>
                <w:color w:val="auto"/>
                <w:sz w:val="21"/>
                <w:szCs w:val="21"/>
                <w:highlight w:val="none"/>
              </w:rPr>
            </w:pP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根据投标银行非金融企业债务融资工具承销增长率排名进行评分。排名第一得2分，其余投标银行排名每降低一名相应递减0.02分，减完为止。（由浙江省财政厅提供数据）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6.纳税情况</w:t>
            </w: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根据投标银行纳税总额排名进行评分。排名第一得3分，其余投标银行排名每降低一名相应递减0.02分，减完为止。（由浙江省财政厅提供数据）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pPr>
              <w:snapToGrid w:val="0"/>
              <w:spacing w:line="288" w:lineRule="auto"/>
              <w:jc w:val="center"/>
              <w:rPr>
                <w:rFonts w:ascii="宋体" w:hAnsi="宋体" w:cs="宋体"/>
                <w:color w:val="auto"/>
                <w:sz w:val="21"/>
                <w:szCs w:val="21"/>
                <w:highlight w:val="none"/>
              </w:rPr>
            </w:pP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根据投标银行税收增长率排名进行评分。排名第一得3分，其余投标银行排名每降低一名相应递减0.02分，减完为止。（由浙江省财政厅提供数据）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83" w:type="dxa"/>
            <w:vMerge w:val="continue"/>
          </w:tcPr>
          <w:p>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7.支持浙江省公益性事业发展情况</w:t>
            </w:r>
          </w:p>
        </w:tc>
        <w:tc>
          <w:tcPr>
            <w:tcW w:w="786" w:type="dxa"/>
            <w:vAlign w:val="center"/>
          </w:tcPr>
          <w:p>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034" w:type="dxa"/>
            <w:vAlign w:val="center"/>
          </w:tcPr>
          <w:p>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根据投标银行支持浙江省公益性事业发展债务融资承销余额（含承办柜台发行量）排名进行评分。排名第一得3分，其余投标银行排名每降低一名相应递减0.02分，减完为止。（由浙江省财政厅提供数据）</w:t>
            </w:r>
          </w:p>
        </w:tc>
      </w:tr>
    </w:tbl>
    <w:p>
      <w:pPr>
        <w:spacing w:line="360" w:lineRule="auto"/>
        <w:jc w:val="center"/>
        <w:outlineLvl w:val="0"/>
        <w:rPr>
          <w:rFonts w:ascii="宋体" w:hAnsi="宋体"/>
          <w:b/>
          <w:color w:val="auto"/>
          <w:sz w:val="21"/>
          <w:szCs w:val="21"/>
          <w:highlight w:val="none"/>
        </w:rPr>
      </w:pPr>
      <w:r>
        <w:rPr>
          <w:rFonts w:ascii="宋体" w:hAnsi="宋体"/>
          <w:b/>
          <w:bCs/>
          <w:color w:val="auto"/>
          <w:spacing w:val="-6"/>
          <w:sz w:val="32"/>
          <w:szCs w:val="32"/>
          <w:highlight w:val="none"/>
        </w:rPr>
        <w:br w:type="page"/>
      </w:r>
      <w:r>
        <w:rPr>
          <w:rFonts w:hint="eastAsia" w:ascii="宋体" w:hAnsi="宋体"/>
          <w:b/>
          <w:bCs/>
          <w:color w:val="auto"/>
          <w:spacing w:val="-6"/>
          <w:sz w:val="32"/>
          <w:szCs w:val="32"/>
          <w:highlight w:val="none"/>
        </w:rPr>
        <w:t>第五章  拟签订的协议文本</w:t>
      </w:r>
    </w:p>
    <w:p>
      <w:pPr>
        <w:spacing w:line="360" w:lineRule="auto"/>
        <w:jc w:val="center"/>
        <w:rPr>
          <w:rFonts w:ascii="宋体" w:hAnsi="宋体"/>
          <w:b/>
          <w:color w:val="auto"/>
          <w:sz w:val="24"/>
          <w:highlight w:val="none"/>
        </w:rPr>
      </w:pPr>
      <w:r>
        <w:rPr>
          <w:rFonts w:hint="eastAsia" w:ascii="宋体" w:hAnsi="宋体"/>
          <w:b/>
          <w:color w:val="auto"/>
          <w:sz w:val="24"/>
          <w:highlight w:val="none"/>
          <w:lang w:eastAsia="zh-CN"/>
        </w:rPr>
        <w:t>浙江科技学院2021年第二期公款竞争性存放</w:t>
      </w:r>
      <w:r>
        <w:rPr>
          <w:rFonts w:hint="eastAsia" w:ascii="宋体" w:hAnsi="宋体"/>
          <w:b/>
          <w:color w:val="auto"/>
          <w:sz w:val="24"/>
          <w:highlight w:val="none"/>
        </w:rPr>
        <w:t>协议书</w:t>
      </w:r>
    </w:p>
    <w:p>
      <w:pPr>
        <w:spacing w:line="360" w:lineRule="auto"/>
        <w:ind w:firstLine="495"/>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rPr>
        <w:t>甲方：</w:t>
      </w:r>
      <w:r>
        <w:rPr>
          <w:rFonts w:hint="eastAsia" w:ascii="宋体" w:hAnsi="宋体"/>
          <w:color w:val="auto"/>
          <w:spacing w:val="-6"/>
          <w:sz w:val="21"/>
          <w:szCs w:val="21"/>
          <w:highlight w:val="none"/>
          <w:lang w:eastAsia="zh-CN"/>
        </w:rPr>
        <w:t>浙江科技学院</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乙方：</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经招标代理机构“浙江求是招标代理有限公司”通过公款竞争性存放方式（招标项目编号：</w:t>
      </w:r>
      <w:r>
        <w:rPr>
          <w:rFonts w:hint="eastAsia" w:ascii="宋体" w:hAnsi="宋体"/>
          <w:color w:val="auto"/>
          <w:spacing w:val="-6"/>
          <w:sz w:val="21"/>
          <w:szCs w:val="21"/>
          <w:highlight w:val="none"/>
          <w:lang w:eastAsia="zh-CN"/>
        </w:rPr>
        <w:t>QSZB-F(F)-B21387(GK)</w:t>
      </w:r>
      <w:r>
        <w:rPr>
          <w:rFonts w:hint="eastAsia" w:ascii="宋体" w:hAnsi="宋体"/>
          <w:color w:val="auto"/>
          <w:spacing w:val="-6"/>
          <w:sz w:val="21"/>
          <w:szCs w:val="21"/>
          <w:highlight w:val="none"/>
        </w:rPr>
        <w:t>），确定</w:t>
      </w:r>
      <w:r>
        <w:rPr>
          <w:rFonts w:hint="eastAsia" w:ascii="宋体" w:hAnsi="宋体"/>
          <w:color w:val="auto"/>
          <w:spacing w:val="-6"/>
          <w:sz w:val="21"/>
          <w:szCs w:val="21"/>
          <w:highlight w:val="none"/>
          <w:u w:val="single"/>
        </w:rPr>
        <w:t xml:space="preserve">                 为</w:t>
      </w:r>
      <w:r>
        <w:rPr>
          <w:rFonts w:hint="eastAsia" w:ascii="宋体" w:hAnsi="宋体"/>
          <w:color w:val="auto"/>
          <w:spacing w:val="-6"/>
          <w:sz w:val="21"/>
          <w:szCs w:val="21"/>
          <w:highlight w:val="none"/>
        </w:rPr>
        <w:t>中标银行，甲、乙双方友好协商，达成以下条款：</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一、总则</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第一条 根据相关法律法规和</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关于公款存放等相关规定，经甲、乙双方平等协商，签订本协议。</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 xml:space="preserve">第二条 </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通过公开</w:t>
      </w:r>
      <w:r>
        <w:rPr>
          <w:rFonts w:ascii="宋体" w:hAnsi="宋体"/>
          <w:color w:val="auto"/>
          <w:spacing w:val="-6"/>
          <w:sz w:val="21"/>
          <w:szCs w:val="21"/>
          <w:highlight w:val="none"/>
        </w:rPr>
        <w:t>招标</w:t>
      </w:r>
      <w:r>
        <w:rPr>
          <w:rFonts w:hint="eastAsia" w:ascii="宋体" w:hAnsi="宋体"/>
          <w:color w:val="auto"/>
          <w:spacing w:val="-6"/>
          <w:sz w:val="21"/>
          <w:szCs w:val="21"/>
          <w:highlight w:val="none"/>
        </w:rPr>
        <w:t>方式择优确定</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公款存放的定期存款银行，其定期存款有关的资金管理、本息收回等活动适用本协议。</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第三条 经招投标确定，甲方在乙方开立定期存款账户，存入2021年第一期存款</w:t>
      </w:r>
      <w:r>
        <w:rPr>
          <w:rFonts w:hint="eastAsia" w:ascii="宋体" w:hAnsi="宋体"/>
          <w:color w:val="auto"/>
          <w:spacing w:val="-6"/>
          <w:sz w:val="21"/>
          <w:szCs w:val="21"/>
          <w:highlight w:val="none"/>
          <w:u w:val="single"/>
        </w:rPr>
        <w:t xml:space="preserve">       万</w:t>
      </w:r>
      <w:r>
        <w:rPr>
          <w:rFonts w:hint="eastAsia" w:ascii="宋体" w:hAnsi="宋体"/>
          <w:color w:val="auto"/>
          <w:spacing w:val="-6"/>
          <w:sz w:val="21"/>
          <w:szCs w:val="21"/>
          <w:highlight w:val="none"/>
        </w:rPr>
        <w:t>元，定期存款年利率</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%。甲、乙双方协商指定办理定期存款的分支机构为：</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第四条 定期存入时间由甲方按中标银行排序依次通知，甲方于存入日前至少提前2个工作日通知乙方办理定期存款相关事项。</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二、甲方权利与义务</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（一）甲方权利主要包括：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1.组织开展</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公款存放工作；</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2.要求乙方提供存款证明；</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3.对乙方</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定期存款业务实施监督管理。</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（二）甲方义务主要包括：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按规定签发划拨定期存款资金的指令。</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三、乙方权利与义务</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（一）乙方权利主要包括：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1.参与甲方组织的</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公款存放工作；</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2.按规定金额存放甲方定期存款。</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（二）乙方义务主要包括：</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1.按规定办理甲方定期存款存放手续；</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2.向甲方提供存款证明；</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3.存款到期及时足额缴清甲方存款本息；</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4.确保甲方定期存款存续期间的资金安全；</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5.接受甲方对定期存款业务的监督管理；</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6.乙方应确定固定部门及经办人员负责甲方公款存放业务，并向</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报备业务部门、部门负责人、具体业务人员及联系方式。如有变更，应于变更后2个工作日内书面告知</w:t>
      </w:r>
      <w:r>
        <w:rPr>
          <w:rFonts w:hint="eastAsia" w:ascii="宋体" w:hAnsi="宋体"/>
          <w:color w:val="auto"/>
          <w:spacing w:val="-6"/>
          <w:sz w:val="21"/>
          <w:szCs w:val="21"/>
          <w:highlight w:val="none"/>
          <w:lang w:eastAsia="zh-CN"/>
        </w:rPr>
        <w:t>浙江科技学院</w:t>
      </w:r>
      <w:r>
        <w:rPr>
          <w:rFonts w:hint="eastAsia" w:ascii="宋体" w:hAnsi="宋体"/>
          <w:color w:val="auto"/>
          <w:spacing w:val="-6"/>
          <w:sz w:val="21"/>
          <w:szCs w:val="21"/>
          <w:highlight w:val="none"/>
        </w:rPr>
        <w:t>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四、违约责任</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除发生不可抗力外，违约责任按以下条款执行：</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1.甲方未及时签发划款指令，造成乙方滞划存款资金，甲方应按未划拨资金额，以当期存款协议中定期存款利率的两倍折成日利率，按日向乙方支付违约金；</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2.乙方未及时向甲方缴清到期存款本息的，应以当期存款协议中定期存款利率的两倍折成日利率，按日向甲方支付违约金；</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3.乙方有下列情形之一的，甲方有权提前收回定期存款，并取消乙方在以后各期的公款</w:t>
      </w:r>
      <w:r>
        <w:rPr>
          <w:rFonts w:ascii="宋体" w:hAnsi="宋体"/>
          <w:color w:val="auto"/>
          <w:spacing w:val="-6"/>
          <w:sz w:val="21"/>
          <w:szCs w:val="21"/>
          <w:highlight w:val="none"/>
        </w:rPr>
        <w:t>存放</w:t>
      </w:r>
      <w:r>
        <w:rPr>
          <w:rFonts w:hint="eastAsia" w:ascii="宋体" w:hAnsi="宋体"/>
          <w:color w:val="auto"/>
          <w:spacing w:val="-6"/>
          <w:sz w:val="21"/>
          <w:szCs w:val="21"/>
          <w:highlight w:val="none"/>
        </w:rPr>
        <w:t>投标资格：</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（一）出现资金安全事故、重大违法违规情况或财务状况恶化的；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（二）监管评级降低后低于人民银行上年度综合评价B级，监管部门认为存在较大运营风险的；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（三）进行不正当投标的；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（四）没有按照中标协议承诺履行相应的责任和义务的；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（五）不能按规定将到期存款本息足额缴入单位账户的；</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（六）存在其他妨害资金安全行为的。</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五、提前支取</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经与乙方协商，甲方有权在到期日前提前支取定期存款，甲方至少</w:t>
      </w:r>
      <w:r>
        <w:rPr>
          <w:rFonts w:ascii="宋体" w:hAnsi="宋体"/>
          <w:color w:val="auto"/>
          <w:spacing w:val="-6"/>
          <w:sz w:val="21"/>
          <w:szCs w:val="21"/>
          <w:highlight w:val="none"/>
        </w:rPr>
        <w:t>应在</w:t>
      </w:r>
      <w:r>
        <w:rPr>
          <w:rFonts w:hint="eastAsia" w:ascii="宋体" w:hAnsi="宋体"/>
          <w:color w:val="auto"/>
          <w:spacing w:val="-6"/>
          <w:sz w:val="21"/>
          <w:szCs w:val="21"/>
          <w:highlight w:val="none"/>
        </w:rPr>
        <w:t>2个</w:t>
      </w:r>
      <w:r>
        <w:rPr>
          <w:rFonts w:ascii="宋体" w:hAnsi="宋体"/>
          <w:color w:val="auto"/>
          <w:spacing w:val="-6"/>
          <w:sz w:val="21"/>
          <w:szCs w:val="21"/>
          <w:highlight w:val="none"/>
        </w:rPr>
        <w:t>工作日前通知乙方，</w:t>
      </w:r>
      <w:r>
        <w:rPr>
          <w:rFonts w:hint="eastAsia" w:ascii="宋体" w:hAnsi="宋体"/>
          <w:color w:val="auto"/>
          <w:spacing w:val="-6"/>
          <w:sz w:val="21"/>
          <w:szCs w:val="21"/>
          <w:highlight w:val="none"/>
        </w:rPr>
        <w:t>提前支取定期存款计息方案：按</w:t>
      </w:r>
      <w:r>
        <w:rPr>
          <w:rFonts w:ascii="宋体" w:hAnsi="宋体"/>
          <w:color w:val="auto"/>
          <w:spacing w:val="-6"/>
          <w:sz w:val="21"/>
          <w:szCs w:val="21"/>
          <w:highlight w:val="none"/>
        </w:rPr>
        <w:t>投标文件执行</w:t>
      </w:r>
      <w:r>
        <w:rPr>
          <w:rFonts w:hint="eastAsia" w:ascii="宋体" w:hAnsi="宋体"/>
          <w:color w:val="auto"/>
          <w:spacing w:val="-6"/>
          <w:sz w:val="21"/>
          <w:szCs w:val="21"/>
          <w:highlight w:val="none"/>
        </w:rPr>
        <w:t>。</w:t>
      </w:r>
    </w:p>
    <w:p>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六、协议期限</w:t>
      </w:r>
    </w:p>
    <w:p>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本协议期限自</w:t>
      </w:r>
      <w:r>
        <w:rPr>
          <w:rFonts w:hint="eastAsia" w:ascii="宋体" w:hAnsi="宋体"/>
          <w:color w:val="auto"/>
          <w:spacing w:val="-6"/>
          <w:sz w:val="21"/>
          <w:szCs w:val="21"/>
          <w:highlight w:val="none"/>
          <w:u w:val="single"/>
        </w:rPr>
        <w:t>存入之日起1年</w:t>
      </w:r>
      <w:r>
        <w:rPr>
          <w:rFonts w:hint="eastAsia" w:ascii="宋体" w:hAnsi="宋体"/>
          <w:color w:val="auto"/>
          <w:spacing w:val="-6"/>
          <w:sz w:val="21"/>
          <w:szCs w:val="21"/>
          <w:highlight w:val="none"/>
        </w:rPr>
        <w:t>。</w:t>
      </w:r>
    </w:p>
    <w:p>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七</w:t>
      </w:r>
      <w:r>
        <w:rPr>
          <w:rFonts w:ascii="宋体" w:hAnsi="宋体"/>
          <w:b/>
          <w:color w:val="auto"/>
          <w:spacing w:val="-6"/>
          <w:sz w:val="21"/>
          <w:szCs w:val="21"/>
          <w:highlight w:val="none"/>
        </w:rPr>
        <w:t>、</w:t>
      </w:r>
      <w:r>
        <w:rPr>
          <w:rFonts w:hint="eastAsia" w:ascii="宋体" w:hAnsi="宋体"/>
          <w:color w:val="auto"/>
          <w:spacing w:val="-6"/>
          <w:sz w:val="21"/>
          <w:szCs w:val="21"/>
          <w:highlight w:val="none"/>
        </w:rPr>
        <w:t>本协议一式伍份，甲方执叁份、乙方与鉴证方各执壹份，具有同等法律效力。执行中如对本协议产生争议，通过协商解决。</w:t>
      </w:r>
    </w:p>
    <w:p>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八、</w:t>
      </w:r>
      <w:r>
        <w:rPr>
          <w:rFonts w:hint="eastAsia" w:ascii="宋体" w:hAnsi="宋体"/>
          <w:color w:val="auto"/>
          <w:spacing w:val="-6"/>
          <w:sz w:val="21"/>
          <w:szCs w:val="21"/>
          <w:highlight w:val="none"/>
        </w:rPr>
        <w:t>相关</w:t>
      </w:r>
      <w:r>
        <w:rPr>
          <w:rFonts w:ascii="宋体" w:hAnsi="宋体"/>
          <w:color w:val="auto"/>
          <w:spacing w:val="-6"/>
          <w:sz w:val="21"/>
          <w:szCs w:val="21"/>
          <w:highlight w:val="none"/>
        </w:rPr>
        <w:t>招标文件、投标文件等与本合同具有同等法律效力。</w:t>
      </w:r>
    </w:p>
    <w:p>
      <w:pPr>
        <w:spacing w:line="360" w:lineRule="auto"/>
        <w:rPr>
          <w:rFonts w:ascii="宋体" w:hAnsi="宋体"/>
          <w:color w:val="auto"/>
          <w:spacing w:val="-6"/>
          <w:sz w:val="21"/>
          <w:szCs w:val="21"/>
          <w:highlight w:val="none"/>
        </w:rPr>
      </w:pPr>
      <w:r>
        <w:rPr>
          <w:rFonts w:hint="eastAsia" w:ascii="宋体" w:hAnsi="宋体"/>
          <w:b/>
          <w:bCs/>
          <w:color w:val="auto"/>
          <w:sz w:val="21"/>
          <w:szCs w:val="21"/>
          <w:highlight w:val="none"/>
        </w:rPr>
        <w:t>甲方（盖章）：</w:t>
      </w:r>
      <w:r>
        <w:rPr>
          <w:rFonts w:hint="eastAsia" w:ascii="宋体" w:hAnsi="宋体"/>
          <w:b/>
          <w:bCs/>
          <w:color w:val="auto"/>
          <w:sz w:val="21"/>
          <w:szCs w:val="21"/>
          <w:highlight w:val="none"/>
          <w:lang w:eastAsia="zh-CN"/>
        </w:rPr>
        <w:t>浙江科技学院</w:t>
      </w:r>
      <w:r>
        <w:rPr>
          <w:rFonts w:hint="eastAsia" w:ascii="宋体" w:hAnsi="宋体"/>
          <w:b/>
          <w:bCs/>
          <w:color w:val="auto"/>
          <w:sz w:val="21"/>
          <w:szCs w:val="21"/>
          <w:highlight w:val="none"/>
        </w:rPr>
        <w:t xml:space="preserve">        乙方（盖章）：</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法定代表人或授权委托人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法定代表人或授权委托人</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（签字）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（签字）</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地址：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地址：</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邮编：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邮编：</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电话：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电话：</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传真：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传真：</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开户银行：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开户银行：</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 xml:space="preserve">帐号：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 xml:space="preserve">     帐号：</w:t>
      </w:r>
    </w:p>
    <w:p>
      <w:pPr>
        <w:pStyle w:val="12"/>
        <w:snapToGrid w:val="0"/>
        <w:spacing w:beforeLines="0" w:afterLines="0" w:line="360" w:lineRule="auto"/>
        <w:jc w:val="left"/>
        <w:rPr>
          <w:rFonts w:hAnsi="宋体"/>
          <w:color w:val="auto"/>
          <w:sz w:val="21"/>
          <w:szCs w:val="21"/>
          <w:highlight w:val="none"/>
        </w:rPr>
      </w:pPr>
    </w:p>
    <w:p>
      <w:pPr>
        <w:pStyle w:val="12"/>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签约时间：   年   月   日</w:t>
      </w:r>
    </w:p>
    <w:p>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签约地点：</w:t>
      </w:r>
    </w:p>
    <w:p>
      <w:pPr>
        <w:pStyle w:val="12"/>
        <w:snapToGrid w:val="0"/>
        <w:spacing w:beforeLines="0" w:afterLines="0" w:line="360" w:lineRule="auto"/>
        <w:jc w:val="left"/>
        <w:rPr>
          <w:rFonts w:hAnsi="宋体"/>
          <w:color w:val="auto"/>
          <w:sz w:val="21"/>
          <w:szCs w:val="21"/>
          <w:highlight w:val="none"/>
        </w:rPr>
      </w:pPr>
    </w:p>
    <w:p>
      <w:pPr>
        <w:pStyle w:val="12"/>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合同鉴证方：浙江求是招标代理有限公司（公章）</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法定代表人或主要负责人：</w:t>
      </w:r>
    </w:p>
    <w:p>
      <w:pPr>
        <w:pStyle w:val="12"/>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（签字）</w:t>
      </w:r>
    </w:p>
    <w:p>
      <w:pPr>
        <w:pStyle w:val="12"/>
        <w:adjustRightInd w:val="0"/>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鉴证日期：</w:t>
      </w:r>
    </w:p>
    <w:p>
      <w:pPr>
        <w:spacing w:line="360" w:lineRule="auto"/>
        <w:ind w:right="28" w:rightChars="10"/>
        <w:jc w:val="center"/>
        <w:outlineLvl w:val="0"/>
        <w:rPr>
          <w:rFonts w:ascii="宋体" w:hAnsi="宋体"/>
          <w:color w:val="auto"/>
          <w:spacing w:val="-6"/>
          <w:sz w:val="21"/>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第六章投标文件格式</w:t>
      </w:r>
    </w:p>
    <w:p>
      <w:pPr>
        <w:spacing w:line="360" w:lineRule="auto"/>
        <w:rPr>
          <w:rFonts w:ascii="宋体" w:hAnsi="宋体"/>
          <w:b/>
          <w:bCs/>
          <w:color w:val="auto"/>
          <w:spacing w:val="-6"/>
          <w:sz w:val="24"/>
          <w:highlight w:val="none"/>
        </w:rPr>
      </w:pPr>
    </w:p>
    <w:p>
      <w:pPr>
        <w:pStyle w:val="12"/>
        <w:spacing w:beforeLines="0" w:afterLines="0" w:line="360" w:lineRule="auto"/>
        <w:ind w:firstLine="398" w:firstLineChars="200"/>
        <w:rPr>
          <w:rFonts w:hAnsi="宋体"/>
          <w:b/>
          <w:bCs/>
          <w:color w:val="auto"/>
          <w:spacing w:val="-6"/>
          <w:sz w:val="21"/>
          <w:szCs w:val="21"/>
          <w:highlight w:val="none"/>
        </w:rPr>
      </w:pPr>
      <w:r>
        <w:rPr>
          <w:rFonts w:hint="eastAsia" w:hAnsi="宋体"/>
          <w:b/>
          <w:bCs/>
          <w:color w:val="auto"/>
          <w:spacing w:val="-6"/>
          <w:sz w:val="21"/>
          <w:szCs w:val="21"/>
          <w:highlight w:val="none"/>
        </w:rPr>
        <w:t>投标文件的编制应按照本项目：“第三章  投标人须知”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投标文件的编制</w:t>
      </w:r>
      <w:r>
        <w:rPr>
          <w:rFonts w:hint="eastAsia" w:hAnsi="宋体"/>
          <w:b/>
          <w:color w:val="auto"/>
          <w:spacing w:val="-6"/>
          <w:sz w:val="21"/>
          <w:szCs w:val="21"/>
          <w:highlight w:val="none"/>
        </w:rPr>
        <w:t>的要求编制。</w:t>
      </w: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投 标 文 件</w:t>
      </w:r>
    </w:p>
    <w:p>
      <w:pPr>
        <w:spacing w:line="360" w:lineRule="auto"/>
        <w:rPr>
          <w:rFonts w:ascii="宋体" w:hAnsi="宋体"/>
          <w:bCs/>
          <w:color w:val="auto"/>
          <w:spacing w:val="-6"/>
          <w:sz w:val="24"/>
          <w:highlight w:val="none"/>
        </w:rPr>
      </w:pP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招 标 人：</w:t>
      </w:r>
      <w:r>
        <w:rPr>
          <w:rFonts w:hint="eastAsia" w:ascii="宋体" w:hAnsi="宋体"/>
          <w:bCs/>
          <w:color w:val="auto"/>
          <w:spacing w:val="-6"/>
          <w:sz w:val="24"/>
          <w:highlight w:val="none"/>
          <w:lang w:eastAsia="zh-CN"/>
        </w:rPr>
        <w:t>浙江科技学院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招标项目名称：</w:t>
      </w:r>
      <w:r>
        <w:rPr>
          <w:rFonts w:hint="eastAsia" w:ascii="宋体" w:hAnsi="宋体"/>
          <w:bCs/>
          <w:color w:val="auto"/>
          <w:spacing w:val="-6"/>
          <w:sz w:val="24"/>
          <w:highlight w:val="none"/>
          <w:lang w:eastAsia="zh-CN"/>
        </w:rPr>
        <w:t>2021年第二期公款竞争性存放</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招标项目编号：</w:t>
      </w:r>
      <w:r>
        <w:rPr>
          <w:rFonts w:hint="eastAsia" w:ascii="宋体" w:hAnsi="宋体"/>
          <w:bCs/>
          <w:color w:val="auto"/>
          <w:spacing w:val="-6"/>
          <w:sz w:val="24"/>
          <w:highlight w:val="none"/>
          <w:lang w:eastAsia="zh-CN"/>
        </w:rPr>
        <w:t>QSZB-F(F)-B21387(GK)</w:t>
      </w:r>
      <w:r>
        <w:rPr>
          <w:rFonts w:hint="eastAsia" w:ascii="宋体" w:hAnsi="宋体"/>
          <w:bCs/>
          <w:color w:val="auto"/>
          <w:spacing w:val="-6"/>
          <w:sz w:val="24"/>
          <w:highlight w:val="none"/>
        </w:rPr>
        <w:t xml:space="preserve"> </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bCs/>
          <w:color w:val="auto"/>
          <w:spacing w:val="-6"/>
          <w:sz w:val="24"/>
          <w:highlight w:val="none"/>
        </w:rPr>
        <w:t>文件</w:t>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rFonts w:hint="eastAsia" w:ascii="宋体" w:hAnsi="宋体"/>
          <w:b/>
          <w:bCs/>
          <w:color w:val="auto"/>
          <w:spacing w:val="-6"/>
          <w:sz w:val="24"/>
          <w:highlight w:val="none"/>
        </w:rPr>
        <w:t>正本或副本</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投标文件</w:t>
      </w:r>
    </w:p>
    <w:p>
      <w:pPr>
        <w:spacing w:line="360" w:lineRule="auto"/>
        <w:rPr>
          <w:rFonts w:ascii="宋体" w:hAnsi="宋体"/>
          <w:bCs/>
          <w:color w:val="auto"/>
          <w:spacing w:val="-6"/>
          <w:sz w:val="24"/>
          <w:highlight w:val="none"/>
        </w:rPr>
      </w:pP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招 标 人：</w:t>
      </w:r>
      <w:r>
        <w:rPr>
          <w:rFonts w:hint="eastAsia" w:ascii="宋体" w:hAnsi="宋体"/>
          <w:bCs/>
          <w:color w:val="auto"/>
          <w:spacing w:val="-6"/>
          <w:sz w:val="24"/>
          <w:highlight w:val="none"/>
          <w:lang w:eastAsia="zh-CN"/>
        </w:rPr>
        <w:t>浙江科技学院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招标项目名称：</w:t>
      </w:r>
      <w:r>
        <w:rPr>
          <w:rFonts w:hint="eastAsia" w:ascii="宋体" w:hAnsi="宋体"/>
          <w:bCs/>
          <w:color w:val="auto"/>
          <w:spacing w:val="-6"/>
          <w:sz w:val="24"/>
          <w:highlight w:val="none"/>
          <w:lang w:eastAsia="zh-CN"/>
        </w:rPr>
        <w:t>2021年第二期公款竞争性存放</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招标项目编号：</w:t>
      </w:r>
      <w:r>
        <w:rPr>
          <w:rFonts w:hint="eastAsia" w:ascii="宋体" w:hAnsi="宋体"/>
          <w:bCs/>
          <w:color w:val="auto"/>
          <w:spacing w:val="-6"/>
          <w:sz w:val="24"/>
          <w:highlight w:val="none"/>
          <w:lang w:eastAsia="zh-CN"/>
        </w:rPr>
        <w:t>QSZB-F(F)-B21387(GK)</w:t>
      </w:r>
      <w:r>
        <w:rPr>
          <w:rFonts w:hint="eastAsia" w:ascii="宋体" w:hAnsi="宋体"/>
          <w:bCs/>
          <w:color w:val="auto"/>
          <w:spacing w:val="-6"/>
          <w:sz w:val="24"/>
          <w:highlight w:val="none"/>
        </w:rPr>
        <w:t xml:space="preserve"> </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1"/>
        <w:rPr>
          <w:rFonts w:ascii="宋体" w:hAnsi="宋体"/>
          <w:b/>
          <w:color w:val="auto"/>
          <w:spacing w:val="-6"/>
          <w:sz w:val="52"/>
          <w:szCs w:val="52"/>
          <w:highlight w:val="none"/>
        </w:rPr>
      </w:pPr>
      <w:r>
        <w:rPr>
          <w:rFonts w:ascii="宋体" w:hAnsi="宋体"/>
          <w:color w:val="auto"/>
          <w:spacing w:val="-6"/>
          <w:sz w:val="24"/>
          <w:highlight w:val="none"/>
        </w:rPr>
        <w:br w:type="page"/>
      </w:r>
      <w:r>
        <w:rPr>
          <w:rFonts w:hint="eastAsia" w:ascii="宋体" w:hAnsi="宋体"/>
          <w:b/>
          <w:color w:val="auto"/>
          <w:spacing w:val="-6"/>
          <w:sz w:val="52"/>
          <w:szCs w:val="52"/>
          <w:highlight w:val="none"/>
          <w:lang w:val="en-US" w:eastAsia="zh-CN"/>
        </w:rPr>
        <w:t>报价</w:t>
      </w:r>
      <w:r>
        <w:rPr>
          <w:rFonts w:hint="eastAsia" w:ascii="宋体" w:hAnsi="宋体"/>
          <w:b/>
          <w:color w:val="auto"/>
          <w:spacing w:val="-6"/>
          <w:sz w:val="52"/>
          <w:szCs w:val="52"/>
          <w:highlight w:val="none"/>
        </w:rPr>
        <w:t>文件</w:t>
      </w:r>
    </w:p>
    <w:p>
      <w:pPr>
        <w:snapToGrid w:val="0"/>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开标一览表</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招 标 人：</w:t>
      </w:r>
      <w:r>
        <w:rPr>
          <w:rFonts w:hint="eastAsia" w:ascii="宋体" w:hAnsi="宋体"/>
          <w:bCs/>
          <w:color w:val="auto"/>
          <w:spacing w:val="-6"/>
          <w:sz w:val="24"/>
          <w:highlight w:val="none"/>
          <w:lang w:eastAsia="zh-CN"/>
        </w:rPr>
        <w:t>浙江科技学院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招标项目名称：</w:t>
      </w:r>
      <w:r>
        <w:rPr>
          <w:rFonts w:hint="eastAsia" w:ascii="宋体" w:hAnsi="宋体"/>
          <w:bCs/>
          <w:color w:val="auto"/>
          <w:spacing w:val="-6"/>
          <w:sz w:val="24"/>
          <w:highlight w:val="none"/>
          <w:lang w:eastAsia="zh-CN"/>
        </w:rPr>
        <w:t>2021年第二期公款竞争性存放</w:t>
      </w:r>
    </w:p>
    <w:p>
      <w:pPr>
        <w:snapToGrid w:val="0"/>
        <w:spacing w:line="360" w:lineRule="auto"/>
        <w:rPr>
          <w:rFonts w:hint="eastAsia" w:ascii="宋体" w:hAnsi="宋体" w:eastAsia="宋体"/>
          <w:b/>
          <w:color w:val="auto"/>
          <w:spacing w:val="-6"/>
          <w:sz w:val="24"/>
          <w:highlight w:val="none"/>
          <w:lang w:eastAsia="zh-CN"/>
        </w:rPr>
      </w:pPr>
      <w:r>
        <w:rPr>
          <w:rFonts w:hint="eastAsia" w:ascii="宋体" w:hAnsi="宋体"/>
          <w:bCs/>
          <w:color w:val="auto"/>
          <w:spacing w:val="-6"/>
          <w:sz w:val="24"/>
          <w:highlight w:val="none"/>
        </w:rPr>
        <w:t>招标项目编号：</w:t>
      </w:r>
      <w:r>
        <w:rPr>
          <w:rFonts w:hint="eastAsia" w:ascii="宋体" w:hAnsi="宋体"/>
          <w:bCs/>
          <w:color w:val="auto"/>
          <w:spacing w:val="-6"/>
          <w:sz w:val="24"/>
          <w:highlight w:val="none"/>
          <w:lang w:eastAsia="zh-CN"/>
        </w:rPr>
        <w:t>QSZB-F(F)-B21387(GK)</w:t>
      </w:r>
    </w:p>
    <w:p>
      <w:pPr>
        <w:spacing w:line="360" w:lineRule="auto"/>
        <w:jc w:val="center"/>
        <w:rPr>
          <w:rFonts w:ascii="宋体" w:hAnsi="宋体"/>
          <w:bCs/>
          <w:color w:val="auto"/>
          <w:spacing w:val="-6"/>
          <w:sz w:val="24"/>
          <w:highlight w:val="none"/>
        </w:rPr>
      </w:pPr>
    </w:p>
    <w:p>
      <w:pPr>
        <w:spacing w:line="360" w:lineRule="auto"/>
        <w:jc w:val="center"/>
        <w:rPr>
          <w:rFonts w:ascii="宋体" w:hAnsi="宋体"/>
          <w:bCs/>
          <w:color w:val="auto"/>
          <w:spacing w:val="-6"/>
          <w:sz w:val="24"/>
          <w:highlight w:val="none"/>
        </w:rPr>
      </w:pP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4814" w:type="dxa"/>
            <w:vAlign w:val="center"/>
          </w:tcPr>
          <w:p>
            <w:pPr>
              <w:spacing w:line="360" w:lineRule="auto"/>
              <w:jc w:val="center"/>
              <w:rPr>
                <w:rFonts w:ascii="宋体" w:hAnsi="宋体" w:cs="宋体"/>
                <w:color w:val="auto"/>
                <w:sz w:val="21"/>
                <w:szCs w:val="21"/>
                <w:highlight w:val="none"/>
              </w:rPr>
            </w:pPr>
            <w:r>
              <w:rPr>
                <w:rFonts w:hint="eastAsia" w:ascii="宋体" w:hAnsi="宋体"/>
                <w:color w:val="auto"/>
                <w:sz w:val="21"/>
                <w:szCs w:val="21"/>
                <w:highlight w:val="none"/>
              </w:rPr>
              <w:t>一年定期存款利率较基准利率增加基点（BP）</w:t>
            </w:r>
          </w:p>
        </w:tc>
        <w:tc>
          <w:tcPr>
            <w:tcW w:w="4814" w:type="dxa"/>
            <w:vAlign w:val="center"/>
          </w:tcPr>
          <w:p>
            <w:pPr>
              <w:spacing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u w:val="single"/>
              </w:rPr>
              <w:t xml:space="preserve"> </w:t>
            </w:r>
            <w:r>
              <w:rPr>
                <w:rFonts w:ascii="宋体" w:hAnsi="宋体" w:cs="宋体"/>
                <w:b/>
                <w:color w:val="auto"/>
                <w:sz w:val="21"/>
                <w:szCs w:val="21"/>
                <w:highlight w:val="none"/>
                <w:u w:val="single"/>
              </w:rPr>
              <w:t xml:space="preserve">        (BP)</w:t>
            </w:r>
          </w:p>
        </w:tc>
      </w:tr>
    </w:tbl>
    <w:p>
      <w:pPr>
        <w:spacing w:line="360" w:lineRule="auto"/>
        <w:jc w:val="center"/>
        <w:rPr>
          <w:rFonts w:ascii="宋体" w:hAnsi="宋体"/>
          <w:bCs/>
          <w:color w:val="auto"/>
          <w:spacing w:val="-6"/>
          <w:sz w:val="24"/>
          <w:highlight w:val="none"/>
        </w:rPr>
      </w:pPr>
    </w:p>
    <w:p>
      <w:pPr>
        <w:pStyle w:val="30"/>
        <w:spacing w:line="360" w:lineRule="auto"/>
        <w:rPr>
          <w:b/>
          <w:bCs/>
          <w:color w:val="auto"/>
          <w:highlight w:val="none"/>
        </w:rPr>
      </w:pPr>
      <w:r>
        <w:rPr>
          <w:rFonts w:hint="eastAsia"/>
          <w:b/>
          <w:bCs/>
          <w:color w:val="auto"/>
          <w:highlight w:val="none"/>
        </w:rPr>
        <w:t>备注：基点（bp）：1 个基点等于0.01%</w:t>
      </w:r>
    </w:p>
    <w:p>
      <w:pPr>
        <w:pStyle w:val="30"/>
        <w:spacing w:line="360" w:lineRule="auto"/>
        <w:rPr>
          <w:b/>
          <w:bCs/>
          <w:color w:val="auto"/>
          <w:highlight w:val="none"/>
        </w:rPr>
      </w:pPr>
    </w:p>
    <w:p>
      <w:pPr>
        <w:spacing w:line="360" w:lineRule="auto"/>
        <w:jc w:val="center"/>
        <w:rPr>
          <w:rFonts w:ascii="宋体" w:hAnsi="宋体"/>
          <w:bCs/>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snapToGrid w:val="0"/>
        <w:spacing w:line="360" w:lineRule="auto"/>
        <w:jc w:val="center"/>
        <w:outlineLvl w:val="1"/>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52"/>
          <w:szCs w:val="52"/>
          <w:highlight w:val="none"/>
        </w:rPr>
        <w:t>资格文件</w:t>
      </w:r>
    </w:p>
    <w:p>
      <w:pPr>
        <w:snapToGrid w:val="0"/>
        <w:spacing w:line="360" w:lineRule="auto"/>
        <w:rPr>
          <w:rFonts w:ascii="宋体" w:hAnsi="宋体"/>
          <w:b/>
          <w:color w:val="auto"/>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4"/>
          <w:highlight w:val="none"/>
        </w:rPr>
      </w:pPr>
      <w:r>
        <w:rPr>
          <w:rFonts w:hint="eastAsia" w:ascii="宋体" w:hAnsi="宋体"/>
          <w:b w:val="0"/>
          <w:bCs/>
          <w:color w:val="auto"/>
          <w:spacing w:val="-6"/>
          <w:sz w:val="24"/>
          <w:highlight w:val="none"/>
        </w:rPr>
        <w:t>（1）有效的法人或者其他组织的营业执照等证明文件（扫描件加盖公章）、中华人民共和国金融许可证（扫描件加盖公章）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4"/>
          <w:highlight w:val="none"/>
        </w:rPr>
      </w:pPr>
      <w:r>
        <w:rPr>
          <w:rFonts w:hint="eastAsia" w:ascii="宋体" w:hAnsi="宋体"/>
          <w:b w:val="0"/>
          <w:bCs/>
          <w:color w:val="auto"/>
          <w:spacing w:val="-6"/>
          <w:sz w:val="24"/>
          <w:highlight w:val="none"/>
        </w:rPr>
        <w:t>（2）中标后对本项目指定的一家杭州市区分支机构作为存款银行的承诺书，承诺在合同期内不得随意转移（包含但不限于杭分支机构的地址，联系人等信息）（格式自拟）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4"/>
          <w:highlight w:val="none"/>
        </w:rPr>
      </w:pPr>
      <w:r>
        <w:rPr>
          <w:rFonts w:hint="eastAsia" w:ascii="宋体" w:hAnsi="宋体"/>
          <w:b w:val="0"/>
          <w:bCs/>
          <w:color w:val="auto"/>
          <w:spacing w:val="-6"/>
          <w:sz w:val="24"/>
          <w:highlight w:val="none"/>
        </w:rPr>
        <w:t>（3）参加采购活动前3年内在经营活动中没有重大违法记录的书面声明（格式自拟）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color w:val="auto"/>
          <w:spacing w:val="-6"/>
          <w:sz w:val="24"/>
          <w:highlight w:val="none"/>
        </w:rPr>
      </w:pPr>
      <w:r>
        <w:rPr>
          <w:rFonts w:hint="eastAsia" w:ascii="宋体" w:hAnsi="宋体"/>
          <w:b w:val="0"/>
          <w:bCs/>
          <w:color w:val="auto"/>
          <w:spacing w:val="-6"/>
          <w:sz w:val="24"/>
          <w:highlight w:val="none"/>
        </w:rPr>
        <w:t>（4）人民银行杭州中心支行2020年度综合评价证明材料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pacing w:val="-6"/>
          <w:sz w:val="24"/>
          <w:highlight w:val="none"/>
        </w:rPr>
      </w:pPr>
      <w:r>
        <w:rPr>
          <w:rFonts w:hint="eastAsia" w:ascii="宋体" w:hAnsi="宋体"/>
          <w:b w:val="0"/>
          <w:bCs/>
          <w:color w:val="auto"/>
          <w:spacing w:val="-6"/>
          <w:sz w:val="24"/>
          <w:highlight w:val="none"/>
        </w:rPr>
        <w:t>（5）省级分行针对本项目的授权委托书（投标人为总行或省级分行的不需提供）</w:t>
      </w:r>
      <w:r>
        <w:rPr>
          <w:rFonts w:hint="eastAsia" w:ascii="宋体" w:hAnsi="宋体"/>
          <w:b/>
          <w:color w:val="auto"/>
          <w:spacing w:val="-6"/>
          <w:sz w:val="24"/>
          <w:highlight w:val="none"/>
        </w:rPr>
        <w:br w:type="page"/>
      </w:r>
    </w:p>
    <w:p>
      <w:pPr>
        <w:snapToGrid w:val="0"/>
        <w:spacing w:line="360" w:lineRule="auto"/>
        <w:jc w:val="center"/>
        <w:outlineLvl w:val="2"/>
        <w:rPr>
          <w:rFonts w:hint="eastAsia" w:ascii="宋体" w:hAnsi="宋体"/>
          <w:b/>
          <w:color w:val="auto"/>
          <w:spacing w:val="-6"/>
          <w:sz w:val="52"/>
          <w:szCs w:val="52"/>
          <w:highlight w:val="none"/>
        </w:rPr>
      </w:pPr>
      <w:r>
        <w:rPr>
          <w:rFonts w:hint="eastAsia" w:ascii="宋体" w:hAnsi="宋体"/>
          <w:b/>
          <w:color w:val="auto"/>
          <w:spacing w:val="-6"/>
          <w:sz w:val="52"/>
          <w:szCs w:val="52"/>
          <w:highlight w:val="none"/>
          <w:lang w:val="en-US" w:eastAsia="zh-CN"/>
        </w:rPr>
        <w:t>商务及技术</w:t>
      </w:r>
      <w:r>
        <w:rPr>
          <w:rFonts w:hint="eastAsia" w:ascii="宋体" w:hAnsi="宋体"/>
          <w:b/>
          <w:color w:val="auto"/>
          <w:spacing w:val="-6"/>
          <w:sz w:val="52"/>
          <w:szCs w:val="52"/>
          <w:highlight w:val="none"/>
        </w:rPr>
        <w:t>文件</w:t>
      </w:r>
    </w:p>
    <w:p>
      <w:pPr>
        <w:snapToGrid w:val="0"/>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投 标 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lang w:eastAsia="zh-CN"/>
        </w:rPr>
        <w:t>2021年第二期公款竞争性存放</w:t>
      </w:r>
      <w:r>
        <w:rPr>
          <w:rFonts w:hint="eastAsia" w:ascii="宋体" w:hAnsi="宋体"/>
          <w:color w:val="auto"/>
          <w:spacing w:val="-6"/>
          <w:sz w:val="24"/>
          <w:highlight w:val="none"/>
        </w:rPr>
        <w:t>的招标公告（招标项目编号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QSZB-F(F)-B21387(GK)</w:t>
      </w:r>
      <w:r>
        <w:rPr>
          <w:rFonts w:hint="eastAsia" w:ascii="宋体" w:hAnsi="宋体"/>
          <w:bCs/>
          <w:color w:val="auto"/>
          <w:spacing w:val="-6"/>
          <w:sz w:val="24"/>
          <w:highlight w:val="none"/>
        </w:rPr>
        <w:t xml:space="preserve"> ）</w:t>
      </w:r>
      <w:r>
        <w:rPr>
          <w:rFonts w:hint="eastAsia" w:ascii="宋体" w:hAnsi="宋体"/>
          <w:color w:val="auto"/>
          <w:spacing w:val="-6"/>
          <w:sz w:val="24"/>
          <w:highlight w:val="none"/>
        </w:rPr>
        <w:t>，授权代表</w:t>
      </w:r>
      <w:r>
        <w:rPr>
          <w:rFonts w:hint="eastAsia" w:ascii="宋体" w:hAnsi="宋体"/>
          <w:bCs/>
          <w:color w:val="auto"/>
          <w:spacing w:val="-6"/>
          <w:sz w:val="24"/>
          <w:highlight w:val="none"/>
        </w:rPr>
        <w:t>____________</w:t>
      </w:r>
      <w:r>
        <w:rPr>
          <w:rFonts w:hint="eastAsia" w:ascii="宋体" w:hAnsi="宋体"/>
          <w:color w:val="auto"/>
          <w:spacing w:val="-6"/>
          <w:sz w:val="24"/>
          <w:highlight w:val="none"/>
        </w:rPr>
        <w:t>（全名）经正式授权并代表投标人</w:t>
      </w:r>
      <w:r>
        <w:rPr>
          <w:rFonts w:hint="eastAsia" w:ascii="宋体" w:hAnsi="宋体"/>
          <w:bCs/>
          <w:color w:val="auto"/>
          <w:spacing w:val="-6"/>
          <w:sz w:val="24"/>
          <w:highlight w:val="none"/>
        </w:rPr>
        <w:t>_______________________________</w:t>
      </w:r>
      <w:r>
        <w:rPr>
          <w:rFonts w:hint="eastAsia" w:ascii="宋体" w:hAnsi="宋体"/>
          <w:color w:val="auto"/>
          <w:spacing w:val="-6"/>
          <w:sz w:val="24"/>
          <w:highlight w:val="none"/>
        </w:rPr>
        <w:t>（投标人名称）提交投标文件。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据此函，授权代表宣布同意如下：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投标人已详细审查全部“招标文件”，包括修改文件（如有）以及全部参考资料和有关附件，已经了解我方对于招标文件、招标过程、中标结果有依法进行询问、质疑的权利及相关渠道和要求。</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w:t>
      </w:r>
      <w:r>
        <w:rPr>
          <w:rFonts w:ascii="宋体" w:hAnsi="宋体"/>
          <w:color w:val="auto"/>
          <w:spacing w:val="-6"/>
          <w:sz w:val="24"/>
          <w:highlight w:val="none"/>
        </w:rPr>
        <w:t>.</w:t>
      </w:r>
      <w:r>
        <w:rPr>
          <w:rFonts w:hint="eastAsia" w:ascii="宋体" w:hAnsi="宋体"/>
          <w:color w:val="auto"/>
          <w:spacing w:val="-6"/>
          <w:sz w:val="24"/>
          <w:highlight w:val="none"/>
        </w:rPr>
        <w:t>投标有效期自提交投标文件的截止之日起</w:t>
      </w:r>
      <w:r>
        <w:rPr>
          <w:rFonts w:hint="eastAsia" w:ascii="宋体" w:hAnsi="宋体"/>
          <w:bCs/>
          <w:color w:val="auto"/>
          <w:spacing w:val="-6"/>
          <w:sz w:val="24"/>
          <w:highlight w:val="none"/>
          <w:u w:val="single"/>
        </w:rPr>
        <w:t xml:space="preserve"> 90</w:t>
      </w:r>
      <w:r>
        <w:rPr>
          <w:rFonts w:hint="eastAsia" w:ascii="宋体" w:hAnsi="宋体"/>
          <w:color w:val="auto"/>
          <w:spacing w:val="-6"/>
          <w:sz w:val="24"/>
          <w:highlight w:val="none"/>
        </w:rPr>
        <w:t>天。</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w:t>
      </w:r>
      <w:r>
        <w:rPr>
          <w:rFonts w:ascii="宋体" w:hAnsi="宋体"/>
          <w:color w:val="auto"/>
          <w:spacing w:val="-6"/>
          <w:sz w:val="24"/>
          <w:highlight w:val="none"/>
        </w:rPr>
        <w:t>.</w:t>
      </w:r>
      <w:r>
        <w:rPr>
          <w:rFonts w:hint="eastAsia" w:ascii="宋体" w:hAnsi="宋体"/>
          <w:color w:val="auto"/>
          <w:spacing w:val="-6"/>
          <w:sz w:val="24"/>
          <w:highlight w:val="none"/>
        </w:rPr>
        <w:t>如中标，本投标文件至本项目合同履行完毕止均保持有效，本投标人将按“招标文件”及相关法律、法规的规定履行合同责任和义务。</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w:t>
      </w:r>
      <w:r>
        <w:rPr>
          <w:rFonts w:ascii="宋体" w:hAnsi="宋体"/>
          <w:color w:val="auto"/>
          <w:spacing w:val="-6"/>
          <w:sz w:val="24"/>
          <w:highlight w:val="none"/>
        </w:rPr>
        <w:t>.</w:t>
      </w:r>
      <w:r>
        <w:rPr>
          <w:rFonts w:hint="eastAsia" w:ascii="宋体" w:hAnsi="宋体"/>
          <w:color w:val="auto"/>
          <w:spacing w:val="-6"/>
          <w:sz w:val="24"/>
          <w:highlight w:val="none"/>
        </w:rPr>
        <w:t>投标人同意按照贵方要求提供与投标有关的一切数据或资料。</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w:t>
      </w:r>
      <w:r>
        <w:rPr>
          <w:rFonts w:ascii="宋体" w:hAnsi="宋体"/>
          <w:color w:val="auto"/>
          <w:spacing w:val="-6"/>
          <w:sz w:val="24"/>
          <w:highlight w:val="none"/>
        </w:rPr>
        <w:t>.</w:t>
      </w:r>
      <w:r>
        <w:rPr>
          <w:rFonts w:hint="eastAsia" w:ascii="宋体" w:hAnsi="宋体"/>
          <w:color w:val="auto"/>
          <w:spacing w:val="-6"/>
          <w:sz w:val="24"/>
          <w:highlight w:val="none"/>
        </w:rPr>
        <w:t>与本投标有关的一切正式往来信函请寄：</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地址：                    </w:t>
      </w:r>
      <w:r>
        <w:rPr>
          <w:rFonts w:hint="eastAsia" w:ascii="宋体" w:hAnsi="宋体"/>
          <w:color w:val="auto"/>
          <w:spacing w:val="-6"/>
          <w:sz w:val="24"/>
          <w:highlight w:val="none"/>
          <w:lang w:val="en-US" w:eastAsia="zh-CN"/>
        </w:rPr>
        <w:t xml:space="preserve">              </w:t>
      </w:r>
      <w:r>
        <w:rPr>
          <w:rFonts w:hint="eastAsia" w:ascii="宋体" w:hAnsi="宋体"/>
          <w:color w:val="auto"/>
          <w:spacing w:val="-6"/>
          <w:sz w:val="24"/>
          <w:highlight w:val="none"/>
        </w:rPr>
        <w:t xml:space="preserve">     邮编：</w:t>
      </w:r>
    </w:p>
    <w:p>
      <w:pPr>
        <w:spacing w:line="360" w:lineRule="auto"/>
        <w:rPr>
          <w:rFonts w:ascii="宋体" w:hAnsi="宋体"/>
          <w:color w:val="auto"/>
          <w:spacing w:val="-6"/>
          <w:sz w:val="24"/>
          <w:highlight w:val="none"/>
          <w:u w:val="single"/>
        </w:rPr>
      </w:pPr>
      <w:r>
        <w:rPr>
          <w:rFonts w:hint="eastAsia" w:ascii="宋体" w:hAnsi="宋体"/>
          <w:color w:val="auto"/>
          <w:spacing w:val="-6"/>
          <w:sz w:val="24"/>
          <w:highlight w:val="none"/>
        </w:rPr>
        <w:t xml:space="preserve">电话：                  </w:t>
      </w:r>
      <w:r>
        <w:rPr>
          <w:rFonts w:hint="eastAsia" w:ascii="宋体" w:hAnsi="宋体"/>
          <w:color w:val="auto"/>
          <w:spacing w:val="-6"/>
          <w:sz w:val="24"/>
          <w:highlight w:val="none"/>
          <w:lang w:val="en-US" w:eastAsia="zh-CN"/>
        </w:rPr>
        <w:t xml:space="preserve">              </w:t>
      </w:r>
      <w:r>
        <w:rPr>
          <w:rFonts w:hint="eastAsia" w:ascii="宋体" w:hAnsi="宋体"/>
          <w:color w:val="auto"/>
          <w:spacing w:val="-6"/>
          <w:sz w:val="24"/>
          <w:highlight w:val="none"/>
        </w:rPr>
        <w:t xml:space="preserve">       传真：                         </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投标人代表姓名：       </w:t>
      </w:r>
      <w:r>
        <w:rPr>
          <w:rFonts w:hint="eastAsia" w:ascii="宋体" w:hAnsi="宋体"/>
          <w:color w:val="auto"/>
          <w:spacing w:val="-6"/>
          <w:sz w:val="24"/>
          <w:highlight w:val="none"/>
          <w:lang w:val="en-US" w:eastAsia="zh-CN"/>
        </w:rPr>
        <w:t xml:space="preserve">              </w:t>
      </w:r>
      <w:r>
        <w:rPr>
          <w:rFonts w:hint="eastAsia" w:ascii="宋体" w:hAnsi="宋体"/>
          <w:color w:val="auto"/>
          <w:spacing w:val="-6"/>
          <w:sz w:val="24"/>
          <w:highlight w:val="none"/>
        </w:rPr>
        <w:t xml:space="preserve">        职务：                        </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开户银行：</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银行帐号：</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企业负责人资格证明书</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浙江科技学院</w:t>
      </w:r>
      <w:r>
        <w:rPr>
          <w:rFonts w:hint="eastAsia" w:ascii="宋体" w:hAnsi="宋体"/>
          <w:bCs/>
          <w:color w:val="auto"/>
          <w:spacing w:val="-6"/>
          <w:sz w:val="24"/>
          <w:highlight w:val="none"/>
        </w:rPr>
        <w:t>、浙江求是招标代理有限公司：</w:t>
      </w:r>
    </w:p>
    <w:p>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bCs/>
          <w:color w:val="auto"/>
          <w:spacing w:val="-6"/>
          <w:sz w:val="24"/>
          <w:highlight w:val="none"/>
          <w:u w:val="single"/>
        </w:rPr>
        <w:t xml:space="preserve">                </w:t>
      </w:r>
      <w:r>
        <w:rPr>
          <w:rFonts w:ascii="宋体" w:hAnsi="宋体"/>
          <w:bCs/>
          <w:color w:val="auto"/>
          <w:spacing w:val="-6"/>
          <w:sz w:val="24"/>
          <w:highlight w:val="none"/>
          <w:u w:val="single"/>
        </w:rPr>
        <w:t>（姓名）</w:t>
      </w:r>
      <w:r>
        <w:rPr>
          <w:rFonts w:ascii="宋体" w:hAnsi="宋体"/>
          <w:bCs/>
          <w:color w:val="auto"/>
          <w:spacing w:val="-6"/>
          <w:sz w:val="24"/>
          <w:highlight w:val="none"/>
        </w:rPr>
        <w:t>系</w:t>
      </w:r>
      <w:r>
        <w:rPr>
          <w:rFonts w:hint="eastAsia" w:ascii="宋体" w:hAnsi="宋体"/>
          <w:bCs/>
          <w:color w:val="auto"/>
          <w:spacing w:val="-6"/>
          <w:sz w:val="24"/>
          <w:highlight w:val="none"/>
          <w:u w:val="single"/>
        </w:rPr>
        <w:t xml:space="preserve">                   （投标人名称）</w:t>
      </w:r>
      <w:r>
        <w:rPr>
          <w:rFonts w:ascii="宋体" w:hAnsi="宋体"/>
          <w:bCs/>
          <w:color w:val="auto"/>
          <w:spacing w:val="-6"/>
          <w:sz w:val="24"/>
          <w:highlight w:val="none"/>
        </w:rPr>
        <w:t>的企业负责人，身份证</w:t>
      </w:r>
      <w:r>
        <w:rPr>
          <w:rFonts w:hint="eastAsia" w:ascii="宋体" w:hAnsi="宋体"/>
          <w:bCs/>
          <w:color w:val="auto"/>
          <w:spacing w:val="-6"/>
          <w:sz w:val="24"/>
          <w:highlight w:val="none"/>
        </w:rPr>
        <w:t>号码：</w:t>
      </w:r>
      <w:r>
        <w:rPr>
          <w:rFonts w:hint="eastAsia" w:ascii="宋体" w:hAnsi="宋体"/>
          <w:bCs/>
          <w:color w:val="auto"/>
          <w:spacing w:val="-6"/>
          <w:sz w:val="24"/>
          <w:highlight w:val="none"/>
          <w:u w:val="single"/>
        </w:rPr>
        <w:t xml:space="preserve">                                           </w:t>
      </w:r>
      <w:r>
        <w:rPr>
          <w:rFonts w:ascii="宋体" w:hAnsi="宋体"/>
          <w:bCs/>
          <w:color w:val="auto"/>
          <w:spacing w:val="-6"/>
          <w:sz w:val="24"/>
          <w:highlight w:val="none"/>
        </w:rPr>
        <w:t>。</w:t>
      </w:r>
    </w:p>
    <w:p>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ascii="宋体" w:hAnsi="宋体"/>
          <w:bCs/>
          <w:color w:val="auto"/>
          <w:spacing w:val="-6"/>
          <w:sz w:val="24"/>
          <w:highlight w:val="none"/>
        </w:rPr>
      </w:pPr>
    </w:p>
    <w:tbl>
      <w:tblPr>
        <w:tblStyle w:val="2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spacing w:line="360" w:lineRule="auto"/>
              <w:rPr>
                <w:rFonts w:ascii="宋体" w:hAnsi="宋体"/>
                <w:color w:val="auto"/>
                <w:sz w:val="24"/>
                <w:highlight w:val="none"/>
              </w:rPr>
            </w:pPr>
            <w:r>
              <w:rPr>
                <w:rFonts w:hint="eastAsia" w:ascii="新宋体" w:hAnsi="新宋体" w:eastAsia="新宋体"/>
                <w:color w:val="auto"/>
                <w:sz w:val="24"/>
                <w:highlight w:val="none"/>
              </w:rPr>
              <w:t>企业负责人</w:t>
            </w:r>
            <w:r>
              <w:rPr>
                <w:rFonts w:hint="eastAsia" w:ascii="宋体" w:hAnsi="宋体"/>
                <w:color w:val="auto"/>
                <w:sz w:val="24"/>
                <w:highlight w:val="none"/>
              </w:rPr>
              <w:t>身份证：</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扫描件粘贴处</w:t>
            </w:r>
          </w:p>
          <w:p>
            <w:pPr>
              <w:spacing w:line="360" w:lineRule="auto"/>
              <w:rPr>
                <w:rFonts w:ascii="宋体" w:hAnsi="宋体"/>
                <w:bCs/>
                <w:color w:val="auto"/>
                <w:spacing w:val="-6"/>
                <w:sz w:val="24"/>
                <w:highlight w:val="none"/>
              </w:rPr>
            </w:pPr>
          </w:p>
        </w:tc>
      </w:tr>
    </w:tbl>
    <w:p>
      <w:pPr>
        <w:spacing w:line="360" w:lineRule="auto"/>
        <w:rPr>
          <w:rFonts w:ascii="宋体" w:hAnsi="宋体"/>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企业负责人授权委托书</w:t>
      </w:r>
    </w:p>
    <w:p>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浙江科技学院</w:t>
      </w:r>
      <w:r>
        <w:rPr>
          <w:rFonts w:hint="eastAsia" w:ascii="宋体" w:hAnsi="宋体"/>
          <w:bCs/>
          <w:color w:val="auto"/>
          <w:spacing w:val="-6"/>
          <w:sz w:val="24"/>
          <w:highlight w:val="none"/>
        </w:rPr>
        <w:t>、浙江求是招标代理有限公司</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（姓名）系</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 xml:space="preserve"> （投标人名称）的企业负责人，现授权委托本单位在职职工：</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（姓名），身份证号码：</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lang w:eastAsia="zh-CN"/>
        </w:rPr>
        <w:t>2021年第二期公款竞争性存放</w:t>
      </w:r>
      <w:r>
        <w:rPr>
          <w:rFonts w:hint="eastAsia" w:ascii="宋体" w:hAnsi="宋体"/>
          <w:bCs/>
          <w:color w:val="auto"/>
          <w:spacing w:val="-6"/>
          <w:sz w:val="24"/>
          <w:highlight w:val="none"/>
        </w:rPr>
        <w:t>项目</w:t>
      </w:r>
      <w:r>
        <w:rPr>
          <w:rFonts w:hint="eastAsia" w:ascii="宋体" w:hAnsi="宋体"/>
          <w:color w:val="auto"/>
          <w:spacing w:val="-6"/>
          <w:sz w:val="24"/>
          <w:highlight w:val="none"/>
        </w:rPr>
        <w:t>的投标活动，并代表我方全权办理针对上述项目的投标、开标、评标、签约等具体事务和签署相关文件。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ind w:firstLine="424" w:firstLineChars="186"/>
        <w:rPr>
          <w:rFonts w:ascii="宋体" w:hAnsi="宋体"/>
          <w:color w:val="auto"/>
          <w:spacing w:val="-6"/>
          <w:sz w:val="24"/>
          <w:highlight w:val="none"/>
        </w:rPr>
      </w:pPr>
    </w:p>
    <w:p>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rPr>
        <w:t>企业负责人（签字或盖章）：_________________________</w:t>
      </w:r>
    </w:p>
    <w:p>
      <w:pPr>
        <w:spacing w:line="360" w:lineRule="auto"/>
        <w:ind w:firstLine="424" w:firstLineChars="186"/>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ascii="宋体" w:hAnsi="宋体"/>
          <w:color w:val="auto"/>
          <w:spacing w:val="-6"/>
          <w:sz w:val="24"/>
          <w:highlight w:val="none"/>
        </w:rPr>
      </w:pPr>
    </w:p>
    <w:tbl>
      <w:tblPr>
        <w:tblStyle w:val="2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6" w:hRule="atLeast"/>
        </w:trPr>
        <w:tc>
          <w:tcPr>
            <w:tcW w:w="9639" w:type="dxa"/>
          </w:tcPr>
          <w:p>
            <w:pPr>
              <w:spacing w:line="360" w:lineRule="auto"/>
              <w:rPr>
                <w:rFonts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扫描件粘贴处</w:t>
            </w:r>
          </w:p>
          <w:p>
            <w:pPr>
              <w:spacing w:line="360" w:lineRule="auto"/>
              <w:rPr>
                <w:rFonts w:ascii="宋体" w:hAnsi="宋体"/>
                <w:color w:val="auto"/>
                <w:spacing w:val="-6"/>
                <w:sz w:val="24"/>
                <w:highlight w:val="none"/>
              </w:rPr>
            </w:pPr>
          </w:p>
        </w:tc>
      </w:tr>
    </w:tbl>
    <w:p>
      <w:pPr>
        <w:pStyle w:val="12"/>
        <w:spacing w:beforeLines="0" w:afterLines="0" w:line="360" w:lineRule="auto"/>
        <w:rPr>
          <w:rFonts w:hAnsi="宋体"/>
          <w:b/>
          <w:color w:val="auto"/>
          <w:spacing w:val="-6"/>
          <w:highlight w:val="none"/>
        </w:rPr>
      </w:pPr>
    </w:p>
    <w:p>
      <w:pPr>
        <w:pStyle w:val="12"/>
        <w:spacing w:beforeLines="0" w:afterLines="0" w:line="360" w:lineRule="auto"/>
        <w:rPr>
          <w:rFonts w:hAnsi="宋体"/>
          <w:b/>
          <w:color w:val="auto"/>
          <w:spacing w:val="-6"/>
          <w:highlight w:val="none"/>
        </w:rPr>
      </w:pPr>
      <w:r>
        <w:rPr>
          <w:rFonts w:hint="eastAsia" w:hAnsi="宋体"/>
          <w:b/>
          <w:color w:val="auto"/>
          <w:spacing w:val="-6"/>
          <w:highlight w:val="none"/>
        </w:rPr>
        <w:t>说明：</w:t>
      </w:r>
    </w:p>
    <w:p>
      <w:pPr>
        <w:pStyle w:val="12"/>
        <w:spacing w:beforeLines="0" w:afterLines="0" w:line="360" w:lineRule="auto"/>
        <w:rPr>
          <w:rFonts w:hAnsi="宋体"/>
          <w:b/>
          <w:color w:val="auto"/>
          <w:spacing w:val="-6"/>
          <w:highlight w:val="none"/>
        </w:rPr>
      </w:pPr>
      <w:r>
        <w:rPr>
          <w:rFonts w:hint="eastAsia" w:hAnsi="宋体"/>
          <w:b/>
          <w:color w:val="auto"/>
          <w:spacing w:val="-6"/>
          <w:highlight w:val="none"/>
        </w:rPr>
        <w:t>1</w:t>
      </w:r>
      <w:r>
        <w:rPr>
          <w:rFonts w:hAnsi="宋体"/>
          <w:b/>
          <w:color w:val="auto"/>
          <w:spacing w:val="-6"/>
          <w:highlight w:val="none"/>
        </w:rPr>
        <w:t>.</w:t>
      </w:r>
      <w:r>
        <w:rPr>
          <w:rFonts w:hint="eastAsia" w:hAnsi="宋体"/>
          <w:b/>
          <w:color w:val="auto"/>
          <w:spacing w:val="-6"/>
          <w:highlight w:val="none"/>
        </w:rPr>
        <w:t>投标人的企业负责人参加投标，须在投标文件中提供：企业负责人资格证明书；</w:t>
      </w:r>
    </w:p>
    <w:p>
      <w:pPr>
        <w:pStyle w:val="12"/>
        <w:spacing w:beforeLines="0" w:afterLines="0" w:line="360" w:lineRule="auto"/>
        <w:rPr>
          <w:rFonts w:hAnsi="宋体"/>
          <w:b/>
          <w:color w:val="auto"/>
          <w:spacing w:val="-6"/>
          <w:highlight w:val="none"/>
        </w:rPr>
      </w:pPr>
      <w:r>
        <w:rPr>
          <w:rFonts w:hint="eastAsia" w:hAnsi="宋体"/>
          <w:b/>
          <w:color w:val="auto"/>
          <w:spacing w:val="-6"/>
          <w:highlight w:val="none"/>
        </w:rPr>
        <w:t>2</w:t>
      </w:r>
      <w:r>
        <w:rPr>
          <w:rFonts w:hAnsi="宋体"/>
          <w:b/>
          <w:color w:val="auto"/>
          <w:spacing w:val="-6"/>
          <w:highlight w:val="none"/>
        </w:rPr>
        <w:t>.</w:t>
      </w:r>
      <w:r>
        <w:rPr>
          <w:rFonts w:hint="eastAsia" w:hAnsi="宋体"/>
          <w:b/>
          <w:color w:val="auto"/>
          <w:spacing w:val="-6"/>
          <w:highlight w:val="none"/>
        </w:rPr>
        <w:t>投标人的企业负责人委托授权代表参加投标，须在投标文件中提供：企业负责人资格证明书和企业负责人授权委托书。</w:t>
      </w:r>
    </w:p>
    <w:p>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投标声明书</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（投标人名称）</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系中华人民共和国合法企业，经营地址</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color w:val="auto"/>
          <w:spacing w:val="-6"/>
          <w:sz w:val="24"/>
          <w:highlight w:val="none"/>
          <w:lang w:eastAsia="zh-CN"/>
        </w:rPr>
        <w:t>2021年第二期公款竞争性存放</w:t>
      </w:r>
      <w:r>
        <w:rPr>
          <w:rFonts w:hint="eastAsia" w:ascii="宋体" w:hAnsi="宋体"/>
          <w:bCs/>
          <w:color w:val="auto"/>
          <w:spacing w:val="-6"/>
          <w:sz w:val="24"/>
          <w:highlight w:val="none"/>
        </w:rPr>
        <w:t>项目</w:t>
      </w:r>
      <w:r>
        <w:rPr>
          <w:rFonts w:hint="eastAsia" w:ascii="宋体" w:hAnsi="宋体"/>
          <w:color w:val="auto"/>
          <w:spacing w:val="-6"/>
          <w:sz w:val="24"/>
          <w:highlight w:val="none"/>
        </w:rPr>
        <w:t>的投标，为便于贵方公正、择优地确定中标人及其服务，我方就本次投标有关事项郑重声明如下：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我方向贵方提交的所有投标文件、资料都是准确的和真实的；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我方不是招标人的附属机构；在获知本项目采购信息后，与招标人聘请的为此项目提供咨询服务的公司及其附属机构没有任何联系。</w:t>
      </w:r>
    </w:p>
    <w:p>
      <w:pPr>
        <w:pStyle w:val="10"/>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3.以上事项如有虚假或隐瞒，我方愿意承担一切后果和责任。</w:t>
      </w:r>
    </w:p>
    <w:p>
      <w:pPr>
        <w:pStyle w:val="72"/>
        <w:spacing w:line="360" w:lineRule="auto"/>
        <w:rPr>
          <w:rFonts w:ascii="宋体" w:hAnsi="宋体"/>
          <w:color w:val="auto"/>
          <w:spacing w:val="-6"/>
          <w:szCs w:val="24"/>
          <w:highlight w:val="none"/>
        </w:rPr>
      </w:pPr>
    </w:p>
    <w:p>
      <w:pPr>
        <w:pStyle w:val="72"/>
        <w:spacing w:line="360" w:lineRule="auto"/>
        <w:rPr>
          <w:rFonts w:ascii="宋体" w:hAnsi="宋体"/>
          <w:color w:val="auto"/>
          <w:spacing w:val="-6"/>
          <w:szCs w:val="24"/>
          <w:highlight w:val="none"/>
        </w:rPr>
      </w:pPr>
    </w:p>
    <w:p>
      <w:pPr>
        <w:pStyle w:val="72"/>
        <w:spacing w:line="360" w:lineRule="auto"/>
        <w:rPr>
          <w:rFonts w:ascii="宋体" w:hAnsi="宋体"/>
          <w:color w:val="auto"/>
          <w:spacing w:val="-6"/>
          <w:szCs w:val="24"/>
          <w:highlight w:val="none"/>
        </w:rPr>
      </w:pPr>
    </w:p>
    <w:p>
      <w:pPr>
        <w:pStyle w:val="72"/>
        <w:spacing w:line="360" w:lineRule="auto"/>
        <w:rPr>
          <w:rFonts w:ascii="宋体" w:hAnsi="宋体"/>
          <w:color w:val="auto"/>
          <w:spacing w:val="-6"/>
          <w:szCs w:val="24"/>
          <w:highlight w:val="none"/>
        </w:rPr>
      </w:pPr>
    </w:p>
    <w:p>
      <w:pPr>
        <w:pStyle w:val="72"/>
        <w:spacing w:line="360" w:lineRule="auto"/>
        <w:rPr>
          <w:rFonts w:ascii="宋体" w:hAnsi="宋体"/>
          <w:color w:val="auto"/>
          <w:spacing w:val="-6"/>
          <w:szCs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廉政承诺书</w:t>
      </w:r>
    </w:p>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浙江科技学院</w:t>
      </w:r>
      <w:r>
        <w:rPr>
          <w:rFonts w:hint="eastAsia" w:ascii="宋体" w:hAnsi="宋体" w:cs="宋体"/>
          <w:color w:val="auto"/>
          <w:sz w:val="24"/>
          <w:highlight w:val="none"/>
        </w:rPr>
        <w:t>：</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根据《财政部关于进一步加强财政部门和预算单位资金存放管理的指导意见》（财库〔2017〕76号）、《浙江省省级行政事业单位公款竞争性存放管理办法》（浙财预执〔2021〕7号）相关规定，现就本行参加贵单位</w:t>
      </w:r>
      <w:r>
        <w:rPr>
          <w:rFonts w:hint="eastAsia" w:ascii="宋体" w:hAnsi="宋体" w:cs="宋体"/>
          <w:color w:val="auto"/>
          <w:sz w:val="24"/>
          <w:highlight w:val="none"/>
          <w:lang w:eastAsia="zh-CN"/>
        </w:rPr>
        <w:t>2021年第二期公款竞争性存放</w:t>
      </w:r>
      <w:r>
        <w:rPr>
          <w:rFonts w:hint="eastAsia" w:ascii="宋体" w:hAnsi="宋体" w:cs="宋体"/>
          <w:color w:val="auto"/>
          <w:sz w:val="24"/>
          <w:highlight w:val="none"/>
        </w:rPr>
        <w:t>作出如下承诺：</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1.不向贵单位负责公款存放管理的领导及相关人员进行利益输送；</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2.不将公款存放与贵单位负责公款存放管理的领导及相关人员在本行的配偶、子女及其配偶和其他直接利益相关人员的业绩、收入、晋升等利益挂钩；</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3.严格执行利益回避制度，贵单位负责公款竞争性存放相关人员的配偶、子女及其配偶和其他直接利益相关人员为本行工作人员的，不参与公款竞争性存放工作；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4.不发生除上述行为之外的其他任何利益输送行为。</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未遵守以上承诺的，本行自愿接受财政部门通报和处理，承担相应的一切后果。</w:t>
      </w:r>
    </w:p>
    <w:p>
      <w:pPr>
        <w:spacing w:line="360" w:lineRule="auto"/>
        <w:ind w:firstLine="420"/>
        <w:rPr>
          <w:rFonts w:ascii="宋体" w:hAnsi="宋体" w:cs="宋体"/>
          <w:color w:val="auto"/>
          <w:sz w:val="24"/>
          <w:highlight w:val="none"/>
        </w:rPr>
      </w:pPr>
    </w:p>
    <w:p>
      <w:pPr>
        <w:spacing w:line="360" w:lineRule="auto"/>
        <w:ind w:firstLine="420"/>
        <w:rPr>
          <w:rFonts w:ascii="宋体" w:hAnsi="宋体" w:cs="宋体"/>
          <w:color w:val="auto"/>
          <w:sz w:val="24"/>
          <w:highlight w:val="none"/>
        </w:rPr>
      </w:pPr>
    </w:p>
    <w:p>
      <w:pPr>
        <w:spacing w:line="360" w:lineRule="auto"/>
        <w:jc w:val="right"/>
        <w:rPr>
          <w:rFonts w:ascii="宋体" w:hAnsi="宋体" w:cs="宋体"/>
          <w:color w:val="auto"/>
          <w:sz w:val="24"/>
          <w:highlight w:val="none"/>
        </w:rPr>
      </w:pPr>
      <w:r>
        <w:rPr>
          <w:rFonts w:hint="eastAsia" w:ascii="宋体" w:hAnsi="宋体" w:cs="宋体"/>
          <w:color w:val="auto"/>
          <w:sz w:val="24"/>
          <w:highlight w:val="none"/>
        </w:rPr>
        <w:t>银行（公章）</w:t>
      </w:r>
    </w:p>
    <w:p>
      <w:pPr>
        <w:spacing w:line="360" w:lineRule="auto"/>
        <w:jc w:val="right"/>
        <w:rPr>
          <w:rFonts w:ascii="宋体" w:hAnsi="宋体"/>
          <w:b/>
          <w:color w:val="auto"/>
          <w:spacing w:val="-6"/>
          <w:sz w:val="24"/>
          <w:highlight w:val="none"/>
        </w:rPr>
      </w:pPr>
      <w:r>
        <w:rPr>
          <w:rFonts w:hint="eastAsia" w:ascii="宋体" w:hAnsi="宋体" w:cs="宋体"/>
          <w:color w:val="auto"/>
          <w:sz w:val="24"/>
          <w:highlight w:val="none"/>
        </w:rPr>
        <w:t xml:space="preserve">   年   月   日</w:t>
      </w:r>
    </w:p>
    <w:p>
      <w:pPr>
        <w:spacing w:line="360" w:lineRule="auto"/>
        <w:jc w:val="center"/>
        <w:outlineLvl w:val="1"/>
        <w:rPr>
          <w:rFonts w:ascii="宋体" w:hAnsi="宋体"/>
          <w:b/>
          <w:color w:val="auto"/>
          <w:spacing w:val="-6"/>
          <w:sz w:val="52"/>
          <w:szCs w:val="52"/>
          <w:highlight w:val="none"/>
        </w:rPr>
      </w:pPr>
      <w:r>
        <w:rPr>
          <w:rFonts w:ascii="宋体" w:hAnsi="宋体"/>
          <w:b/>
          <w:color w:val="auto"/>
          <w:spacing w:val="-6"/>
          <w:sz w:val="24"/>
          <w:highlight w:val="none"/>
        </w:rPr>
        <w:br w:type="page"/>
      </w:r>
    </w:p>
    <w:p>
      <w:pPr>
        <w:snapToGrid w:val="0"/>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服务</w:t>
      </w:r>
      <w:r>
        <w:rPr>
          <w:rFonts w:ascii="宋体" w:hAnsi="宋体"/>
          <w:b/>
          <w:color w:val="auto"/>
          <w:spacing w:val="-6"/>
          <w:sz w:val="24"/>
          <w:highlight w:val="none"/>
        </w:rPr>
        <w:t>承诺对照表</w:t>
      </w:r>
    </w:p>
    <w:p>
      <w:pPr>
        <w:spacing w:line="360" w:lineRule="auto"/>
        <w:rPr>
          <w:rFonts w:hint="eastAsia" w:ascii="宋体" w:hAnsi="宋体"/>
          <w:color w:val="auto"/>
          <w:spacing w:val="-6"/>
          <w:sz w:val="24"/>
          <w:highlight w:val="none"/>
        </w:rPr>
      </w:pP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招 标 人：</w:t>
      </w:r>
      <w:r>
        <w:rPr>
          <w:rFonts w:hint="eastAsia" w:ascii="宋体" w:hAnsi="宋体"/>
          <w:color w:val="auto"/>
          <w:spacing w:val="-6"/>
          <w:sz w:val="24"/>
          <w:highlight w:val="none"/>
          <w:lang w:eastAsia="zh-CN"/>
        </w:rPr>
        <w:t>浙江科技学院</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招标项目编号：</w:t>
      </w:r>
      <w:r>
        <w:rPr>
          <w:rFonts w:hint="eastAsia" w:ascii="宋体" w:hAnsi="宋体"/>
          <w:color w:val="auto"/>
          <w:spacing w:val="-6"/>
          <w:sz w:val="24"/>
          <w:highlight w:val="none"/>
          <w:lang w:eastAsia="zh-CN"/>
        </w:rPr>
        <w:t>QSZB-F(F)-B21387(GK)</w:t>
      </w:r>
      <w:r>
        <w:rPr>
          <w:rFonts w:hint="eastAsia" w:ascii="宋体" w:hAnsi="宋体"/>
          <w:color w:val="auto"/>
          <w:spacing w:val="-6"/>
          <w:sz w:val="24"/>
          <w:highlight w:val="none"/>
        </w:rPr>
        <w:t xml:space="preserve"> </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552"/>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项目</w:t>
            </w:r>
          </w:p>
        </w:tc>
        <w:tc>
          <w:tcPr>
            <w:tcW w:w="2551" w:type="dxa"/>
            <w:vAlign w:val="center"/>
          </w:tcPr>
          <w:p>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招标</w:t>
            </w:r>
            <w:r>
              <w:rPr>
                <w:rFonts w:ascii="宋体" w:hAnsi="宋体"/>
                <w:b/>
                <w:color w:val="auto"/>
                <w:spacing w:val="-6"/>
                <w:sz w:val="24"/>
                <w:highlight w:val="none"/>
              </w:rPr>
              <w:t>文件要求</w:t>
            </w:r>
          </w:p>
        </w:tc>
        <w:tc>
          <w:tcPr>
            <w:tcW w:w="2552" w:type="dxa"/>
            <w:vAlign w:val="center"/>
          </w:tcPr>
          <w:p>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是否</w:t>
            </w:r>
            <w:r>
              <w:rPr>
                <w:rFonts w:ascii="宋体" w:hAnsi="宋体"/>
                <w:b/>
                <w:color w:val="auto"/>
                <w:spacing w:val="-6"/>
                <w:sz w:val="24"/>
                <w:highlight w:val="none"/>
              </w:rPr>
              <w:t>响应</w:t>
            </w:r>
          </w:p>
        </w:tc>
        <w:tc>
          <w:tcPr>
            <w:tcW w:w="3424" w:type="dxa"/>
            <w:vAlign w:val="center"/>
          </w:tcPr>
          <w:p>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投标人</w:t>
            </w:r>
            <w:r>
              <w:rPr>
                <w:rFonts w:ascii="宋体" w:hAnsi="宋体"/>
                <w:b/>
                <w:color w:val="auto"/>
                <w:spacing w:val="-6"/>
                <w:sz w:val="24"/>
                <w:highlight w:val="none"/>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28" w:type="dxa"/>
            <w:gridSpan w:val="4"/>
            <w:vAlign w:val="center"/>
          </w:tcPr>
          <w:p>
            <w:pPr>
              <w:snapToGrid w:val="0"/>
              <w:spacing w:line="360" w:lineRule="auto"/>
              <w:rPr>
                <w:rFonts w:ascii="宋体" w:hAnsi="宋体"/>
                <w:b/>
                <w:color w:val="auto"/>
                <w:spacing w:val="-6"/>
                <w:sz w:val="24"/>
                <w:highlight w:val="none"/>
              </w:rPr>
            </w:pPr>
            <w:r>
              <w:rPr>
                <w:rFonts w:hint="eastAsia" w:ascii="宋体" w:hAnsi="宋体"/>
                <w:b/>
                <w:color w:val="auto"/>
                <w:spacing w:val="-6"/>
                <w:sz w:val="24"/>
                <w:highlight w:val="none"/>
              </w:rPr>
              <w:t>服务</w:t>
            </w:r>
            <w:r>
              <w:rPr>
                <w:rFonts w:ascii="宋体" w:hAnsi="宋体"/>
                <w:b/>
                <w:color w:val="auto"/>
                <w:spacing w:val="-6"/>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一）</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（二）</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三）</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（四</w:t>
            </w:r>
            <w:r>
              <w:rPr>
                <w:rFonts w:ascii="宋体" w:hAnsi="宋体"/>
                <w:color w:val="auto"/>
                <w:spacing w:val="-6"/>
                <w:sz w:val="24"/>
                <w:highlight w:val="none"/>
              </w:rPr>
              <w:t>）</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（五</w:t>
            </w:r>
            <w:r>
              <w:rPr>
                <w:rFonts w:ascii="宋体" w:hAnsi="宋体"/>
                <w:color w:val="auto"/>
                <w:spacing w:val="-6"/>
                <w:sz w:val="24"/>
                <w:highlight w:val="none"/>
              </w:rPr>
              <w:t>）</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（六</w:t>
            </w:r>
            <w:r>
              <w:rPr>
                <w:rFonts w:ascii="宋体" w:hAnsi="宋体"/>
                <w:color w:val="auto"/>
                <w:spacing w:val="-6"/>
                <w:sz w:val="24"/>
                <w:highlight w:val="none"/>
              </w:rPr>
              <w:t>）</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（七</w:t>
            </w:r>
            <w:r>
              <w:rPr>
                <w:rFonts w:ascii="宋体" w:hAnsi="宋体"/>
                <w:color w:val="auto"/>
                <w:spacing w:val="-6"/>
                <w:sz w:val="24"/>
                <w:highlight w:val="none"/>
              </w:rPr>
              <w:t>）</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（八</w:t>
            </w:r>
            <w:r>
              <w:rPr>
                <w:rFonts w:ascii="宋体" w:hAnsi="宋体"/>
                <w:color w:val="auto"/>
                <w:spacing w:val="-6"/>
                <w:sz w:val="24"/>
                <w:highlight w:val="none"/>
              </w:rPr>
              <w:t>）</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360" w:lineRule="auto"/>
              <w:jc w:val="center"/>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lang w:eastAsia="zh-CN"/>
              </w:rPr>
              <w:t>（</w:t>
            </w:r>
            <w:r>
              <w:rPr>
                <w:rFonts w:hint="eastAsia" w:ascii="宋体" w:hAnsi="宋体"/>
                <w:color w:val="auto"/>
                <w:spacing w:val="-6"/>
                <w:sz w:val="24"/>
                <w:highlight w:val="none"/>
                <w:lang w:val="en-US" w:eastAsia="zh-CN"/>
              </w:rPr>
              <w:t>九</w:t>
            </w:r>
            <w:r>
              <w:rPr>
                <w:rFonts w:hint="eastAsia" w:ascii="宋体" w:hAnsi="宋体"/>
                <w:color w:val="auto"/>
                <w:spacing w:val="-6"/>
                <w:sz w:val="24"/>
                <w:highlight w:val="none"/>
                <w:lang w:eastAsia="zh-CN"/>
              </w:rPr>
              <w:t>）</w:t>
            </w:r>
          </w:p>
        </w:tc>
        <w:tc>
          <w:tcPr>
            <w:tcW w:w="2551" w:type="dxa"/>
            <w:vAlign w:val="center"/>
          </w:tcPr>
          <w:p>
            <w:pPr>
              <w:snapToGrid w:val="0"/>
              <w:spacing w:line="360" w:lineRule="auto"/>
              <w:rPr>
                <w:rFonts w:ascii="宋体" w:hAnsi="宋体"/>
                <w:color w:val="auto"/>
                <w:spacing w:val="-6"/>
                <w:sz w:val="24"/>
                <w:highlight w:val="none"/>
              </w:rPr>
            </w:pPr>
          </w:p>
        </w:tc>
        <w:tc>
          <w:tcPr>
            <w:tcW w:w="2552" w:type="dxa"/>
            <w:vAlign w:val="center"/>
          </w:tcPr>
          <w:p>
            <w:pPr>
              <w:snapToGrid w:val="0"/>
              <w:spacing w:line="360" w:lineRule="auto"/>
              <w:rPr>
                <w:rFonts w:ascii="宋体" w:hAnsi="宋体"/>
                <w:color w:val="auto"/>
                <w:spacing w:val="-6"/>
                <w:sz w:val="24"/>
                <w:highlight w:val="none"/>
              </w:rPr>
            </w:pPr>
          </w:p>
        </w:tc>
        <w:tc>
          <w:tcPr>
            <w:tcW w:w="3424" w:type="dxa"/>
            <w:vAlign w:val="center"/>
          </w:tcPr>
          <w:p>
            <w:pPr>
              <w:snapToGrid w:val="0"/>
              <w:spacing w:line="360" w:lineRule="auto"/>
              <w:rPr>
                <w:rFonts w:ascii="宋体" w:hAnsi="宋体"/>
                <w:color w:val="auto"/>
                <w:spacing w:val="-6"/>
                <w:sz w:val="24"/>
                <w:highlight w:val="none"/>
              </w:rPr>
            </w:pPr>
          </w:p>
        </w:tc>
      </w:tr>
    </w:tbl>
    <w:p>
      <w:pPr>
        <w:snapToGrid w:val="0"/>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pStyle w:val="30"/>
        <w:spacing w:line="360" w:lineRule="auto"/>
        <w:rPr>
          <w:rFonts w:ascii="宋体" w:hAnsi="宋体" w:cs="宋体"/>
          <w:b/>
          <w:color w:val="auto"/>
          <w:highlight w:val="none"/>
        </w:rPr>
      </w:pPr>
      <w:r>
        <w:rPr>
          <w:rFonts w:ascii="宋体" w:hAnsi="宋体" w:cs="宋体"/>
          <w:b/>
          <w:color w:val="auto"/>
          <w:highlight w:val="none"/>
        </w:rPr>
        <w:br w:type="page"/>
      </w:r>
    </w:p>
    <w:p>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以下内容根据评分细则、格式自拟</w:t>
      </w:r>
    </w:p>
    <w:p>
      <w:pPr>
        <w:snapToGrid w:val="0"/>
        <w:spacing w:line="360" w:lineRule="auto"/>
        <w:jc w:val="left"/>
        <w:rPr>
          <w:rFonts w:hint="eastAsia" w:ascii="宋体" w:hAnsi="宋体" w:cs="宋体"/>
          <w:b/>
          <w:color w:val="auto"/>
          <w:sz w:val="24"/>
          <w:highlight w:val="none"/>
        </w:rPr>
      </w:pP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既往服务情况</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整体服务方案</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风险保障方案</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金融服务支持情况及承诺</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提前用款计息方案</w:t>
      </w:r>
    </w:p>
    <w:p>
      <w:pPr>
        <w:pStyle w:val="30"/>
        <w:spacing w:line="360" w:lineRule="auto"/>
        <w:rPr>
          <w:rFonts w:ascii="宋体" w:hAnsi="宋体" w:cs="宋体"/>
          <w:b/>
          <w:color w:val="auto"/>
          <w:highlight w:val="none"/>
        </w:rPr>
      </w:pPr>
    </w:p>
    <w:p>
      <w:pPr>
        <w:widowControl/>
        <w:spacing w:line="360" w:lineRule="auto"/>
        <w:jc w:val="left"/>
        <w:rPr>
          <w:rFonts w:ascii="宋体" w:hAnsi="宋体" w:cs="宋体"/>
          <w:b/>
          <w:color w:val="auto"/>
          <w:kern w:val="0"/>
          <w:sz w:val="24"/>
          <w:highlight w:val="none"/>
        </w:rPr>
      </w:pPr>
    </w:p>
    <w:sectPr>
      <w:footerReference r:id="rId5" w:type="default"/>
      <w:pgSz w:w="11906" w:h="16838"/>
      <w:pgMar w:top="1247" w:right="1247" w:bottom="1247" w:left="1247" w:header="1" w:footer="72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rPr>
        <w:rFonts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417"/>
      </w:tabs>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17</w:t>
    </w:r>
    <w:r>
      <w:rPr>
        <w:rFonts w:ascii="宋体" w:hAns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6275"/>
          <wp:effectExtent l="19050" t="0" r="0" b="0"/>
          <wp:docPr id="2" name="图片 2" descr="E:\文件制作\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文件制作\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F9687"/>
    <w:multiLevelType w:val="singleLevel"/>
    <w:tmpl w:val="EA0F9687"/>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680D39D"/>
    <w:multiLevelType w:val="singleLevel"/>
    <w:tmpl w:val="5680D39D"/>
    <w:lvl w:ilvl="0" w:tentative="0">
      <w:start w:val="1"/>
      <w:numFmt w:val="chineseCounting"/>
      <w:suff w:val="nothing"/>
      <w:lvlText w:val="%1、"/>
      <w:lvlJc w:val="left"/>
    </w:lvl>
  </w:abstractNum>
  <w:num w:numId="1">
    <w:abstractNumId w:val="1"/>
  </w:num>
  <w:num w:numId="2">
    <w:abstractNumId w:val="2"/>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D7"/>
    <w:rsid w:val="0000407F"/>
    <w:rsid w:val="00004BC1"/>
    <w:rsid w:val="000055AA"/>
    <w:rsid w:val="00006479"/>
    <w:rsid w:val="00010B5C"/>
    <w:rsid w:val="000114CE"/>
    <w:rsid w:val="00012EBC"/>
    <w:rsid w:val="00012FC3"/>
    <w:rsid w:val="0001334A"/>
    <w:rsid w:val="00013F01"/>
    <w:rsid w:val="00014602"/>
    <w:rsid w:val="0001520A"/>
    <w:rsid w:val="00015891"/>
    <w:rsid w:val="000169F9"/>
    <w:rsid w:val="00017BEE"/>
    <w:rsid w:val="00020801"/>
    <w:rsid w:val="00020818"/>
    <w:rsid w:val="00020AA9"/>
    <w:rsid w:val="00020F9E"/>
    <w:rsid w:val="00021B6A"/>
    <w:rsid w:val="00021D4E"/>
    <w:rsid w:val="00021DFD"/>
    <w:rsid w:val="000224A1"/>
    <w:rsid w:val="00022F14"/>
    <w:rsid w:val="00023178"/>
    <w:rsid w:val="00024130"/>
    <w:rsid w:val="00024666"/>
    <w:rsid w:val="0002534F"/>
    <w:rsid w:val="00025E6A"/>
    <w:rsid w:val="00026877"/>
    <w:rsid w:val="000276C1"/>
    <w:rsid w:val="00027A21"/>
    <w:rsid w:val="00027A3C"/>
    <w:rsid w:val="00030DB5"/>
    <w:rsid w:val="00030E81"/>
    <w:rsid w:val="000310FE"/>
    <w:rsid w:val="00031E2B"/>
    <w:rsid w:val="00032280"/>
    <w:rsid w:val="000325E1"/>
    <w:rsid w:val="00033E2F"/>
    <w:rsid w:val="00034B6F"/>
    <w:rsid w:val="000354BF"/>
    <w:rsid w:val="00035A6C"/>
    <w:rsid w:val="00036905"/>
    <w:rsid w:val="00036972"/>
    <w:rsid w:val="00036996"/>
    <w:rsid w:val="0003700E"/>
    <w:rsid w:val="0003797E"/>
    <w:rsid w:val="00037D61"/>
    <w:rsid w:val="00040041"/>
    <w:rsid w:val="000410B9"/>
    <w:rsid w:val="00041D0F"/>
    <w:rsid w:val="00043E78"/>
    <w:rsid w:val="00045713"/>
    <w:rsid w:val="000459B5"/>
    <w:rsid w:val="00045C96"/>
    <w:rsid w:val="00045EE2"/>
    <w:rsid w:val="00047222"/>
    <w:rsid w:val="00047DF2"/>
    <w:rsid w:val="000504A2"/>
    <w:rsid w:val="00050798"/>
    <w:rsid w:val="00051097"/>
    <w:rsid w:val="0005142F"/>
    <w:rsid w:val="0005166C"/>
    <w:rsid w:val="00051736"/>
    <w:rsid w:val="00052C43"/>
    <w:rsid w:val="00053AD2"/>
    <w:rsid w:val="00054211"/>
    <w:rsid w:val="00055269"/>
    <w:rsid w:val="00055762"/>
    <w:rsid w:val="000558AF"/>
    <w:rsid w:val="0005629D"/>
    <w:rsid w:val="00056A91"/>
    <w:rsid w:val="00056E35"/>
    <w:rsid w:val="000572E5"/>
    <w:rsid w:val="000574BB"/>
    <w:rsid w:val="00057B3C"/>
    <w:rsid w:val="00057C6A"/>
    <w:rsid w:val="0006044C"/>
    <w:rsid w:val="00060962"/>
    <w:rsid w:val="00061877"/>
    <w:rsid w:val="00061D3E"/>
    <w:rsid w:val="0006212B"/>
    <w:rsid w:val="00062A65"/>
    <w:rsid w:val="00062C77"/>
    <w:rsid w:val="00064453"/>
    <w:rsid w:val="00064F1A"/>
    <w:rsid w:val="00065066"/>
    <w:rsid w:val="00065362"/>
    <w:rsid w:val="00065984"/>
    <w:rsid w:val="00065AD7"/>
    <w:rsid w:val="00066072"/>
    <w:rsid w:val="0006777C"/>
    <w:rsid w:val="0006785D"/>
    <w:rsid w:val="00067B67"/>
    <w:rsid w:val="000710BF"/>
    <w:rsid w:val="00071135"/>
    <w:rsid w:val="00071C2A"/>
    <w:rsid w:val="00072425"/>
    <w:rsid w:val="00072746"/>
    <w:rsid w:val="000728B5"/>
    <w:rsid w:val="00073FF7"/>
    <w:rsid w:val="00074378"/>
    <w:rsid w:val="00074D7B"/>
    <w:rsid w:val="00076570"/>
    <w:rsid w:val="00077067"/>
    <w:rsid w:val="0007776E"/>
    <w:rsid w:val="000804A7"/>
    <w:rsid w:val="00080A03"/>
    <w:rsid w:val="00080B30"/>
    <w:rsid w:val="00083EE5"/>
    <w:rsid w:val="00084D5F"/>
    <w:rsid w:val="00085889"/>
    <w:rsid w:val="00085EC0"/>
    <w:rsid w:val="0008603E"/>
    <w:rsid w:val="00087FF2"/>
    <w:rsid w:val="00090ABA"/>
    <w:rsid w:val="00092E35"/>
    <w:rsid w:val="00093340"/>
    <w:rsid w:val="00093988"/>
    <w:rsid w:val="000941F1"/>
    <w:rsid w:val="00094C73"/>
    <w:rsid w:val="000957CD"/>
    <w:rsid w:val="00096127"/>
    <w:rsid w:val="000965C7"/>
    <w:rsid w:val="0009732C"/>
    <w:rsid w:val="000A1473"/>
    <w:rsid w:val="000A2610"/>
    <w:rsid w:val="000A2678"/>
    <w:rsid w:val="000A29BE"/>
    <w:rsid w:val="000A3119"/>
    <w:rsid w:val="000A35E1"/>
    <w:rsid w:val="000A3A5F"/>
    <w:rsid w:val="000A4CE6"/>
    <w:rsid w:val="000A4D7E"/>
    <w:rsid w:val="000A79FF"/>
    <w:rsid w:val="000A7CFC"/>
    <w:rsid w:val="000B1842"/>
    <w:rsid w:val="000B2628"/>
    <w:rsid w:val="000B34D6"/>
    <w:rsid w:val="000B3E1B"/>
    <w:rsid w:val="000B40E6"/>
    <w:rsid w:val="000B504A"/>
    <w:rsid w:val="000B55D0"/>
    <w:rsid w:val="000B575E"/>
    <w:rsid w:val="000B5C73"/>
    <w:rsid w:val="000B6848"/>
    <w:rsid w:val="000B6C54"/>
    <w:rsid w:val="000B723F"/>
    <w:rsid w:val="000B75B1"/>
    <w:rsid w:val="000B7688"/>
    <w:rsid w:val="000B78AE"/>
    <w:rsid w:val="000C3741"/>
    <w:rsid w:val="000C37FE"/>
    <w:rsid w:val="000C3AB9"/>
    <w:rsid w:val="000C460F"/>
    <w:rsid w:val="000C47A9"/>
    <w:rsid w:val="000C4883"/>
    <w:rsid w:val="000C5831"/>
    <w:rsid w:val="000C587D"/>
    <w:rsid w:val="000C5C75"/>
    <w:rsid w:val="000C60CB"/>
    <w:rsid w:val="000C6718"/>
    <w:rsid w:val="000C741E"/>
    <w:rsid w:val="000D03C9"/>
    <w:rsid w:val="000D1903"/>
    <w:rsid w:val="000D25B1"/>
    <w:rsid w:val="000D499E"/>
    <w:rsid w:val="000D4C7F"/>
    <w:rsid w:val="000D4F7D"/>
    <w:rsid w:val="000D519D"/>
    <w:rsid w:val="000D6676"/>
    <w:rsid w:val="000D6C0F"/>
    <w:rsid w:val="000D7D05"/>
    <w:rsid w:val="000E01C6"/>
    <w:rsid w:val="000E0616"/>
    <w:rsid w:val="000E0978"/>
    <w:rsid w:val="000E1432"/>
    <w:rsid w:val="000E1629"/>
    <w:rsid w:val="000E1BE1"/>
    <w:rsid w:val="000E1EE9"/>
    <w:rsid w:val="000E1F26"/>
    <w:rsid w:val="000E25FD"/>
    <w:rsid w:val="000E29C9"/>
    <w:rsid w:val="000E3A24"/>
    <w:rsid w:val="000E6588"/>
    <w:rsid w:val="000E7DBB"/>
    <w:rsid w:val="000F09AF"/>
    <w:rsid w:val="000F0D64"/>
    <w:rsid w:val="000F14E4"/>
    <w:rsid w:val="000F1F26"/>
    <w:rsid w:val="000F2AAD"/>
    <w:rsid w:val="000F30F5"/>
    <w:rsid w:val="000F31CF"/>
    <w:rsid w:val="000F3B05"/>
    <w:rsid w:val="000F47CE"/>
    <w:rsid w:val="000F4B22"/>
    <w:rsid w:val="000F55B7"/>
    <w:rsid w:val="000F5BBD"/>
    <w:rsid w:val="000F5CF1"/>
    <w:rsid w:val="000F5D40"/>
    <w:rsid w:val="000F665A"/>
    <w:rsid w:val="000F7174"/>
    <w:rsid w:val="000F7941"/>
    <w:rsid w:val="000F7E59"/>
    <w:rsid w:val="001003F0"/>
    <w:rsid w:val="0010098C"/>
    <w:rsid w:val="00100E4C"/>
    <w:rsid w:val="00101341"/>
    <w:rsid w:val="00102403"/>
    <w:rsid w:val="00102D01"/>
    <w:rsid w:val="00105F12"/>
    <w:rsid w:val="00105FC5"/>
    <w:rsid w:val="001070C4"/>
    <w:rsid w:val="001078DB"/>
    <w:rsid w:val="00110547"/>
    <w:rsid w:val="001107C6"/>
    <w:rsid w:val="00110AE7"/>
    <w:rsid w:val="00111B51"/>
    <w:rsid w:val="00112E64"/>
    <w:rsid w:val="001143D2"/>
    <w:rsid w:val="001144F7"/>
    <w:rsid w:val="00116AC0"/>
    <w:rsid w:val="00117084"/>
    <w:rsid w:val="00117CA4"/>
    <w:rsid w:val="0012048B"/>
    <w:rsid w:val="00120BDC"/>
    <w:rsid w:val="00121040"/>
    <w:rsid w:val="00123983"/>
    <w:rsid w:val="00123C1D"/>
    <w:rsid w:val="00124512"/>
    <w:rsid w:val="0012489C"/>
    <w:rsid w:val="00124DE1"/>
    <w:rsid w:val="00125768"/>
    <w:rsid w:val="00126439"/>
    <w:rsid w:val="001266CC"/>
    <w:rsid w:val="00126C29"/>
    <w:rsid w:val="00130CAF"/>
    <w:rsid w:val="00130ED6"/>
    <w:rsid w:val="00132A2E"/>
    <w:rsid w:val="001330A8"/>
    <w:rsid w:val="00135280"/>
    <w:rsid w:val="00136919"/>
    <w:rsid w:val="00136ED4"/>
    <w:rsid w:val="0013796A"/>
    <w:rsid w:val="00140466"/>
    <w:rsid w:val="00141D0D"/>
    <w:rsid w:val="00142B06"/>
    <w:rsid w:val="0014310B"/>
    <w:rsid w:val="00143148"/>
    <w:rsid w:val="0014555E"/>
    <w:rsid w:val="00145780"/>
    <w:rsid w:val="00145989"/>
    <w:rsid w:val="00146327"/>
    <w:rsid w:val="00146F02"/>
    <w:rsid w:val="00146F2C"/>
    <w:rsid w:val="001475CB"/>
    <w:rsid w:val="001502BC"/>
    <w:rsid w:val="00150D1E"/>
    <w:rsid w:val="00150D46"/>
    <w:rsid w:val="00150EE4"/>
    <w:rsid w:val="00152D27"/>
    <w:rsid w:val="00153628"/>
    <w:rsid w:val="001540BA"/>
    <w:rsid w:val="00155AFA"/>
    <w:rsid w:val="001566F2"/>
    <w:rsid w:val="00157BA2"/>
    <w:rsid w:val="00160B84"/>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DDC"/>
    <w:rsid w:val="0017118D"/>
    <w:rsid w:val="001712CC"/>
    <w:rsid w:val="00171AF6"/>
    <w:rsid w:val="00172A27"/>
    <w:rsid w:val="00172F22"/>
    <w:rsid w:val="001735C7"/>
    <w:rsid w:val="00173D13"/>
    <w:rsid w:val="00174690"/>
    <w:rsid w:val="00174784"/>
    <w:rsid w:val="001747BE"/>
    <w:rsid w:val="001763B3"/>
    <w:rsid w:val="001772C1"/>
    <w:rsid w:val="00180456"/>
    <w:rsid w:val="001810E2"/>
    <w:rsid w:val="001818EF"/>
    <w:rsid w:val="00181A44"/>
    <w:rsid w:val="00181A50"/>
    <w:rsid w:val="00182310"/>
    <w:rsid w:val="00182D78"/>
    <w:rsid w:val="00183235"/>
    <w:rsid w:val="00183978"/>
    <w:rsid w:val="00183AEF"/>
    <w:rsid w:val="00184D3D"/>
    <w:rsid w:val="00184E31"/>
    <w:rsid w:val="00186BBE"/>
    <w:rsid w:val="001879F2"/>
    <w:rsid w:val="00190035"/>
    <w:rsid w:val="0019041C"/>
    <w:rsid w:val="00190C4E"/>
    <w:rsid w:val="00191584"/>
    <w:rsid w:val="001916E4"/>
    <w:rsid w:val="00193798"/>
    <w:rsid w:val="00193E13"/>
    <w:rsid w:val="00195094"/>
    <w:rsid w:val="00195167"/>
    <w:rsid w:val="00195A25"/>
    <w:rsid w:val="00195A86"/>
    <w:rsid w:val="001965A7"/>
    <w:rsid w:val="001969F2"/>
    <w:rsid w:val="00196D70"/>
    <w:rsid w:val="00197580"/>
    <w:rsid w:val="00197EA8"/>
    <w:rsid w:val="001A01B6"/>
    <w:rsid w:val="001A0B12"/>
    <w:rsid w:val="001A1D09"/>
    <w:rsid w:val="001A25C8"/>
    <w:rsid w:val="001A3EB3"/>
    <w:rsid w:val="001A4D48"/>
    <w:rsid w:val="001A5A88"/>
    <w:rsid w:val="001A5DA8"/>
    <w:rsid w:val="001A6AB8"/>
    <w:rsid w:val="001A7764"/>
    <w:rsid w:val="001B045F"/>
    <w:rsid w:val="001B0E53"/>
    <w:rsid w:val="001B0ED0"/>
    <w:rsid w:val="001B20DE"/>
    <w:rsid w:val="001B3E88"/>
    <w:rsid w:val="001B5FB1"/>
    <w:rsid w:val="001B68FB"/>
    <w:rsid w:val="001B6FB1"/>
    <w:rsid w:val="001C08E4"/>
    <w:rsid w:val="001C0916"/>
    <w:rsid w:val="001C11F4"/>
    <w:rsid w:val="001C18CF"/>
    <w:rsid w:val="001C1A53"/>
    <w:rsid w:val="001C1AF2"/>
    <w:rsid w:val="001C20BA"/>
    <w:rsid w:val="001C22B5"/>
    <w:rsid w:val="001C39AF"/>
    <w:rsid w:val="001C787A"/>
    <w:rsid w:val="001C78E3"/>
    <w:rsid w:val="001D0B2F"/>
    <w:rsid w:val="001D0F0B"/>
    <w:rsid w:val="001D273B"/>
    <w:rsid w:val="001D2BC7"/>
    <w:rsid w:val="001D37E3"/>
    <w:rsid w:val="001D43A8"/>
    <w:rsid w:val="001D46B2"/>
    <w:rsid w:val="001D4791"/>
    <w:rsid w:val="001D584D"/>
    <w:rsid w:val="001D6033"/>
    <w:rsid w:val="001E1578"/>
    <w:rsid w:val="001E1686"/>
    <w:rsid w:val="001E1761"/>
    <w:rsid w:val="001E1983"/>
    <w:rsid w:val="001E1C59"/>
    <w:rsid w:val="001E1F73"/>
    <w:rsid w:val="001E2199"/>
    <w:rsid w:val="001E2316"/>
    <w:rsid w:val="001E23F9"/>
    <w:rsid w:val="001E27B1"/>
    <w:rsid w:val="001E2F91"/>
    <w:rsid w:val="001E309E"/>
    <w:rsid w:val="001E398A"/>
    <w:rsid w:val="001E39FB"/>
    <w:rsid w:val="001E3A76"/>
    <w:rsid w:val="001E509F"/>
    <w:rsid w:val="001E57A3"/>
    <w:rsid w:val="001E6A29"/>
    <w:rsid w:val="001E7AE0"/>
    <w:rsid w:val="001E7C22"/>
    <w:rsid w:val="001F01E8"/>
    <w:rsid w:val="001F0BF3"/>
    <w:rsid w:val="001F0D5E"/>
    <w:rsid w:val="001F0F2E"/>
    <w:rsid w:val="001F16F8"/>
    <w:rsid w:val="001F21F0"/>
    <w:rsid w:val="001F2717"/>
    <w:rsid w:val="001F3F3F"/>
    <w:rsid w:val="001F44F4"/>
    <w:rsid w:val="001F464D"/>
    <w:rsid w:val="001F7D64"/>
    <w:rsid w:val="0020028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05"/>
    <w:rsid w:val="00212ED2"/>
    <w:rsid w:val="002143CB"/>
    <w:rsid w:val="00214D3C"/>
    <w:rsid w:val="00214FEB"/>
    <w:rsid w:val="0021590B"/>
    <w:rsid w:val="00216AC2"/>
    <w:rsid w:val="00216BB7"/>
    <w:rsid w:val="00217173"/>
    <w:rsid w:val="00220CFB"/>
    <w:rsid w:val="0022121A"/>
    <w:rsid w:val="002221D4"/>
    <w:rsid w:val="002225F6"/>
    <w:rsid w:val="00223964"/>
    <w:rsid w:val="00223B0B"/>
    <w:rsid w:val="002242FA"/>
    <w:rsid w:val="00225014"/>
    <w:rsid w:val="00225666"/>
    <w:rsid w:val="00226B5C"/>
    <w:rsid w:val="00227BFF"/>
    <w:rsid w:val="00227DEA"/>
    <w:rsid w:val="00230467"/>
    <w:rsid w:val="00230BB3"/>
    <w:rsid w:val="00231503"/>
    <w:rsid w:val="002315A6"/>
    <w:rsid w:val="00231D77"/>
    <w:rsid w:val="00232CAA"/>
    <w:rsid w:val="002335EA"/>
    <w:rsid w:val="0023377A"/>
    <w:rsid w:val="002340E8"/>
    <w:rsid w:val="00234364"/>
    <w:rsid w:val="00235211"/>
    <w:rsid w:val="00235D8A"/>
    <w:rsid w:val="00237186"/>
    <w:rsid w:val="00237361"/>
    <w:rsid w:val="002378EC"/>
    <w:rsid w:val="00237EE5"/>
    <w:rsid w:val="00240C9B"/>
    <w:rsid w:val="002414E7"/>
    <w:rsid w:val="00242080"/>
    <w:rsid w:val="00242235"/>
    <w:rsid w:val="002428D7"/>
    <w:rsid w:val="00242E6A"/>
    <w:rsid w:val="00243E14"/>
    <w:rsid w:val="0024503F"/>
    <w:rsid w:val="002460C2"/>
    <w:rsid w:val="0024679B"/>
    <w:rsid w:val="002467FD"/>
    <w:rsid w:val="00247559"/>
    <w:rsid w:val="0025139D"/>
    <w:rsid w:val="0025247A"/>
    <w:rsid w:val="00253721"/>
    <w:rsid w:val="002547BE"/>
    <w:rsid w:val="002550DE"/>
    <w:rsid w:val="00255253"/>
    <w:rsid w:val="00255B2A"/>
    <w:rsid w:val="002562F5"/>
    <w:rsid w:val="002571E6"/>
    <w:rsid w:val="0026011F"/>
    <w:rsid w:val="00260977"/>
    <w:rsid w:val="00260ADB"/>
    <w:rsid w:val="00265095"/>
    <w:rsid w:val="00270464"/>
    <w:rsid w:val="0027204E"/>
    <w:rsid w:val="00272542"/>
    <w:rsid w:val="00273787"/>
    <w:rsid w:val="00274A62"/>
    <w:rsid w:val="00274D87"/>
    <w:rsid w:val="00276367"/>
    <w:rsid w:val="00276595"/>
    <w:rsid w:val="00277580"/>
    <w:rsid w:val="00277C34"/>
    <w:rsid w:val="00280D76"/>
    <w:rsid w:val="00282451"/>
    <w:rsid w:val="00282FB2"/>
    <w:rsid w:val="00283516"/>
    <w:rsid w:val="00284CAA"/>
    <w:rsid w:val="0028576A"/>
    <w:rsid w:val="00285987"/>
    <w:rsid w:val="00287DF1"/>
    <w:rsid w:val="0029170B"/>
    <w:rsid w:val="00291E79"/>
    <w:rsid w:val="0029248A"/>
    <w:rsid w:val="00292964"/>
    <w:rsid w:val="00293231"/>
    <w:rsid w:val="00294556"/>
    <w:rsid w:val="00294EB9"/>
    <w:rsid w:val="00295896"/>
    <w:rsid w:val="002959EC"/>
    <w:rsid w:val="00295D58"/>
    <w:rsid w:val="002968CF"/>
    <w:rsid w:val="00296EF4"/>
    <w:rsid w:val="002972C0"/>
    <w:rsid w:val="002979DD"/>
    <w:rsid w:val="002A14AF"/>
    <w:rsid w:val="002A321D"/>
    <w:rsid w:val="002A3506"/>
    <w:rsid w:val="002A3CBC"/>
    <w:rsid w:val="002A48F3"/>
    <w:rsid w:val="002A546D"/>
    <w:rsid w:val="002A565F"/>
    <w:rsid w:val="002A5CCC"/>
    <w:rsid w:val="002A64AF"/>
    <w:rsid w:val="002A7174"/>
    <w:rsid w:val="002A7E11"/>
    <w:rsid w:val="002B11C3"/>
    <w:rsid w:val="002B24C2"/>
    <w:rsid w:val="002B2768"/>
    <w:rsid w:val="002B2FEC"/>
    <w:rsid w:val="002B3E2B"/>
    <w:rsid w:val="002B4E83"/>
    <w:rsid w:val="002B5D76"/>
    <w:rsid w:val="002B62FD"/>
    <w:rsid w:val="002B6472"/>
    <w:rsid w:val="002B6BA6"/>
    <w:rsid w:val="002B6F01"/>
    <w:rsid w:val="002C0530"/>
    <w:rsid w:val="002C076E"/>
    <w:rsid w:val="002C07D0"/>
    <w:rsid w:val="002C143C"/>
    <w:rsid w:val="002C1912"/>
    <w:rsid w:val="002C1B38"/>
    <w:rsid w:val="002C25D8"/>
    <w:rsid w:val="002C2BBB"/>
    <w:rsid w:val="002C357E"/>
    <w:rsid w:val="002C3E21"/>
    <w:rsid w:val="002C3EAE"/>
    <w:rsid w:val="002C40FF"/>
    <w:rsid w:val="002C44E9"/>
    <w:rsid w:val="002C477A"/>
    <w:rsid w:val="002C4A64"/>
    <w:rsid w:val="002C4B00"/>
    <w:rsid w:val="002C5CB1"/>
    <w:rsid w:val="002C5E13"/>
    <w:rsid w:val="002C5EBF"/>
    <w:rsid w:val="002D0896"/>
    <w:rsid w:val="002D10B5"/>
    <w:rsid w:val="002D1786"/>
    <w:rsid w:val="002D3048"/>
    <w:rsid w:val="002D3294"/>
    <w:rsid w:val="002D47F3"/>
    <w:rsid w:val="002D5FFD"/>
    <w:rsid w:val="002D6918"/>
    <w:rsid w:val="002D7383"/>
    <w:rsid w:val="002E03E2"/>
    <w:rsid w:val="002E07ED"/>
    <w:rsid w:val="002E3A71"/>
    <w:rsid w:val="002E4C92"/>
    <w:rsid w:val="002E4D88"/>
    <w:rsid w:val="002E4FDC"/>
    <w:rsid w:val="002E549E"/>
    <w:rsid w:val="002E5791"/>
    <w:rsid w:val="002E62A7"/>
    <w:rsid w:val="002E64B2"/>
    <w:rsid w:val="002E68EC"/>
    <w:rsid w:val="002E74B5"/>
    <w:rsid w:val="002E772A"/>
    <w:rsid w:val="002F0CAE"/>
    <w:rsid w:val="002F0F07"/>
    <w:rsid w:val="002F1362"/>
    <w:rsid w:val="002F1FF7"/>
    <w:rsid w:val="002F2CF3"/>
    <w:rsid w:val="002F6F89"/>
    <w:rsid w:val="003016B5"/>
    <w:rsid w:val="00302500"/>
    <w:rsid w:val="0030392B"/>
    <w:rsid w:val="00304728"/>
    <w:rsid w:val="003047BC"/>
    <w:rsid w:val="00304EE6"/>
    <w:rsid w:val="003052FD"/>
    <w:rsid w:val="00305807"/>
    <w:rsid w:val="00306DD9"/>
    <w:rsid w:val="00306E8F"/>
    <w:rsid w:val="003079E4"/>
    <w:rsid w:val="00307CC0"/>
    <w:rsid w:val="00307DF3"/>
    <w:rsid w:val="0031093B"/>
    <w:rsid w:val="0031267B"/>
    <w:rsid w:val="00313747"/>
    <w:rsid w:val="003140F3"/>
    <w:rsid w:val="0031491D"/>
    <w:rsid w:val="00316590"/>
    <w:rsid w:val="003168E8"/>
    <w:rsid w:val="00316B96"/>
    <w:rsid w:val="003171CE"/>
    <w:rsid w:val="00317F11"/>
    <w:rsid w:val="0032012F"/>
    <w:rsid w:val="003204B5"/>
    <w:rsid w:val="00320747"/>
    <w:rsid w:val="003210E3"/>
    <w:rsid w:val="0032149B"/>
    <w:rsid w:val="0032171C"/>
    <w:rsid w:val="003218DC"/>
    <w:rsid w:val="00322663"/>
    <w:rsid w:val="003232CA"/>
    <w:rsid w:val="003232CD"/>
    <w:rsid w:val="003241E3"/>
    <w:rsid w:val="00324345"/>
    <w:rsid w:val="00325EA2"/>
    <w:rsid w:val="003264E3"/>
    <w:rsid w:val="00326C09"/>
    <w:rsid w:val="00326DBE"/>
    <w:rsid w:val="00327EC1"/>
    <w:rsid w:val="003302FD"/>
    <w:rsid w:val="003309CC"/>
    <w:rsid w:val="00330ACE"/>
    <w:rsid w:val="00331BE2"/>
    <w:rsid w:val="00332DED"/>
    <w:rsid w:val="00333ED6"/>
    <w:rsid w:val="0033444D"/>
    <w:rsid w:val="0033509F"/>
    <w:rsid w:val="00340462"/>
    <w:rsid w:val="00341716"/>
    <w:rsid w:val="00343075"/>
    <w:rsid w:val="00343788"/>
    <w:rsid w:val="00343CEA"/>
    <w:rsid w:val="003442F4"/>
    <w:rsid w:val="0034476F"/>
    <w:rsid w:val="003449A1"/>
    <w:rsid w:val="00344C67"/>
    <w:rsid w:val="00345A46"/>
    <w:rsid w:val="00347BE6"/>
    <w:rsid w:val="00350356"/>
    <w:rsid w:val="003504FE"/>
    <w:rsid w:val="00350E13"/>
    <w:rsid w:val="00352463"/>
    <w:rsid w:val="0035322E"/>
    <w:rsid w:val="00353427"/>
    <w:rsid w:val="00354ADC"/>
    <w:rsid w:val="00354EF9"/>
    <w:rsid w:val="00354F38"/>
    <w:rsid w:val="00355269"/>
    <w:rsid w:val="00355CFF"/>
    <w:rsid w:val="003563F3"/>
    <w:rsid w:val="00356BD8"/>
    <w:rsid w:val="00356CF5"/>
    <w:rsid w:val="00357217"/>
    <w:rsid w:val="003573E8"/>
    <w:rsid w:val="003604DE"/>
    <w:rsid w:val="00360F89"/>
    <w:rsid w:val="00362FEA"/>
    <w:rsid w:val="0036319C"/>
    <w:rsid w:val="0036383E"/>
    <w:rsid w:val="003641CF"/>
    <w:rsid w:val="00364B7C"/>
    <w:rsid w:val="00365895"/>
    <w:rsid w:val="0036590F"/>
    <w:rsid w:val="00365F69"/>
    <w:rsid w:val="003668F9"/>
    <w:rsid w:val="00366E8A"/>
    <w:rsid w:val="003671AC"/>
    <w:rsid w:val="00367213"/>
    <w:rsid w:val="003673D3"/>
    <w:rsid w:val="00367ABC"/>
    <w:rsid w:val="00367B48"/>
    <w:rsid w:val="00370631"/>
    <w:rsid w:val="00370A2E"/>
    <w:rsid w:val="00370B60"/>
    <w:rsid w:val="00371B9E"/>
    <w:rsid w:val="0037202A"/>
    <w:rsid w:val="00374413"/>
    <w:rsid w:val="003746A8"/>
    <w:rsid w:val="00375A5A"/>
    <w:rsid w:val="003773A7"/>
    <w:rsid w:val="003839BD"/>
    <w:rsid w:val="0038478B"/>
    <w:rsid w:val="00385FBB"/>
    <w:rsid w:val="00386526"/>
    <w:rsid w:val="00387150"/>
    <w:rsid w:val="00387B54"/>
    <w:rsid w:val="00387C2A"/>
    <w:rsid w:val="00387E6A"/>
    <w:rsid w:val="003933A4"/>
    <w:rsid w:val="00393EF7"/>
    <w:rsid w:val="00395436"/>
    <w:rsid w:val="0039578F"/>
    <w:rsid w:val="00395BA7"/>
    <w:rsid w:val="00397533"/>
    <w:rsid w:val="003A06EB"/>
    <w:rsid w:val="003A0759"/>
    <w:rsid w:val="003A0D0E"/>
    <w:rsid w:val="003A14F2"/>
    <w:rsid w:val="003A2CBB"/>
    <w:rsid w:val="003A30CA"/>
    <w:rsid w:val="003A34E3"/>
    <w:rsid w:val="003A3E9B"/>
    <w:rsid w:val="003A41F8"/>
    <w:rsid w:val="003A453F"/>
    <w:rsid w:val="003A5460"/>
    <w:rsid w:val="003A5D2C"/>
    <w:rsid w:val="003A5F79"/>
    <w:rsid w:val="003A708E"/>
    <w:rsid w:val="003A7431"/>
    <w:rsid w:val="003A7D18"/>
    <w:rsid w:val="003B134E"/>
    <w:rsid w:val="003B1AEE"/>
    <w:rsid w:val="003B1C1F"/>
    <w:rsid w:val="003B2243"/>
    <w:rsid w:val="003B28C2"/>
    <w:rsid w:val="003B2A79"/>
    <w:rsid w:val="003B2F96"/>
    <w:rsid w:val="003B357D"/>
    <w:rsid w:val="003B386B"/>
    <w:rsid w:val="003B4299"/>
    <w:rsid w:val="003B4C6F"/>
    <w:rsid w:val="003B51F5"/>
    <w:rsid w:val="003B51F8"/>
    <w:rsid w:val="003B62F4"/>
    <w:rsid w:val="003B659C"/>
    <w:rsid w:val="003B71F4"/>
    <w:rsid w:val="003B7865"/>
    <w:rsid w:val="003C004C"/>
    <w:rsid w:val="003C01CA"/>
    <w:rsid w:val="003C0616"/>
    <w:rsid w:val="003C1CBC"/>
    <w:rsid w:val="003C1E84"/>
    <w:rsid w:val="003C26D7"/>
    <w:rsid w:val="003C29A2"/>
    <w:rsid w:val="003C2A9C"/>
    <w:rsid w:val="003C3603"/>
    <w:rsid w:val="003C4DEA"/>
    <w:rsid w:val="003C5342"/>
    <w:rsid w:val="003C5A70"/>
    <w:rsid w:val="003C6699"/>
    <w:rsid w:val="003C7359"/>
    <w:rsid w:val="003C746E"/>
    <w:rsid w:val="003C77EB"/>
    <w:rsid w:val="003D1E07"/>
    <w:rsid w:val="003D26FD"/>
    <w:rsid w:val="003D2811"/>
    <w:rsid w:val="003D2850"/>
    <w:rsid w:val="003D306E"/>
    <w:rsid w:val="003D3342"/>
    <w:rsid w:val="003D4C31"/>
    <w:rsid w:val="003D5252"/>
    <w:rsid w:val="003D6E3B"/>
    <w:rsid w:val="003E017D"/>
    <w:rsid w:val="003E23C3"/>
    <w:rsid w:val="003E2A2E"/>
    <w:rsid w:val="003E420E"/>
    <w:rsid w:val="003E432C"/>
    <w:rsid w:val="003E4AC9"/>
    <w:rsid w:val="003E4D6D"/>
    <w:rsid w:val="003E5479"/>
    <w:rsid w:val="003E65F7"/>
    <w:rsid w:val="003E68D9"/>
    <w:rsid w:val="003E72D6"/>
    <w:rsid w:val="003E7EBC"/>
    <w:rsid w:val="003F0B69"/>
    <w:rsid w:val="003F1386"/>
    <w:rsid w:val="003F15BA"/>
    <w:rsid w:val="003F16DF"/>
    <w:rsid w:val="003F19B7"/>
    <w:rsid w:val="003F1B5D"/>
    <w:rsid w:val="003F218F"/>
    <w:rsid w:val="003F2989"/>
    <w:rsid w:val="003F2E62"/>
    <w:rsid w:val="003F3600"/>
    <w:rsid w:val="003F3ECE"/>
    <w:rsid w:val="003F3F07"/>
    <w:rsid w:val="003F5304"/>
    <w:rsid w:val="003F55C9"/>
    <w:rsid w:val="003F5EB4"/>
    <w:rsid w:val="003F6704"/>
    <w:rsid w:val="003F7DC8"/>
    <w:rsid w:val="00400338"/>
    <w:rsid w:val="004003B7"/>
    <w:rsid w:val="00400AF8"/>
    <w:rsid w:val="0040235B"/>
    <w:rsid w:val="00403823"/>
    <w:rsid w:val="004042F9"/>
    <w:rsid w:val="00405967"/>
    <w:rsid w:val="0040605A"/>
    <w:rsid w:val="00410855"/>
    <w:rsid w:val="00411200"/>
    <w:rsid w:val="0041229E"/>
    <w:rsid w:val="0041409C"/>
    <w:rsid w:val="0041426E"/>
    <w:rsid w:val="0041545F"/>
    <w:rsid w:val="00415528"/>
    <w:rsid w:val="00416015"/>
    <w:rsid w:val="00416B34"/>
    <w:rsid w:val="0042081F"/>
    <w:rsid w:val="004211C9"/>
    <w:rsid w:val="00421296"/>
    <w:rsid w:val="00422026"/>
    <w:rsid w:val="0042211B"/>
    <w:rsid w:val="004222BA"/>
    <w:rsid w:val="00424E87"/>
    <w:rsid w:val="004251AE"/>
    <w:rsid w:val="0042563A"/>
    <w:rsid w:val="00425765"/>
    <w:rsid w:val="00426194"/>
    <w:rsid w:val="00427131"/>
    <w:rsid w:val="004277BA"/>
    <w:rsid w:val="00427E22"/>
    <w:rsid w:val="0043176C"/>
    <w:rsid w:val="00431BEC"/>
    <w:rsid w:val="0043301D"/>
    <w:rsid w:val="00433404"/>
    <w:rsid w:val="00433638"/>
    <w:rsid w:val="00433C4C"/>
    <w:rsid w:val="00434010"/>
    <w:rsid w:val="004355DD"/>
    <w:rsid w:val="00436EA3"/>
    <w:rsid w:val="00440429"/>
    <w:rsid w:val="00440DAE"/>
    <w:rsid w:val="00441565"/>
    <w:rsid w:val="00442074"/>
    <w:rsid w:val="0044272F"/>
    <w:rsid w:val="00442B30"/>
    <w:rsid w:val="00445D9A"/>
    <w:rsid w:val="004469A9"/>
    <w:rsid w:val="004473FE"/>
    <w:rsid w:val="00450275"/>
    <w:rsid w:val="004502D8"/>
    <w:rsid w:val="00450E97"/>
    <w:rsid w:val="00452D8A"/>
    <w:rsid w:val="00453A4B"/>
    <w:rsid w:val="00455AF6"/>
    <w:rsid w:val="00455B3A"/>
    <w:rsid w:val="00456080"/>
    <w:rsid w:val="00457648"/>
    <w:rsid w:val="00460046"/>
    <w:rsid w:val="004608B3"/>
    <w:rsid w:val="00460A2D"/>
    <w:rsid w:val="00462652"/>
    <w:rsid w:val="00463D29"/>
    <w:rsid w:val="00464A8D"/>
    <w:rsid w:val="00465A6B"/>
    <w:rsid w:val="004665C7"/>
    <w:rsid w:val="004667D5"/>
    <w:rsid w:val="00466F63"/>
    <w:rsid w:val="00467D31"/>
    <w:rsid w:val="00470717"/>
    <w:rsid w:val="0047158C"/>
    <w:rsid w:val="00471B69"/>
    <w:rsid w:val="0047439E"/>
    <w:rsid w:val="00475629"/>
    <w:rsid w:val="00475CE0"/>
    <w:rsid w:val="0047604F"/>
    <w:rsid w:val="004775BF"/>
    <w:rsid w:val="00477655"/>
    <w:rsid w:val="00477BC2"/>
    <w:rsid w:val="00477CF0"/>
    <w:rsid w:val="0048048B"/>
    <w:rsid w:val="00480998"/>
    <w:rsid w:val="00480CB2"/>
    <w:rsid w:val="00480F34"/>
    <w:rsid w:val="00481899"/>
    <w:rsid w:val="004819B5"/>
    <w:rsid w:val="00481A52"/>
    <w:rsid w:val="00481A67"/>
    <w:rsid w:val="00481A6F"/>
    <w:rsid w:val="00481CAD"/>
    <w:rsid w:val="00482B89"/>
    <w:rsid w:val="00483F4B"/>
    <w:rsid w:val="00484415"/>
    <w:rsid w:val="00484BBD"/>
    <w:rsid w:val="00490624"/>
    <w:rsid w:val="00490900"/>
    <w:rsid w:val="00490A7B"/>
    <w:rsid w:val="004921C2"/>
    <w:rsid w:val="004925C8"/>
    <w:rsid w:val="00492B0C"/>
    <w:rsid w:val="0049440E"/>
    <w:rsid w:val="00494993"/>
    <w:rsid w:val="00495BB8"/>
    <w:rsid w:val="00496105"/>
    <w:rsid w:val="00496AF0"/>
    <w:rsid w:val="004A24A6"/>
    <w:rsid w:val="004A2DE8"/>
    <w:rsid w:val="004A3D82"/>
    <w:rsid w:val="004A4F46"/>
    <w:rsid w:val="004A768A"/>
    <w:rsid w:val="004B37D4"/>
    <w:rsid w:val="004B3F6B"/>
    <w:rsid w:val="004B41C6"/>
    <w:rsid w:val="004B4716"/>
    <w:rsid w:val="004B4A1E"/>
    <w:rsid w:val="004B5B1E"/>
    <w:rsid w:val="004B759C"/>
    <w:rsid w:val="004C0220"/>
    <w:rsid w:val="004C0B2C"/>
    <w:rsid w:val="004C18F8"/>
    <w:rsid w:val="004C3E5D"/>
    <w:rsid w:val="004C4640"/>
    <w:rsid w:val="004C4D43"/>
    <w:rsid w:val="004C5352"/>
    <w:rsid w:val="004C55DD"/>
    <w:rsid w:val="004C5C99"/>
    <w:rsid w:val="004C6118"/>
    <w:rsid w:val="004C696F"/>
    <w:rsid w:val="004C6BBE"/>
    <w:rsid w:val="004C6F3C"/>
    <w:rsid w:val="004C78D0"/>
    <w:rsid w:val="004C7DDF"/>
    <w:rsid w:val="004D0196"/>
    <w:rsid w:val="004D0ABE"/>
    <w:rsid w:val="004D2173"/>
    <w:rsid w:val="004D244D"/>
    <w:rsid w:val="004D338F"/>
    <w:rsid w:val="004D3A12"/>
    <w:rsid w:val="004D42B5"/>
    <w:rsid w:val="004D56BB"/>
    <w:rsid w:val="004D65EE"/>
    <w:rsid w:val="004D691A"/>
    <w:rsid w:val="004D6BCE"/>
    <w:rsid w:val="004D6C06"/>
    <w:rsid w:val="004D79E5"/>
    <w:rsid w:val="004D7A3E"/>
    <w:rsid w:val="004E13AE"/>
    <w:rsid w:val="004E1A2F"/>
    <w:rsid w:val="004E1AC2"/>
    <w:rsid w:val="004E1C0D"/>
    <w:rsid w:val="004E2062"/>
    <w:rsid w:val="004E237F"/>
    <w:rsid w:val="004E248D"/>
    <w:rsid w:val="004E2C16"/>
    <w:rsid w:val="004E338E"/>
    <w:rsid w:val="004E4C86"/>
    <w:rsid w:val="004E4DF5"/>
    <w:rsid w:val="004E54B7"/>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DE7"/>
    <w:rsid w:val="004F3EB8"/>
    <w:rsid w:val="004F3F0F"/>
    <w:rsid w:val="004F470B"/>
    <w:rsid w:val="004F49E7"/>
    <w:rsid w:val="004F5086"/>
    <w:rsid w:val="004F54C1"/>
    <w:rsid w:val="004F5F86"/>
    <w:rsid w:val="004F6E70"/>
    <w:rsid w:val="004F7600"/>
    <w:rsid w:val="004F76EF"/>
    <w:rsid w:val="004F7AAC"/>
    <w:rsid w:val="00500BFD"/>
    <w:rsid w:val="00501684"/>
    <w:rsid w:val="00501C8E"/>
    <w:rsid w:val="00501DC4"/>
    <w:rsid w:val="0050283A"/>
    <w:rsid w:val="00502D7C"/>
    <w:rsid w:val="00502E5B"/>
    <w:rsid w:val="00502F81"/>
    <w:rsid w:val="00503F1B"/>
    <w:rsid w:val="00504712"/>
    <w:rsid w:val="00504D67"/>
    <w:rsid w:val="00505A25"/>
    <w:rsid w:val="00505C50"/>
    <w:rsid w:val="005069F0"/>
    <w:rsid w:val="00506A53"/>
    <w:rsid w:val="00510BB7"/>
    <w:rsid w:val="00511681"/>
    <w:rsid w:val="00511929"/>
    <w:rsid w:val="00512A62"/>
    <w:rsid w:val="00512C62"/>
    <w:rsid w:val="00513423"/>
    <w:rsid w:val="00513A8E"/>
    <w:rsid w:val="00513B1C"/>
    <w:rsid w:val="00515351"/>
    <w:rsid w:val="0051588D"/>
    <w:rsid w:val="00515BE8"/>
    <w:rsid w:val="0051644D"/>
    <w:rsid w:val="00516A6E"/>
    <w:rsid w:val="005170B5"/>
    <w:rsid w:val="005205F6"/>
    <w:rsid w:val="00520A33"/>
    <w:rsid w:val="00521116"/>
    <w:rsid w:val="005224A1"/>
    <w:rsid w:val="00522A86"/>
    <w:rsid w:val="00522CE3"/>
    <w:rsid w:val="00523E7A"/>
    <w:rsid w:val="00524853"/>
    <w:rsid w:val="005252F1"/>
    <w:rsid w:val="00526134"/>
    <w:rsid w:val="00526451"/>
    <w:rsid w:val="00532103"/>
    <w:rsid w:val="00532F04"/>
    <w:rsid w:val="00533472"/>
    <w:rsid w:val="00533518"/>
    <w:rsid w:val="00534DBF"/>
    <w:rsid w:val="005357FD"/>
    <w:rsid w:val="00535EA7"/>
    <w:rsid w:val="005365B2"/>
    <w:rsid w:val="00536654"/>
    <w:rsid w:val="005371C1"/>
    <w:rsid w:val="00537834"/>
    <w:rsid w:val="005411C1"/>
    <w:rsid w:val="00541D1C"/>
    <w:rsid w:val="00541FD5"/>
    <w:rsid w:val="005420A4"/>
    <w:rsid w:val="00542AF9"/>
    <w:rsid w:val="005431DB"/>
    <w:rsid w:val="005435CB"/>
    <w:rsid w:val="00544AAD"/>
    <w:rsid w:val="00544BE2"/>
    <w:rsid w:val="0054508B"/>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5411"/>
    <w:rsid w:val="00556914"/>
    <w:rsid w:val="00556B9C"/>
    <w:rsid w:val="0055711A"/>
    <w:rsid w:val="00557654"/>
    <w:rsid w:val="005606E1"/>
    <w:rsid w:val="00560A36"/>
    <w:rsid w:val="00560A79"/>
    <w:rsid w:val="005622DC"/>
    <w:rsid w:val="0056252C"/>
    <w:rsid w:val="00564113"/>
    <w:rsid w:val="005643E8"/>
    <w:rsid w:val="005644F8"/>
    <w:rsid w:val="00564D6C"/>
    <w:rsid w:val="005654BE"/>
    <w:rsid w:val="00565879"/>
    <w:rsid w:val="00566529"/>
    <w:rsid w:val="00566961"/>
    <w:rsid w:val="00567533"/>
    <w:rsid w:val="00571232"/>
    <w:rsid w:val="00571DBA"/>
    <w:rsid w:val="005723DC"/>
    <w:rsid w:val="0057263D"/>
    <w:rsid w:val="005726F3"/>
    <w:rsid w:val="005735C3"/>
    <w:rsid w:val="005736C2"/>
    <w:rsid w:val="00573BF3"/>
    <w:rsid w:val="00574DC1"/>
    <w:rsid w:val="00575895"/>
    <w:rsid w:val="00575B2A"/>
    <w:rsid w:val="00577C3A"/>
    <w:rsid w:val="005802E6"/>
    <w:rsid w:val="00580F6D"/>
    <w:rsid w:val="00581D03"/>
    <w:rsid w:val="0058256A"/>
    <w:rsid w:val="005825B3"/>
    <w:rsid w:val="00582816"/>
    <w:rsid w:val="00582ABD"/>
    <w:rsid w:val="00583539"/>
    <w:rsid w:val="00583C49"/>
    <w:rsid w:val="00584DB3"/>
    <w:rsid w:val="00585A68"/>
    <w:rsid w:val="00586E5B"/>
    <w:rsid w:val="005876EF"/>
    <w:rsid w:val="005878B8"/>
    <w:rsid w:val="00587995"/>
    <w:rsid w:val="005905B4"/>
    <w:rsid w:val="00590773"/>
    <w:rsid w:val="00590BC0"/>
    <w:rsid w:val="00590DD9"/>
    <w:rsid w:val="005915D7"/>
    <w:rsid w:val="005917E3"/>
    <w:rsid w:val="005926F2"/>
    <w:rsid w:val="0059280A"/>
    <w:rsid w:val="005930E6"/>
    <w:rsid w:val="00593C63"/>
    <w:rsid w:val="00594BFF"/>
    <w:rsid w:val="00595B0C"/>
    <w:rsid w:val="005967A6"/>
    <w:rsid w:val="005967EE"/>
    <w:rsid w:val="00596D62"/>
    <w:rsid w:val="005977A9"/>
    <w:rsid w:val="005A09E8"/>
    <w:rsid w:val="005A0A0A"/>
    <w:rsid w:val="005A0B3D"/>
    <w:rsid w:val="005A2394"/>
    <w:rsid w:val="005A2822"/>
    <w:rsid w:val="005A308C"/>
    <w:rsid w:val="005A3ADA"/>
    <w:rsid w:val="005A4204"/>
    <w:rsid w:val="005A4528"/>
    <w:rsid w:val="005A4E57"/>
    <w:rsid w:val="005A4F9A"/>
    <w:rsid w:val="005A6080"/>
    <w:rsid w:val="005A63E9"/>
    <w:rsid w:val="005A6538"/>
    <w:rsid w:val="005A6690"/>
    <w:rsid w:val="005A66AD"/>
    <w:rsid w:val="005A68EE"/>
    <w:rsid w:val="005B0817"/>
    <w:rsid w:val="005B0D5E"/>
    <w:rsid w:val="005B10DB"/>
    <w:rsid w:val="005B1867"/>
    <w:rsid w:val="005B1CE1"/>
    <w:rsid w:val="005B3E38"/>
    <w:rsid w:val="005B47D1"/>
    <w:rsid w:val="005B5690"/>
    <w:rsid w:val="005B5B8E"/>
    <w:rsid w:val="005B6045"/>
    <w:rsid w:val="005B6BD8"/>
    <w:rsid w:val="005B7AAB"/>
    <w:rsid w:val="005B7B7A"/>
    <w:rsid w:val="005B7F8C"/>
    <w:rsid w:val="005C0C37"/>
    <w:rsid w:val="005C29C8"/>
    <w:rsid w:val="005C4A34"/>
    <w:rsid w:val="005C4CDD"/>
    <w:rsid w:val="005C512B"/>
    <w:rsid w:val="005C56A4"/>
    <w:rsid w:val="005C613B"/>
    <w:rsid w:val="005C619B"/>
    <w:rsid w:val="005C62C9"/>
    <w:rsid w:val="005C6E9F"/>
    <w:rsid w:val="005C6EB2"/>
    <w:rsid w:val="005C6F03"/>
    <w:rsid w:val="005C701B"/>
    <w:rsid w:val="005C7F3D"/>
    <w:rsid w:val="005D0515"/>
    <w:rsid w:val="005D0E6E"/>
    <w:rsid w:val="005D2E87"/>
    <w:rsid w:val="005D4956"/>
    <w:rsid w:val="005D515E"/>
    <w:rsid w:val="005D6B11"/>
    <w:rsid w:val="005D6D07"/>
    <w:rsid w:val="005D72EC"/>
    <w:rsid w:val="005D7846"/>
    <w:rsid w:val="005D79BB"/>
    <w:rsid w:val="005E0481"/>
    <w:rsid w:val="005E0D69"/>
    <w:rsid w:val="005E141A"/>
    <w:rsid w:val="005E2553"/>
    <w:rsid w:val="005E30D1"/>
    <w:rsid w:val="005E4137"/>
    <w:rsid w:val="005E4AAD"/>
    <w:rsid w:val="005E4ABE"/>
    <w:rsid w:val="005E4DDD"/>
    <w:rsid w:val="005E5088"/>
    <w:rsid w:val="005E60CE"/>
    <w:rsid w:val="005E60F5"/>
    <w:rsid w:val="005E756D"/>
    <w:rsid w:val="005E7B45"/>
    <w:rsid w:val="005F1172"/>
    <w:rsid w:val="005F163A"/>
    <w:rsid w:val="005F2E1E"/>
    <w:rsid w:val="005F2F4F"/>
    <w:rsid w:val="005F3006"/>
    <w:rsid w:val="005F3867"/>
    <w:rsid w:val="005F3CFC"/>
    <w:rsid w:val="005F52E4"/>
    <w:rsid w:val="005F5B90"/>
    <w:rsid w:val="005F6E77"/>
    <w:rsid w:val="005F7518"/>
    <w:rsid w:val="005F77A5"/>
    <w:rsid w:val="00600FF3"/>
    <w:rsid w:val="006020B8"/>
    <w:rsid w:val="006021F4"/>
    <w:rsid w:val="006023A2"/>
    <w:rsid w:val="006039B0"/>
    <w:rsid w:val="0060542B"/>
    <w:rsid w:val="00605AC8"/>
    <w:rsid w:val="0060710A"/>
    <w:rsid w:val="00607642"/>
    <w:rsid w:val="0061157C"/>
    <w:rsid w:val="006116D6"/>
    <w:rsid w:val="00611BD5"/>
    <w:rsid w:val="00611D13"/>
    <w:rsid w:val="006122CB"/>
    <w:rsid w:val="006124EC"/>
    <w:rsid w:val="00612533"/>
    <w:rsid w:val="00612559"/>
    <w:rsid w:val="00612BC5"/>
    <w:rsid w:val="00612E00"/>
    <w:rsid w:val="006137A4"/>
    <w:rsid w:val="00613885"/>
    <w:rsid w:val="0061497F"/>
    <w:rsid w:val="0061525B"/>
    <w:rsid w:val="00615FC3"/>
    <w:rsid w:val="00616B49"/>
    <w:rsid w:val="00617997"/>
    <w:rsid w:val="00617E4F"/>
    <w:rsid w:val="006205D7"/>
    <w:rsid w:val="0062136D"/>
    <w:rsid w:val="00621FAA"/>
    <w:rsid w:val="00622BCB"/>
    <w:rsid w:val="006234A2"/>
    <w:rsid w:val="00624B01"/>
    <w:rsid w:val="006253D5"/>
    <w:rsid w:val="0062542D"/>
    <w:rsid w:val="00625F2E"/>
    <w:rsid w:val="00626F5F"/>
    <w:rsid w:val="00627BCD"/>
    <w:rsid w:val="00627D66"/>
    <w:rsid w:val="00631079"/>
    <w:rsid w:val="006311DA"/>
    <w:rsid w:val="00631DCB"/>
    <w:rsid w:val="00631E35"/>
    <w:rsid w:val="00632425"/>
    <w:rsid w:val="006324C5"/>
    <w:rsid w:val="00632B80"/>
    <w:rsid w:val="00633369"/>
    <w:rsid w:val="00634EB6"/>
    <w:rsid w:val="0063533C"/>
    <w:rsid w:val="0063560C"/>
    <w:rsid w:val="00636593"/>
    <w:rsid w:val="00640208"/>
    <w:rsid w:val="00641AC2"/>
    <w:rsid w:val="00641B22"/>
    <w:rsid w:val="00643E26"/>
    <w:rsid w:val="00644C53"/>
    <w:rsid w:val="006454A6"/>
    <w:rsid w:val="006460DA"/>
    <w:rsid w:val="00646562"/>
    <w:rsid w:val="00646758"/>
    <w:rsid w:val="00646A98"/>
    <w:rsid w:val="0064712A"/>
    <w:rsid w:val="006471BB"/>
    <w:rsid w:val="00647FDB"/>
    <w:rsid w:val="00650D4C"/>
    <w:rsid w:val="00651518"/>
    <w:rsid w:val="00651589"/>
    <w:rsid w:val="00651BA8"/>
    <w:rsid w:val="0065339E"/>
    <w:rsid w:val="00653E9A"/>
    <w:rsid w:val="00656B4B"/>
    <w:rsid w:val="006611B2"/>
    <w:rsid w:val="00661B07"/>
    <w:rsid w:val="006625A5"/>
    <w:rsid w:val="00663DF6"/>
    <w:rsid w:val="0066445B"/>
    <w:rsid w:val="006646D8"/>
    <w:rsid w:val="0066485B"/>
    <w:rsid w:val="00664A68"/>
    <w:rsid w:val="00665A43"/>
    <w:rsid w:val="00665C3D"/>
    <w:rsid w:val="00666304"/>
    <w:rsid w:val="00670B47"/>
    <w:rsid w:val="006716EA"/>
    <w:rsid w:val="00671B21"/>
    <w:rsid w:val="00671DFD"/>
    <w:rsid w:val="00671EC4"/>
    <w:rsid w:val="00672296"/>
    <w:rsid w:val="00673C8C"/>
    <w:rsid w:val="00674747"/>
    <w:rsid w:val="0067535B"/>
    <w:rsid w:val="00676675"/>
    <w:rsid w:val="00676AF6"/>
    <w:rsid w:val="00676D52"/>
    <w:rsid w:val="006773E9"/>
    <w:rsid w:val="006774EA"/>
    <w:rsid w:val="006811F9"/>
    <w:rsid w:val="00682AD7"/>
    <w:rsid w:val="006839CB"/>
    <w:rsid w:val="0068438E"/>
    <w:rsid w:val="00684614"/>
    <w:rsid w:val="00684F77"/>
    <w:rsid w:val="006858D2"/>
    <w:rsid w:val="00686915"/>
    <w:rsid w:val="00686F4F"/>
    <w:rsid w:val="00686F59"/>
    <w:rsid w:val="00686FEB"/>
    <w:rsid w:val="006873A5"/>
    <w:rsid w:val="00687709"/>
    <w:rsid w:val="006902DA"/>
    <w:rsid w:val="006904D5"/>
    <w:rsid w:val="00690FD0"/>
    <w:rsid w:val="0069199E"/>
    <w:rsid w:val="00691D42"/>
    <w:rsid w:val="00692BF2"/>
    <w:rsid w:val="0069344B"/>
    <w:rsid w:val="0069387D"/>
    <w:rsid w:val="00693A7B"/>
    <w:rsid w:val="00693F70"/>
    <w:rsid w:val="006941E8"/>
    <w:rsid w:val="0069435B"/>
    <w:rsid w:val="006943DE"/>
    <w:rsid w:val="006956C1"/>
    <w:rsid w:val="00695EC0"/>
    <w:rsid w:val="00696ABE"/>
    <w:rsid w:val="006976E8"/>
    <w:rsid w:val="00697F33"/>
    <w:rsid w:val="006A02F8"/>
    <w:rsid w:val="006A0333"/>
    <w:rsid w:val="006A0435"/>
    <w:rsid w:val="006A06BA"/>
    <w:rsid w:val="006A144C"/>
    <w:rsid w:val="006A19C9"/>
    <w:rsid w:val="006A200A"/>
    <w:rsid w:val="006A27F6"/>
    <w:rsid w:val="006A2CFB"/>
    <w:rsid w:val="006A3008"/>
    <w:rsid w:val="006A3181"/>
    <w:rsid w:val="006A3524"/>
    <w:rsid w:val="006A4230"/>
    <w:rsid w:val="006A46B3"/>
    <w:rsid w:val="006A4AD6"/>
    <w:rsid w:val="006A4D8A"/>
    <w:rsid w:val="006A53B8"/>
    <w:rsid w:val="006A6157"/>
    <w:rsid w:val="006A6E28"/>
    <w:rsid w:val="006A77D9"/>
    <w:rsid w:val="006B03F2"/>
    <w:rsid w:val="006B079B"/>
    <w:rsid w:val="006B1614"/>
    <w:rsid w:val="006B17ED"/>
    <w:rsid w:val="006B2C52"/>
    <w:rsid w:val="006B2CC2"/>
    <w:rsid w:val="006B3DA0"/>
    <w:rsid w:val="006B42CD"/>
    <w:rsid w:val="006B53D3"/>
    <w:rsid w:val="006B5A26"/>
    <w:rsid w:val="006B5DCA"/>
    <w:rsid w:val="006B67DB"/>
    <w:rsid w:val="006B691E"/>
    <w:rsid w:val="006B7559"/>
    <w:rsid w:val="006B77CE"/>
    <w:rsid w:val="006B7912"/>
    <w:rsid w:val="006C062B"/>
    <w:rsid w:val="006C11AD"/>
    <w:rsid w:val="006C20D9"/>
    <w:rsid w:val="006C2FBC"/>
    <w:rsid w:val="006C32A3"/>
    <w:rsid w:val="006C3E82"/>
    <w:rsid w:val="006C5F0C"/>
    <w:rsid w:val="006C6A41"/>
    <w:rsid w:val="006C7041"/>
    <w:rsid w:val="006C720C"/>
    <w:rsid w:val="006C7322"/>
    <w:rsid w:val="006C77EC"/>
    <w:rsid w:val="006C79DA"/>
    <w:rsid w:val="006D0283"/>
    <w:rsid w:val="006D2A51"/>
    <w:rsid w:val="006D33C0"/>
    <w:rsid w:val="006D385A"/>
    <w:rsid w:val="006D4A88"/>
    <w:rsid w:val="006D4F4A"/>
    <w:rsid w:val="006D51B3"/>
    <w:rsid w:val="006D5AC9"/>
    <w:rsid w:val="006D5EB4"/>
    <w:rsid w:val="006D5ECF"/>
    <w:rsid w:val="006D60DB"/>
    <w:rsid w:val="006D61F1"/>
    <w:rsid w:val="006D6742"/>
    <w:rsid w:val="006D6F17"/>
    <w:rsid w:val="006D70DA"/>
    <w:rsid w:val="006D7269"/>
    <w:rsid w:val="006E01E1"/>
    <w:rsid w:val="006E0795"/>
    <w:rsid w:val="006E0B5D"/>
    <w:rsid w:val="006E1442"/>
    <w:rsid w:val="006E2B55"/>
    <w:rsid w:val="006E30CC"/>
    <w:rsid w:val="006E4198"/>
    <w:rsid w:val="006E4425"/>
    <w:rsid w:val="006E51E2"/>
    <w:rsid w:val="006E5A01"/>
    <w:rsid w:val="006E5ACC"/>
    <w:rsid w:val="006E5BB6"/>
    <w:rsid w:val="006F0ADD"/>
    <w:rsid w:val="006F0F42"/>
    <w:rsid w:val="006F17C3"/>
    <w:rsid w:val="006F1CCA"/>
    <w:rsid w:val="006F2B86"/>
    <w:rsid w:val="006F359B"/>
    <w:rsid w:val="006F3689"/>
    <w:rsid w:val="006F36A2"/>
    <w:rsid w:val="006F57C3"/>
    <w:rsid w:val="006F6A32"/>
    <w:rsid w:val="006F6FAD"/>
    <w:rsid w:val="006F7E8A"/>
    <w:rsid w:val="00700546"/>
    <w:rsid w:val="00701DC6"/>
    <w:rsid w:val="00702818"/>
    <w:rsid w:val="00703DFE"/>
    <w:rsid w:val="007050BF"/>
    <w:rsid w:val="00705CD7"/>
    <w:rsid w:val="00705ED0"/>
    <w:rsid w:val="00706DD2"/>
    <w:rsid w:val="00707062"/>
    <w:rsid w:val="007079FC"/>
    <w:rsid w:val="0071044A"/>
    <w:rsid w:val="00710883"/>
    <w:rsid w:val="00710D9B"/>
    <w:rsid w:val="007124A3"/>
    <w:rsid w:val="00712D65"/>
    <w:rsid w:val="00713CD3"/>
    <w:rsid w:val="00714B8A"/>
    <w:rsid w:val="00715A52"/>
    <w:rsid w:val="007164C5"/>
    <w:rsid w:val="00716D52"/>
    <w:rsid w:val="00717BBD"/>
    <w:rsid w:val="00717D65"/>
    <w:rsid w:val="0072180C"/>
    <w:rsid w:val="00721974"/>
    <w:rsid w:val="00721CDE"/>
    <w:rsid w:val="00721DDA"/>
    <w:rsid w:val="007224C5"/>
    <w:rsid w:val="00722C09"/>
    <w:rsid w:val="007234C5"/>
    <w:rsid w:val="0072444D"/>
    <w:rsid w:val="0072490B"/>
    <w:rsid w:val="0072545F"/>
    <w:rsid w:val="00725469"/>
    <w:rsid w:val="00725715"/>
    <w:rsid w:val="007272C3"/>
    <w:rsid w:val="007301B8"/>
    <w:rsid w:val="00730985"/>
    <w:rsid w:val="00731944"/>
    <w:rsid w:val="00732B90"/>
    <w:rsid w:val="00732F31"/>
    <w:rsid w:val="007345F6"/>
    <w:rsid w:val="007348F8"/>
    <w:rsid w:val="007349FB"/>
    <w:rsid w:val="0073516A"/>
    <w:rsid w:val="007361EE"/>
    <w:rsid w:val="0073637A"/>
    <w:rsid w:val="007374E8"/>
    <w:rsid w:val="00740289"/>
    <w:rsid w:val="00740D39"/>
    <w:rsid w:val="007416AC"/>
    <w:rsid w:val="007427F5"/>
    <w:rsid w:val="00742EBF"/>
    <w:rsid w:val="00743503"/>
    <w:rsid w:val="00743855"/>
    <w:rsid w:val="007459CF"/>
    <w:rsid w:val="007517A4"/>
    <w:rsid w:val="00751A4F"/>
    <w:rsid w:val="007522F5"/>
    <w:rsid w:val="00753C8E"/>
    <w:rsid w:val="00753DDE"/>
    <w:rsid w:val="007542F2"/>
    <w:rsid w:val="0075566F"/>
    <w:rsid w:val="00755683"/>
    <w:rsid w:val="00755B24"/>
    <w:rsid w:val="007563F9"/>
    <w:rsid w:val="007576BA"/>
    <w:rsid w:val="007604F1"/>
    <w:rsid w:val="00760A12"/>
    <w:rsid w:val="00760F3C"/>
    <w:rsid w:val="007614DF"/>
    <w:rsid w:val="00761A51"/>
    <w:rsid w:val="00761C30"/>
    <w:rsid w:val="007622ED"/>
    <w:rsid w:val="00763901"/>
    <w:rsid w:val="00763D85"/>
    <w:rsid w:val="00764342"/>
    <w:rsid w:val="00764357"/>
    <w:rsid w:val="00765CC7"/>
    <w:rsid w:val="00766419"/>
    <w:rsid w:val="00766532"/>
    <w:rsid w:val="00767717"/>
    <w:rsid w:val="007710C8"/>
    <w:rsid w:val="00771263"/>
    <w:rsid w:val="0077395F"/>
    <w:rsid w:val="00773D1D"/>
    <w:rsid w:val="0077426A"/>
    <w:rsid w:val="00774976"/>
    <w:rsid w:val="00774A21"/>
    <w:rsid w:val="00774EEC"/>
    <w:rsid w:val="00775DCF"/>
    <w:rsid w:val="0077618C"/>
    <w:rsid w:val="00776857"/>
    <w:rsid w:val="00776C7D"/>
    <w:rsid w:val="00777870"/>
    <w:rsid w:val="00777D33"/>
    <w:rsid w:val="0078068B"/>
    <w:rsid w:val="007807B1"/>
    <w:rsid w:val="00780B43"/>
    <w:rsid w:val="0078100F"/>
    <w:rsid w:val="00781037"/>
    <w:rsid w:val="00781A1E"/>
    <w:rsid w:val="00781AD6"/>
    <w:rsid w:val="00782159"/>
    <w:rsid w:val="00784690"/>
    <w:rsid w:val="00785EB0"/>
    <w:rsid w:val="00786B56"/>
    <w:rsid w:val="00787A73"/>
    <w:rsid w:val="00787B6F"/>
    <w:rsid w:val="007906A2"/>
    <w:rsid w:val="007910A9"/>
    <w:rsid w:val="00791653"/>
    <w:rsid w:val="007916D9"/>
    <w:rsid w:val="00791B45"/>
    <w:rsid w:val="007922CA"/>
    <w:rsid w:val="007923FC"/>
    <w:rsid w:val="0079242D"/>
    <w:rsid w:val="00792A9D"/>
    <w:rsid w:val="00793896"/>
    <w:rsid w:val="007941DF"/>
    <w:rsid w:val="00794444"/>
    <w:rsid w:val="0079468C"/>
    <w:rsid w:val="007955AC"/>
    <w:rsid w:val="00795793"/>
    <w:rsid w:val="00795DC1"/>
    <w:rsid w:val="0079687A"/>
    <w:rsid w:val="00796B5A"/>
    <w:rsid w:val="00797228"/>
    <w:rsid w:val="00797AC4"/>
    <w:rsid w:val="00797C10"/>
    <w:rsid w:val="007A0450"/>
    <w:rsid w:val="007A163A"/>
    <w:rsid w:val="007A1A9E"/>
    <w:rsid w:val="007A1B96"/>
    <w:rsid w:val="007A3669"/>
    <w:rsid w:val="007A3B6E"/>
    <w:rsid w:val="007A46E3"/>
    <w:rsid w:val="007A4BD6"/>
    <w:rsid w:val="007A4C2D"/>
    <w:rsid w:val="007A517D"/>
    <w:rsid w:val="007A5684"/>
    <w:rsid w:val="007A56D2"/>
    <w:rsid w:val="007A56F1"/>
    <w:rsid w:val="007A6062"/>
    <w:rsid w:val="007A72A8"/>
    <w:rsid w:val="007A79CB"/>
    <w:rsid w:val="007B02EF"/>
    <w:rsid w:val="007B1E88"/>
    <w:rsid w:val="007B2E70"/>
    <w:rsid w:val="007B3ED8"/>
    <w:rsid w:val="007B4C10"/>
    <w:rsid w:val="007B4F3B"/>
    <w:rsid w:val="007B50E5"/>
    <w:rsid w:val="007B6381"/>
    <w:rsid w:val="007B7DD3"/>
    <w:rsid w:val="007C02DD"/>
    <w:rsid w:val="007C08D2"/>
    <w:rsid w:val="007C0AB2"/>
    <w:rsid w:val="007C0B12"/>
    <w:rsid w:val="007C0F6D"/>
    <w:rsid w:val="007C238C"/>
    <w:rsid w:val="007C2534"/>
    <w:rsid w:val="007C3561"/>
    <w:rsid w:val="007C451F"/>
    <w:rsid w:val="007C63BC"/>
    <w:rsid w:val="007C75A1"/>
    <w:rsid w:val="007C7ADF"/>
    <w:rsid w:val="007C7D9A"/>
    <w:rsid w:val="007D0EBE"/>
    <w:rsid w:val="007D1C44"/>
    <w:rsid w:val="007D1D15"/>
    <w:rsid w:val="007D2698"/>
    <w:rsid w:val="007D3B2C"/>
    <w:rsid w:val="007D6F12"/>
    <w:rsid w:val="007D7679"/>
    <w:rsid w:val="007D7947"/>
    <w:rsid w:val="007E058F"/>
    <w:rsid w:val="007E06B6"/>
    <w:rsid w:val="007E1B9D"/>
    <w:rsid w:val="007E48B5"/>
    <w:rsid w:val="007E5B57"/>
    <w:rsid w:val="007E6121"/>
    <w:rsid w:val="007E709E"/>
    <w:rsid w:val="007E709F"/>
    <w:rsid w:val="007E765F"/>
    <w:rsid w:val="007F087E"/>
    <w:rsid w:val="007F0B33"/>
    <w:rsid w:val="007F0B48"/>
    <w:rsid w:val="007F0BAD"/>
    <w:rsid w:val="007F20ED"/>
    <w:rsid w:val="007F31CE"/>
    <w:rsid w:val="007F3330"/>
    <w:rsid w:val="007F3352"/>
    <w:rsid w:val="007F370B"/>
    <w:rsid w:val="007F4CA3"/>
    <w:rsid w:val="007F578A"/>
    <w:rsid w:val="007F647D"/>
    <w:rsid w:val="007F6D41"/>
    <w:rsid w:val="007F750D"/>
    <w:rsid w:val="007F794F"/>
    <w:rsid w:val="00800AAB"/>
    <w:rsid w:val="00800B4A"/>
    <w:rsid w:val="008012CE"/>
    <w:rsid w:val="008029B2"/>
    <w:rsid w:val="00802E9D"/>
    <w:rsid w:val="00803AA7"/>
    <w:rsid w:val="00804A56"/>
    <w:rsid w:val="00804FDD"/>
    <w:rsid w:val="008059CB"/>
    <w:rsid w:val="00807215"/>
    <w:rsid w:val="0080786B"/>
    <w:rsid w:val="008108CA"/>
    <w:rsid w:val="008117D0"/>
    <w:rsid w:val="00811BDB"/>
    <w:rsid w:val="0081236F"/>
    <w:rsid w:val="008126D3"/>
    <w:rsid w:val="00812EB7"/>
    <w:rsid w:val="008144F4"/>
    <w:rsid w:val="00814968"/>
    <w:rsid w:val="00814A49"/>
    <w:rsid w:val="00816373"/>
    <w:rsid w:val="00816F65"/>
    <w:rsid w:val="00816FFF"/>
    <w:rsid w:val="008172F6"/>
    <w:rsid w:val="00817AC1"/>
    <w:rsid w:val="00817AED"/>
    <w:rsid w:val="0082109C"/>
    <w:rsid w:val="00821290"/>
    <w:rsid w:val="00822912"/>
    <w:rsid w:val="00822C2E"/>
    <w:rsid w:val="00823558"/>
    <w:rsid w:val="00824B7F"/>
    <w:rsid w:val="00824BD3"/>
    <w:rsid w:val="00826240"/>
    <w:rsid w:val="00826A78"/>
    <w:rsid w:val="00826B17"/>
    <w:rsid w:val="0082730A"/>
    <w:rsid w:val="0082792A"/>
    <w:rsid w:val="00830052"/>
    <w:rsid w:val="00830102"/>
    <w:rsid w:val="008303DB"/>
    <w:rsid w:val="008319C0"/>
    <w:rsid w:val="00831E4F"/>
    <w:rsid w:val="00831F0B"/>
    <w:rsid w:val="0083287E"/>
    <w:rsid w:val="008356D0"/>
    <w:rsid w:val="00835E1B"/>
    <w:rsid w:val="00837A14"/>
    <w:rsid w:val="00840E42"/>
    <w:rsid w:val="008412F1"/>
    <w:rsid w:val="00841409"/>
    <w:rsid w:val="0084153A"/>
    <w:rsid w:val="00841BCB"/>
    <w:rsid w:val="00842722"/>
    <w:rsid w:val="008427AF"/>
    <w:rsid w:val="00843F52"/>
    <w:rsid w:val="00844F2F"/>
    <w:rsid w:val="008454AE"/>
    <w:rsid w:val="00846521"/>
    <w:rsid w:val="00846CE8"/>
    <w:rsid w:val="00846F8D"/>
    <w:rsid w:val="00847048"/>
    <w:rsid w:val="008471C4"/>
    <w:rsid w:val="00847385"/>
    <w:rsid w:val="00847843"/>
    <w:rsid w:val="00847A88"/>
    <w:rsid w:val="00851C77"/>
    <w:rsid w:val="00851D97"/>
    <w:rsid w:val="008522D3"/>
    <w:rsid w:val="008524D2"/>
    <w:rsid w:val="0085386D"/>
    <w:rsid w:val="00854ADE"/>
    <w:rsid w:val="008553B2"/>
    <w:rsid w:val="008557ED"/>
    <w:rsid w:val="00855903"/>
    <w:rsid w:val="00855FE8"/>
    <w:rsid w:val="00857D30"/>
    <w:rsid w:val="00860B1A"/>
    <w:rsid w:val="008617FE"/>
    <w:rsid w:val="00861B88"/>
    <w:rsid w:val="00861F7D"/>
    <w:rsid w:val="00862C05"/>
    <w:rsid w:val="00864094"/>
    <w:rsid w:val="00866CE1"/>
    <w:rsid w:val="00870849"/>
    <w:rsid w:val="00870E1A"/>
    <w:rsid w:val="0087189F"/>
    <w:rsid w:val="008724E9"/>
    <w:rsid w:val="00872B81"/>
    <w:rsid w:val="00873FCF"/>
    <w:rsid w:val="008744BC"/>
    <w:rsid w:val="008744D1"/>
    <w:rsid w:val="00875709"/>
    <w:rsid w:val="00876B0A"/>
    <w:rsid w:val="00876C30"/>
    <w:rsid w:val="00880FB8"/>
    <w:rsid w:val="00882313"/>
    <w:rsid w:val="008827E1"/>
    <w:rsid w:val="0088589D"/>
    <w:rsid w:val="00886116"/>
    <w:rsid w:val="00886E75"/>
    <w:rsid w:val="0088749D"/>
    <w:rsid w:val="00887CEB"/>
    <w:rsid w:val="00887FDD"/>
    <w:rsid w:val="008909A8"/>
    <w:rsid w:val="00890A35"/>
    <w:rsid w:val="00890A6F"/>
    <w:rsid w:val="00890D42"/>
    <w:rsid w:val="0089250E"/>
    <w:rsid w:val="00892A8C"/>
    <w:rsid w:val="00892CAB"/>
    <w:rsid w:val="00892DD6"/>
    <w:rsid w:val="008937A3"/>
    <w:rsid w:val="00893991"/>
    <w:rsid w:val="00895859"/>
    <w:rsid w:val="008958BB"/>
    <w:rsid w:val="00896A68"/>
    <w:rsid w:val="00896C54"/>
    <w:rsid w:val="00897981"/>
    <w:rsid w:val="008A01CB"/>
    <w:rsid w:val="008A0684"/>
    <w:rsid w:val="008A06A2"/>
    <w:rsid w:val="008A09E0"/>
    <w:rsid w:val="008A105A"/>
    <w:rsid w:val="008A1C04"/>
    <w:rsid w:val="008A2779"/>
    <w:rsid w:val="008A3630"/>
    <w:rsid w:val="008A3862"/>
    <w:rsid w:val="008A3AFB"/>
    <w:rsid w:val="008A3DA0"/>
    <w:rsid w:val="008A41BA"/>
    <w:rsid w:val="008A4836"/>
    <w:rsid w:val="008A4DCB"/>
    <w:rsid w:val="008A6037"/>
    <w:rsid w:val="008A6F63"/>
    <w:rsid w:val="008A7415"/>
    <w:rsid w:val="008B0206"/>
    <w:rsid w:val="008B0295"/>
    <w:rsid w:val="008B17B6"/>
    <w:rsid w:val="008B193A"/>
    <w:rsid w:val="008B1963"/>
    <w:rsid w:val="008B37A5"/>
    <w:rsid w:val="008B3999"/>
    <w:rsid w:val="008B49B0"/>
    <w:rsid w:val="008B4B8C"/>
    <w:rsid w:val="008B525E"/>
    <w:rsid w:val="008B5D73"/>
    <w:rsid w:val="008B6404"/>
    <w:rsid w:val="008B6802"/>
    <w:rsid w:val="008B690E"/>
    <w:rsid w:val="008B74D7"/>
    <w:rsid w:val="008C0FE3"/>
    <w:rsid w:val="008C1158"/>
    <w:rsid w:val="008C2CA3"/>
    <w:rsid w:val="008C2CB9"/>
    <w:rsid w:val="008C2E48"/>
    <w:rsid w:val="008C57AC"/>
    <w:rsid w:val="008C6582"/>
    <w:rsid w:val="008C6838"/>
    <w:rsid w:val="008C6865"/>
    <w:rsid w:val="008D07E1"/>
    <w:rsid w:val="008D0FF4"/>
    <w:rsid w:val="008D1021"/>
    <w:rsid w:val="008D10EE"/>
    <w:rsid w:val="008D2A54"/>
    <w:rsid w:val="008D3BBA"/>
    <w:rsid w:val="008D489F"/>
    <w:rsid w:val="008D4A72"/>
    <w:rsid w:val="008D7410"/>
    <w:rsid w:val="008D76B0"/>
    <w:rsid w:val="008E0693"/>
    <w:rsid w:val="008E0F85"/>
    <w:rsid w:val="008E17AF"/>
    <w:rsid w:val="008E1A89"/>
    <w:rsid w:val="008E1E97"/>
    <w:rsid w:val="008E3612"/>
    <w:rsid w:val="008E36A5"/>
    <w:rsid w:val="008E3CB9"/>
    <w:rsid w:val="008E52F6"/>
    <w:rsid w:val="008E7144"/>
    <w:rsid w:val="008E76FC"/>
    <w:rsid w:val="008F2A5A"/>
    <w:rsid w:val="008F398B"/>
    <w:rsid w:val="008F3EF5"/>
    <w:rsid w:val="008F4A59"/>
    <w:rsid w:val="008F50E2"/>
    <w:rsid w:val="008F5B12"/>
    <w:rsid w:val="008F61A4"/>
    <w:rsid w:val="008F673C"/>
    <w:rsid w:val="008F6AAD"/>
    <w:rsid w:val="008F6F99"/>
    <w:rsid w:val="008F7726"/>
    <w:rsid w:val="00901116"/>
    <w:rsid w:val="00902874"/>
    <w:rsid w:val="00903819"/>
    <w:rsid w:val="00905391"/>
    <w:rsid w:val="00905495"/>
    <w:rsid w:val="0090632C"/>
    <w:rsid w:val="00906B13"/>
    <w:rsid w:val="00906CE8"/>
    <w:rsid w:val="00907713"/>
    <w:rsid w:val="009079F8"/>
    <w:rsid w:val="00910677"/>
    <w:rsid w:val="00910AB5"/>
    <w:rsid w:val="00911E91"/>
    <w:rsid w:val="0091338C"/>
    <w:rsid w:val="00913C4B"/>
    <w:rsid w:val="0091587E"/>
    <w:rsid w:val="00915D7F"/>
    <w:rsid w:val="00916B8A"/>
    <w:rsid w:val="00920C4E"/>
    <w:rsid w:val="009212AC"/>
    <w:rsid w:val="009220F6"/>
    <w:rsid w:val="00922338"/>
    <w:rsid w:val="00923861"/>
    <w:rsid w:val="0092428F"/>
    <w:rsid w:val="00924652"/>
    <w:rsid w:val="00924753"/>
    <w:rsid w:val="0092550E"/>
    <w:rsid w:val="009255C6"/>
    <w:rsid w:val="0092599B"/>
    <w:rsid w:val="00925AC4"/>
    <w:rsid w:val="00925CEC"/>
    <w:rsid w:val="0092603D"/>
    <w:rsid w:val="0093076F"/>
    <w:rsid w:val="009311BA"/>
    <w:rsid w:val="00931774"/>
    <w:rsid w:val="009321C2"/>
    <w:rsid w:val="00932622"/>
    <w:rsid w:val="00932748"/>
    <w:rsid w:val="009328CB"/>
    <w:rsid w:val="00932935"/>
    <w:rsid w:val="00932AFC"/>
    <w:rsid w:val="00932DF4"/>
    <w:rsid w:val="0093370A"/>
    <w:rsid w:val="00935870"/>
    <w:rsid w:val="00935BA4"/>
    <w:rsid w:val="00935D33"/>
    <w:rsid w:val="00936BD2"/>
    <w:rsid w:val="00937A59"/>
    <w:rsid w:val="00940CFF"/>
    <w:rsid w:val="00942A6A"/>
    <w:rsid w:val="00943EBB"/>
    <w:rsid w:val="00944D3F"/>
    <w:rsid w:val="009457CB"/>
    <w:rsid w:val="00945869"/>
    <w:rsid w:val="00945A84"/>
    <w:rsid w:val="00946293"/>
    <w:rsid w:val="00946AF5"/>
    <w:rsid w:val="00947BC9"/>
    <w:rsid w:val="00947F1D"/>
    <w:rsid w:val="0095095A"/>
    <w:rsid w:val="00951425"/>
    <w:rsid w:val="0095187E"/>
    <w:rsid w:val="00951DFB"/>
    <w:rsid w:val="009531BD"/>
    <w:rsid w:val="00953603"/>
    <w:rsid w:val="00953663"/>
    <w:rsid w:val="00953808"/>
    <w:rsid w:val="009544BF"/>
    <w:rsid w:val="00954992"/>
    <w:rsid w:val="0095619B"/>
    <w:rsid w:val="00956A06"/>
    <w:rsid w:val="00961136"/>
    <w:rsid w:val="00962D5A"/>
    <w:rsid w:val="009630F7"/>
    <w:rsid w:val="00963598"/>
    <w:rsid w:val="009659CD"/>
    <w:rsid w:val="00966A26"/>
    <w:rsid w:val="00966A43"/>
    <w:rsid w:val="00967BFD"/>
    <w:rsid w:val="00970D32"/>
    <w:rsid w:val="0097108B"/>
    <w:rsid w:val="00972B71"/>
    <w:rsid w:val="00974045"/>
    <w:rsid w:val="009740DC"/>
    <w:rsid w:val="009743C1"/>
    <w:rsid w:val="00974C39"/>
    <w:rsid w:val="00974F18"/>
    <w:rsid w:val="00974F5F"/>
    <w:rsid w:val="0097510A"/>
    <w:rsid w:val="00975D97"/>
    <w:rsid w:val="00975EF9"/>
    <w:rsid w:val="00976397"/>
    <w:rsid w:val="00976545"/>
    <w:rsid w:val="009773C6"/>
    <w:rsid w:val="009773C8"/>
    <w:rsid w:val="0098463E"/>
    <w:rsid w:val="00985433"/>
    <w:rsid w:val="0098571D"/>
    <w:rsid w:val="00985A7E"/>
    <w:rsid w:val="00987273"/>
    <w:rsid w:val="0099062B"/>
    <w:rsid w:val="009908EC"/>
    <w:rsid w:val="009926D0"/>
    <w:rsid w:val="00992C1B"/>
    <w:rsid w:val="00993077"/>
    <w:rsid w:val="00993876"/>
    <w:rsid w:val="009940AA"/>
    <w:rsid w:val="00994286"/>
    <w:rsid w:val="00994CDE"/>
    <w:rsid w:val="00995542"/>
    <w:rsid w:val="009956D0"/>
    <w:rsid w:val="00996D2C"/>
    <w:rsid w:val="009976C1"/>
    <w:rsid w:val="009A01D0"/>
    <w:rsid w:val="009A0AB5"/>
    <w:rsid w:val="009A223E"/>
    <w:rsid w:val="009A2FCE"/>
    <w:rsid w:val="009A71F0"/>
    <w:rsid w:val="009A7B57"/>
    <w:rsid w:val="009A7D0E"/>
    <w:rsid w:val="009B088C"/>
    <w:rsid w:val="009B1124"/>
    <w:rsid w:val="009B1793"/>
    <w:rsid w:val="009B1D83"/>
    <w:rsid w:val="009B256C"/>
    <w:rsid w:val="009B25DB"/>
    <w:rsid w:val="009B3577"/>
    <w:rsid w:val="009B36B4"/>
    <w:rsid w:val="009B387E"/>
    <w:rsid w:val="009B3AC5"/>
    <w:rsid w:val="009B4484"/>
    <w:rsid w:val="009B47DE"/>
    <w:rsid w:val="009B59F1"/>
    <w:rsid w:val="009B680B"/>
    <w:rsid w:val="009B709F"/>
    <w:rsid w:val="009B799F"/>
    <w:rsid w:val="009B7D9D"/>
    <w:rsid w:val="009C047F"/>
    <w:rsid w:val="009C088D"/>
    <w:rsid w:val="009C2700"/>
    <w:rsid w:val="009C292F"/>
    <w:rsid w:val="009C2B88"/>
    <w:rsid w:val="009C38D4"/>
    <w:rsid w:val="009C51CB"/>
    <w:rsid w:val="009C6D3B"/>
    <w:rsid w:val="009D09F7"/>
    <w:rsid w:val="009D1EAA"/>
    <w:rsid w:val="009D2856"/>
    <w:rsid w:val="009D293C"/>
    <w:rsid w:val="009D2B0D"/>
    <w:rsid w:val="009D38D4"/>
    <w:rsid w:val="009D3992"/>
    <w:rsid w:val="009D3B6B"/>
    <w:rsid w:val="009D471F"/>
    <w:rsid w:val="009D5610"/>
    <w:rsid w:val="009D5641"/>
    <w:rsid w:val="009D695D"/>
    <w:rsid w:val="009D6DC4"/>
    <w:rsid w:val="009E0908"/>
    <w:rsid w:val="009E1BE8"/>
    <w:rsid w:val="009E1C6C"/>
    <w:rsid w:val="009E1D25"/>
    <w:rsid w:val="009E3036"/>
    <w:rsid w:val="009E3941"/>
    <w:rsid w:val="009E414F"/>
    <w:rsid w:val="009E4765"/>
    <w:rsid w:val="009E4E14"/>
    <w:rsid w:val="009E4F6A"/>
    <w:rsid w:val="009E59D2"/>
    <w:rsid w:val="009E5DD7"/>
    <w:rsid w:val="009E61D2"/>
    <w:rsid w:val="009F0505"/>
    <w:rsid w:val="009F071D"/>
    <w:rsid w:val="009F0AC9"/>
    <w:rsid w:val="009F1ECF"/>
    <w:rsid w:val="009F39C8"/>
    <w:rsid w:val="009F40F1"/>
    <w:rsid w:val="009F4429"/>
    <w:rsid w:val="009F78F0"/>
    <w:rsid w:val="009F7D5C"/>
    <w:rsid w:val="00A00310"/>
    <w:rsid w:val="00A0051E"/>
    <w:rsid w:val="00A00DB1"/>
    <w:rsid w:val="00A02135"/>
    <w:rsid w:val="00A02621"/>
    <w:rsid w:val="00A03B20"/>
    <w:rsid w:val="00A04118"/>
    <w:rsid w:val="00A0427E"/>
    <w:rsid w:val="00A05A52"/>
    <w:rsid w:val="00A05F4E"/>
    <w:rsid w:val="00A06A08"/>
    <w:rsid w:val="00A07B93"/>
    <w:rsid w:val="00A10456"/>
    <w:rsid w:val="00A10DD2"/>
    <w:rsid w:val="00A118AD"/>
    <w:rsid w:val="00A11BF6"/>
    <w:rsid w:val="00A1392D"/>
    <w:rsid w:val="00A141D4"/>
    <w:rsid w:val="00A1431A"/>
    <w:rsid w:val="00A14728"/>
    <w:rsid w:val="00A1491D"/>
    <w:rsid w:val="00A14A74"/>
    <w:rsid w:val="00A14BB6"/>
    <w:rsid w:val="00A14BCD"/>
    <w:rsid w:val="00A157FB"/>
    <w:rsid w:val="00A15DFA"/>
    <w:rsid w:val="00A16AAB"/>
    <w:rsid w:val="00A16AF9"/>
    <w:rsid w:val="00A16F40"/>
    <w:rsid w:val="00A176AF"/>
    <w:rsid w:val="00A17B1F"/>
    <w:rsid w:val="00A204A8"/>
    <w:rsid w:val="00A21540"/>
    <w:rsid w:val="00A2170E"/>
    <w:rsid w:val="00A22BE9"/>
    <w:rsid w:val="00A23505"/>
    <w:rsid w:val="00A236DE"/>
    <w:rsid w:val="00A241E0"/>
    <w:rsid w:val="00A2439F"/>
    <w:rsid w:val="00A248F2"/>
    <w:rsid w:val="00A25439"/>
    <w:rsid w:val="00A25CB7"/>
    <w:rsid w:val="00A26AB9"/>
    <w:rsid w:val="00A30DD5"/>
    <w:rsid w:val="00A312EA"/>
    <w:rsid w:val="00A31424"/>
    <w:rsid w:val="00A32176"/>
    <w:rsid w:val="00A33692"/>
    <w:rsid w:val="00A35083"/>
    <w:rsid w:val="00A36666"/>
    <w:rsid w:val="00A3777B"/>
    <w:rsid w:val="00A3782A"/>
    <w:rsid w:val="00A40370"/>
    <w:rsid w:val="00A41F7E"/>
    <w:rsid w:val="00A42FC9"/>
    <w:rsid w:val="00A4319C"/>
    <w:rsid w:val="00A4361F"/>
    <w:rsid w:val="00A445B7"/>
    <w:rsid w:val="00A446DE"/>
    <w:rsid w:val="00A4509A"/>
    <w:rsid w:val="00A45F4F"/>
    <w:rsid w:val="00A500F3"/>
    <w:rsid w:val="00A50424"/>
    <w:rsid w:val="00A51DE9"/>
    <w:rsid w:val="00A52110"/>
    <w:rsid w:val="00A527CF"/>
    <w:rsid w:val="00A52DB1"/>
    <w:rsid w:val="00A5363A"/>
    <w:rsid w:val="00A53ADC"/>
    <w:rsid w:val="00A53C6D"/>
    <w:rsid w:val="00A54380"/>
    <w:rsid w:val="00A54947"/>
    <w:rsid w:val="00A54A40"/>
    <w:rsid w:val="00A55639"/>
    <w:rsid w:val="00A5584C"/>
    <w:rsid w:val="00A5676E"/>
    <w:rsid w:val="00A573A9"/>
    <w:rsid w:val="00A57D4E"/>
    <w:rsid w:val="00A61213"/>
    <w:rsid w:val="00A616EF"/>
    <w:rsid w:val="00A62B8C"/>
    <w:rsid w:val="00A63CD1"/>
    <w:rsid w:val="00A6503E"/>
    <w:rsid w:val="00A65969"/>
    <w:rsid w:val="00A65CE8"/>
    <w:rsid w:val="00A667E4"/>
    <w:rsid w:val="00A667F7"/>
    <w:rsid w:val="00A66DA8"/>
    <w:rsid w:val="00A6703B"/>
    <w:rsid w:val="00A67047"/>
    <w:rsid w:val="00A672EF"/>
    <w:rsid w:val="00A701F6"/>
    <w:rsid w:val="00A7035E"/>
    <w:rsid w:val="00A70748"/>
    <w:rsid w:val="00A70C72"/>
    <w:rsid w:val="00A71E93"/>
    <w:rsid w:val="00A71F05"/>
    <w:rsid w:val="00A71FCD"/>
    <w:rsid w:val="00A72F25"/>
    <w:rsid w:val="00A734A5"/>
    <w:rsid w:val="00A739D2"/>
    <w:rsid w:val="00A73E33"/>
    <w:rsid w:val="00A7439E"/>
    <w:rsid w:val="00A74F16"/>
    <w:rsid w:val="00A76648"/>
    <w:rsid w:val="00A769BE"/>
    <w:rsid w:val="00A810A5"/>
    <w:rsid w:val="00A81205"/>
    <w:rsid w:val="00A81C0D"/>
    <w:rsid w:val="00A81CC4"/>
    <w:rsid w:val="00A824E5"/>
    <w:rsid w:val="00A8260B"/>
    <w:rsid w:val="00A836BC"/>
    <w:rsid w:val="00A83AB2"/>
    <w:rsid w:val="00A83CD0"/>
    <w:rsid w:val="00A84981"/>
    <w:rsid w:val="00A84AC9"/>
    <w:rsid w:val="00A85A37"/>
    <w:rsid w:val="00A85BAC"/>
    <w:rsid w:val="00A876D6"/>
    <w:rsid w:val="00A901B8"/>
    <w:rsid w:val="00A91BD6"/>
    <w:rsid w:val="00A91D8F"/>
    <w:rsid w:val="00A9237F"/>
    <w:rsid w:val="00A92819"/>
    <w:rsid w:val="00A92965"/>
    <w:rsid w:val="00A92AB9"/>
    <w:rsid w:val="00A9301D"/>
    <w:rsid w:val="00A9371C"/>
    <w:rsid w:val="00A9426A"/>
    <w:rsid w:val="00A9427B"/>
    <w:rsid w:val="00A95A02"/>
    <w:rsid w:val="00A95D38"/>
    <w:rsid w:val="00A9668B"/>
    <w:rsid w:val="00A96BFB"/>
    <w:rsid w:val="00A97C80"/>
    <w:rsid w:val="00A97F2D"/>
    <w:rsid w:val="00AA003F"/>
    <w:rsid w:val="00AA07AF"/>
    <w:rsid w:val="00AA0B04"/>
    <w:rsid w:val="00AA1073"/>
    <w:rsid w:val="00AA1595"/>
    <w:rsid w:val="00AA31CA"/>
    <w:rsid w:val="00AA4173"/>
    <w:rsid w:val="00AA45BF"/>
    <w:rsid w:val="00AA4A39"/>
    <w:rsid w:val="00AA4B1A"/>
    <w:rsid w:val="00AA5D9B"/>
    <w:rsid w:val="00AA6699"/>
    <w:rsid w:val="00AA6BD4"/>
    <w:rsid w:val="00AA7851"/>
    <w:rsid w:val="00AB037A"/>
    <w:rsid w:val="00AB1880"/>
    <w:rsid w:val="00AB19BA"/>
    <w:rsid w:val="00AB1D6A"/>
    <w:rsid w:val="00AB2718"/>
    <w:rsid w:val="00AB2F33"/>
    <w:rsid w:val="00AB3727"/>
    <w:rsid w:val="00AB3DBB"/>
    <w:rsid w:val="00AB620F"/>
    <w:rsid w:val="00AB6A15"/>
    <w:rsid w:val="00AB6AFA"/>
    <w:rsid w:val="00AB6C52"/>
    <w:rsid w:val="00AB7814"/>
    <w:rsid w:val="00AB7F2D"/>
    <w:rsid w:val="00AC03EB"/>
    <w:rsid w:val="00AC122A"/>
    <w:rsid w:val="00AC14F1"/>
    <w:rsid w:val="00AC195F"/>
    <w:rsid w:val="00AC2D54"/>
    <w:rsid w:val="00AC3BD2"/>
    <w:rsid w:val="00AC3DC6"/>
    <w:rsid w:val="00AC406A"/>
    <w:rsid w:val="00AC413C"/>
    <w:rsid w:val="00AC44C3"/>
    <w:rsid w:val="00AC547C"/>
    <w:rsid w:val="00AC5679"/>
    <w:rsid w:val="00AC6047"/>
    <w:rsid w:val="00AC71DE"/>
    <w:rsid w:val="00AC7D8F"/>
    <w:rsid w:val="00AC7E2E"/>
    <w:rsid w:val="00AD0FD7"/>
    <w:rsid w:val="00AD1265"/>
    <w:rsid w:val="00AD209D"/>
    <w:rsid w:val="00AD25B9"/>
    <w:rsid w:val="00AD2DE8"/>
    <w:rsid w:val="00AD32D4"/>
    <w:rsid w:val="00AD4B0B"/>
    <w:rsid w:val="00AE1BD6"/>
    <w:rsid w:val="00AE1D46"/>
    <w:rsid w:val="00AE1F64"/>
    <w:rsid w:val="00AE1F79"/>
    <w:rsid w:val="00AE236D"/>
    <w:rsid w:val="00AE323D"/>
    <w:rsid w:val="00AE4FCA"/>
    <w:rsid w:val="00AE5A55"/>
    <w:rsid w:val="00AE6003"/>
    <w:rsid w:val="00AE624F"/>
    <w:rsid w:val="00AE6B99"/>
    <w:rsid w:val="00AE6BEC"/>
    <w:rsid w:val="00AE7040"/>
    <w:rsid w:val="00AE7CC1"/>
    <w:rsid w:val="00AF0702"/>
    <w:rsid w:val="00AF0AA5"/>
    <w:rsid w:val="00AF0B3A"/>
    <w:rsid w:val="00AF0EBE"/>
    <w:rsid w:val="00AF0EFB"/>
    <w:rsid w:val="00AF13E6"/>
    <w:rsid w:val="00AF2458"/>
    <w:rsid w:val="00AF2889"/>
    <w:rsid w:val="00AF2C5F"/>
    <w:rsid w:val="00AF35B9"/>
    <w:rsid w:val="00AF4286"/>
    <w:rsid w:val="00AF498B"/>
    <w:rsid w:val="00AF5A98"/>
    <w:rsid w:val="00AF5EF9"/>
    <w:rsid w:val="00AF60C2"/>
    <w:rsid w:val="00AF6D36"/>
    <w:rsid w:val="00AF75BE"/>
    <w:rsid w:val="00AF76C5"/>
    <w:rsid w:val="00AF79C9"/>
    <w:rsid w:val="00AF7E41"/>
    <w:rsid w:val="00B0168B"/>
    <w:rsid w:val="00B02A47"/>
    <w:rsid w:val="00B036AC"/>
    <w:rsid w:val="00B038D8"/>
    <w:rsid w:val="00B03C44"/>
    <w:rsid w:val="00B052E0"/>
    <w:rsid w:val="00B05AD8"/>
    <w:rsid w:val="00B072BD"/>
    <w:rsid w:val="00B113AC"/>
    <w:rsid w:val="00B1176B"/>
    <w:rsid w:val="00B11D18"/>
    <w:rsid w:val="00B120E8"/>
    <w:rsid w:val="00B127B0"/>
    <w:rsid w:val="00B13407"/>
    <w:rsid w:val="00B13F7B"/>
    <w:rsid w:val="00B14629"/>
    <w:rsid w:val="00B151D8"/>
    <w:rsid w:val="00B15C8E"/>
    <w:rsid w:val="00B163CF"/>
    <w:rsid w:val="00B164C8"/>
    <w:rsid w:val="00B166DE"/>
    <w:rsid w:val="00B16D65"/>
    <w:rsid w:val="00B17634"/>
    <w:rsid w:val="00B1780E"/>
    <w:rsid w:val="00B1781D"/>
    <w:rsid w:val="00B17DAF"/>
    <w:rsid w:val="00B209FE"/>
    <w:rsid w:val="00B2157C"/>
    <w:rsid w:val="00B2243A"/>
    <w:rsid w:val="00B228FE"/>
    <w:rsid w:val="00B230E1"/>
    <w:rsid w:val="00B23940"/>
    <w:rsid w:val="00B240C6"/>
    <w:rsid w:val="00B24E42"/>
    <w:rsid w:val="00B25A51"/>
    <w:rsid w:val="00B25F29"/>
    <w:rsid w:val="00B2631A"/>
    <w:rsid w:val="00B26937"/>
    <w:rsid w:val="00B26CD2"/>
    <w:rsid w:val="00B26E42"/>
    <w:rsid w:val="00B274DC"/>
    <w:rsid w:val="00B27829"/>
    <w:rsid w:val="00B27B99"/>
    <w:rsid w:val="00B30111"/>
    <w:rsid w:val="00B31A7E"/>
    <w:rsid w:val="00B31B29"/>
    <w:rsid w:val="00B328E4"/>
    <w:rsid w:val="00B33DDE"/>
    <w:rsid w:val="00B33FB0"/>
    <w:rsid w:val="00B347F3"/>
    <w:rsid w:val="00B34B00"/>
    <w:rsid w:val="00B34C23"/>
    <w:rsid w:val="00B34E43"/>
    <w:rsid w:val="00B34E48"/>
    <w:rsid w:val="00B36022"/>
    <w:rsid w:val="00B36231"/>
    <w:rsid w:val="00B402FF"/>
    <w:rsid w:val="00B40580"/>
    <w:rsid w:val="00B40D56"/>
    <w:rsid w:val="00B40F7E"/>
    <w:rsid w:val="00B4180E"/>
    <w:rsid w:val="00B41E9D"/>
    <w:rsid w:val="00B42C03"/>
    <w:rsid w:val="00B44562"/>
    <w:rsid w:val="00B45786"/>
    <w:rsid w:val="00B45A2B"/>
    <w:rsid w:val="00B46CBE"/>
    <w:rsid w:val="00B50F4A"/>
    <w:rsid w:val="00B51B73"/>
    <w:rsid w:val="00B52542"/>
    <w:rsid w:val="00B5299E"/>
    <w:rsid w:val="00B53074"/>
    <w:rsid w:val="00B57760"/>
    <w:rsid w:val="00B605F7"/>
    <w:rsid w:val="00B60EF2"/>
    <w:rsid w:val="00B6105C"/>
    <w:rsid w:val="00B61FFB"/>
    <w:rsid w:val="00B6411B"/>
    <w:rsid w:val="00B6501B"/>
    <w:rsid w:val="00B676C8"/>
    <w:rsid w:val="00B67D0C"/>
    <w:rsid w:val="00B70ACC"/>
    <w:rsid w:val="00B72011"/>
    <w:rsid w:val="00B72128"/>
    <w:rsid w:val="00B72356"/>
    <w:rsid w:val="00B7236D"/>
    <w:rsid w:val="00B74581"/>
    <w:rsid w:val="00B74D31"/>
    <w:rsid w:val="00B751A1"/>
    <w:rsid w:val="00B760B4"/>
    <w:rsid w:val="00B778BE"/>
    <w:rsid w:val="00B77949"/>
    <w:rsid w:val="00B80D45"/>
    <w:rsid w:val="00B80EAF"/>
    <w:rsid w:val="00B80FBA"/>
    <w:rsid w:val="00B81584"/>
    <w:rsid w:val="00B815D5"/>
    <w:rsid w:val="00B820FE"/>
    <w:rsid w:val="00B8286B"/>
    <w:rsid w:val="00B839CD"/>
    <w:rsid w:val="00B83D3E"/>
    <w:rsid w:val="00B83DEE"/>
    <w:rsid w:val="00B83E6C"/>
    <w:rsid w:val="00B84CE8"/>
    <w:rsid w:val="00B85B3C"/>
    <w:rsid w:val="00B86A0E"/>
    <w:rsid w:val="00B87F33"/>
    <w:rsid w:val="00B90070"/>
    <w:rsid w:val="00B91320"/>
    <w:rsid w:val="00B91B39"/>
    <w:rsid w:val="00B92F62"/>
    <w:rsid w:val="00B93802"/>
    <w:rsid w:val="00B95152"/>
    <w:rsid w:val="00B952FB"/>
    <w:rsid w:val="00B96462"/>
    <w:rsid w:val="00B971FD"/>
    <w:rsid w:val="00BA07AD"/>
    <w:rsid w:val="00BA0EBF"/>
    <w:rsid w:val="00BA1999"/>
    <w:rsid w:val="00BA1DE6"/>
    <w:rsid w:val="00BA1EBC"/>
    <w:rsid w:val="00BA328A"/>
    <w:rsid w:val="00BA374C"/>
    <w:rsid w:val="00BA3D47"/>
    <w:rsid w:val="00BA40B3"/>
    <w:rsid w:val="00BA465A"/>
    <w:rsid w:val="00BA47A1"/>
    <w:rsid w:val="00BA5659"/>
    <w:rsid w:val="00BA58C2"/>
    <w:rsid w:val="00BA5A4F"/>
    <w:rsid w:val="00BA5BAD"/>
    <w:rsid w:val="00BA600F"/>
    <w:rsid w:val="00BA6299"/>
    <w:rsid w:val="00BA649A"/>
    <w:rsid w:val="00BA7B4D"/>
    <w:rsid w:val="00BB0418"/>
    <w:rsid w:val="00BB05C1"/>
    <w:rsid w:val="00BB0A81"/>
    <w:rsid w:val="00BB18BD"/>
    <w:rsid w:val="00BB1A99"/>
    <w:rsid w:val="00BB2C7B"/>
    <w:rsid w:val="00BB3E9A"/>
    <w:rsid w:val="00BB4E91"/>
    <w:rsid w:val="00BB5A6E"/>
    <w:rsid w:val="00BB674F"/>
    <w:rsid w:val="00BB6764"/>
    <w:rsid w:val="00BB69AD"/>
    <w:rsid w:val="00BB6E1C"/>
    <w:rsid w:val="00BB739E"/>
    <w:rsid w:val="00BC019B"/>
    <w:rsid w:val="00BC0490"/>
    <w:rsid w:val="00BC100F"/>
    <w:rsid w:val="00BC258C"/>
    <w:rsid w:val="00BC2E3E"/>
    <w:rsid w:val="00BC3142"/>
    <w:rsid w:val="00BC335D"/>
    <w:rsid w:val="00BC3C0E"/>
    <w:rsid w:val="00BC52C9"/>
    <w:rsid w:val="00BC5ABD"/>
    <w:rsid w:val="00BC6BDA"/>
    <w:rsid w:val="00BC6DAD"/>
    <w:rsid w:val="00BD10C8"/>
    <w:rsid w:val="00BD16E8"/>
    <w:rsid w:val="00BD255E"/>
    <w:rsid w:val="00BD2C6A"/>
    <w:rsid w:val="00BD2E63"/>
    <w:rsid w:val="00BD6022"/>
    <w:rsid w:val="00BD60A5"/>
    <w:rsid w:val="00BD60FF"/>
    <w:rsid w:val="00BD7AC5"/>
    <w:rsid w:val="00BD7F4D"/>
    <w:rsid w:val="00BE0E84"/>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0A1B"/>
    <w:rsid w:val="00BF108E"/>
    <w:rsid w:val="00BF15F0"/>
    <w:rsid w:val="00BF1BD6"/>
    <w:rsid w:val="00BF1C6B"/>
    <w:rsid w:val="00BF3658"/>
    <w:rsid w:val="00BF3F9C"/>
    <w:rsid w:val="00BF49B0"/>
    <w:rsid w:val="00BF59F4"/>
    <w:rsid w:val="00BF601D"/>
    <w:rsid w:val="00C00F72"/>
    <w:rsid w:val="00C01D3E"/>
    <w:rsid w:val="00C01DDE"/>
    <w:rsid w:val="00C025B3"/>
    <w:rsid w:val="00C03EAD"/>
    <w:rsid w:val="00C03FFD"/>
    <w:rsid w:val="00C04D10"/>
    <w:rsid w:val="00C05116"/>
    <w:rsid w:val="00C0606C"/>
    <w:rsid w:val="00C063AD"/>
    <w:rsid w:val="00C0674F"/>
    <w:rsid w:val="00C0696D"/>
    <w:rsid w:val="00C1086B"/>
    <w:rsid w:val="00C128D8"/>
    <w:rsid w:val="00C12E3D"/>
    <w:rsid w:val="00C12ECA"/>
    <w:rsid w:val="00C13840"/>
    <w:rsid w:val="00C141C9"/>
    <w:rsid w:val="00C14FD6"/>
    <w:rsid w:val="00C15BA8"/>
    <w:rsid w:val="00C17751"/>
    <w:rsid w:val="00C17A3D"/>
    <w:rsid w:val="00C203D4"/>
    <w:rsid w:val="00C21E75"/>
    <w:rsid w:val="00C22D7A"/>
    <w:rsid w:val="00C23D65"/>
    <w:rsid w:val="00C24009"/>
    <w:rsid w:val="00C25FD4"/>
    <w:rsid w:val="00C26C41"/>
    <w:rsid w:val="00C26CA2"/>
    <w:rsid w:val="00C30062"/>
    <w:rsid w:val="00C3034F"/>
    <w:rsid w:val="00C31072"/>
    <w:rsid w:val="00C3162E"/>
    <w:rsid w:val="00C3202D"/>
    <w:rsid w:val="00C32603"/>
    <w:rsid w:val="00C32AD1"/>
    <w:rsid w:val="00C330BA"/>
    <w:rsid w:val="00C3343D"/>
    <w:rsid w:val="00C35711"/>
    <w:rsid w:val="00C3578C"/>
    <w:rsid w:val="00C36094"/>
    <w:rsid w:val="00C363B9"/>
    <w:rsid w:val="00C36C10"/>
    <w:rsid w:val="00C36D34"/>
    <w:rsid w:val="00C36DC8"/>
    <w:rsid w:val="00C37F61"/>
    <w:rsid w:val="00C410D1"/>
    <w:rsid w:val="00C4672B"/>
    <w:rsid w:val="00C468E9"/>
    <w:rsid w:val="00C4747B"/>
    <w:rsid w:val="00C50971"/>
    <w:rsid w:val="00C518BE"/>
    <w:rsid w:val="00C52BC8"/>
    <w:rsid w:val="00C52E2C"/>
    <w:rsid w:val="00C55424"/>
    <w:rsid w:val="00C5551A"/>
    <w:rsid w:val="00C55F54"/>
    <w:rsid w:val="00C565EB"/>
    <w:rsid w:val="00C56B47"/>
    <w:rsid w:val="00C5760E"/>
    <w:rsid w:val="00C5770E"/>
    <w:rsid w:val="00C6150A"/>
    <w:rsid w:val="00C6154C"/>
    <w:rsid w:val="00C61594"/>
    <w:rsid w:val="00C620D3"/>
    <w:rsid w:val="00C62AC5"/>
    <w:rsid w:val="00C630AC"/>
    <w:rsid w:val="00C6410B"/>
    <w:rsid w:val="00C64265"/>
    <w:rsid w:val="00C6448D"/>
    <w:rsid w:val="00C64564"/>
    <w:rsid w:val="00C64F92"/>
    <w:rsid w:val="00C658EB"/>
    <w:rsid w:val="00C6664D"/>
    <w:rsid w:val="00C666F1"/>
    <w:rsid w:val="00C66CBE"/>
    <w:rsid w:val="00C67342"/>
    <w:rsid w:val="00C67743"/>
    <w:rsid w:val="00C67A0D"/>
    <w:rsid w:val="00C704C0"/>
    <w:rsid w:val="00C70B92"/>
    <w:rsid w:val="00C7227F"/>
    <w:rsid w:val="00C7284E"/>
    <w:rsid w:val="00C731F5"/>
    <w:rsid w:val="00C73A7C"/>
    <w:rsid w:val="00C73DF2"/>
    <w:rsid w:val="00C7417D"/>
    <w:rsid w:val="00C74DF9"/>
    <w:rsid w:val="00C763CC"/>
    <w:rsid w:val="00C76859"/>
    <w:rsid w:val="00C76C16"/>
    <w:rsid w:val="00C800BF"/>
    <w:rsid w:val="00C80F89"/>
    <w:rsid w:val="00C813DE"/>
    <w:rsid w:val="00C82523"/>
    <w:rsid w:val="00C82B48"/>
    <w:rsid w:val="00C83623"/>
    <w:rsid w:val="00C836D5"/>
    <w:rsid w:val="00C842A2"/>
    <w:rsid w:val="00C850E2"/>
    <w:rsid w:val="00C85781"/>
    <w:rsid w:val="00C85E86"/>
    <w:rsid w:val="00C86BA3"/>
    <w:rsid w:val="00C871A4"/>
    <w:rsid w:val="00C935C3"/>
    <w:rsid w:val="00C93A92"/>
    <w:rsid w:val="00C93C59"/>
    <w:rsid w:val="00C95C76"/>
    <w:rsid w:val="00C95DED"/>
    <w:rsid w:val="00C96196"/>
    <w:rsid w:val="00C96E2F"/>
    <w:rsid w:val="00C9765D"/>
    <w:rsid w:val="00CA011C"/>
    <w:rsid w:val="00CA1CD7"/>
    <w:rsid w:val="00CA34C2"/>
    <w:rsid w:val="00CA3920"/>
    <w:rsid w:val="00CA42E3"/>
    <w:rsid w:val="00CA4517"/>
    <w:rsid w:val="00CA46AB"/>
    <w:rsid w:val="00CA58F5"/>
    <w:rsid w:val="00CA6417"/>
    <w:rsid w:val="00CA66C7"/>
    <w:rsid w:val="00CA7476"/>
    <w:rsid w:val="00CA7ABE"/>
    <w:rsid w:val="00CB0169"/>
    <w:rsid w:val="00CB01EE"/>
    <w:rsid w:val="00CB0364"/>
    <w:rsid w:val="00CB0980"/>
    <w:rsid w:val="00CB16E7"/>
    <w:rsid w:val="00CB1C0A"/>
    <w:rsid w:val="00CB21EF"/>
    <w:rsid w:val="00CB3948"/>
    <w:rsid w:val="00CB3E09"/>
    <w:rsid w:val="00CB4B18"/>
    <w:rsid w:val="00CB4C95"/>
    <w:rsid w:val="00CB6C76"/>
    <w:rsid w:val="00CB6D58"/>
    <w:rsid w:val="00CB7D30"/>
    <w:rsid w:val="00CC03FC"/>
    <w:rsid w:val="00CC05D4"/>
    <w:rsid w:val="00CC40CD"/>
    <w:rsid w:val="00CC494D"/>
    <w:rsid w:val="00CC5012"/>
    <w:rsid w:val="00CC54C1"/>
    <w:rsid w:val="00CC5A0C"/>
    <w:rsid w:val="00CC5E8C"/>
    <w:rsid w:val="00CC6938"/>
    <w:rsid w:val="00CC6B01"/>
    <w:rsid w:val="00CD0E49"/>
    <w:rsid w:val="00CD1356"/>
    <w:rsid w:val="00CD1698"/>
    <w:rsid w:val="00CD1B1A"/>
    <w:rsid w:val="00CD23CE"/>
    <w:rsid w:val="00CD25EE"/>
    <w:rsid w:val="00CD2DE7"/>
    <w:rsid w:val="00CD3EED"/>
    <w:rsid w:val="00CD51E0"/>
    <w:rsid w:val="00CD5C1C"/>
    <w:rsid w:val="00CD7068"/>
    <w:rsid w:val="00CD71C8"/>
    <w:rsid w:val="00CE1191"/>
    <w:rsid w:val="00CE168B"/>
    <w:rsid w:val="00CE177A"/>
    <w:rsid w:val="00CE1820"/>
    <w:rsid w:val="00CE213F"/>
    <w:rsid w:val="00CE2279"/>
    <w:rsid w:val="00CE2B79"/>
    <w:rsid w:val="00CE2C00"/>
    <w:rsid w:val="00CE2D60"/>
    <w:rsid w:val="00CE3C9A"/>
    <w:rsid w:val="00CE4CD5"/>
    <w:rsid w:val="00CE6381"/>
    <w:rsid w:val="00CE6AC0"/>
    <w:rsid w:val="00CE78E6"/>
    <w:rsid w:val="00CF0663"/>
    <w:rsid w:val="00CF1CEF"/>
    <w:rsid w:val="00CF245C"/>
    <w:rsid w:val="00CF26A3"/>
    <w:rsid w:val="00CF350E"/>
    <w:rsid w:val="00CF38DF"/>
    <w:rsid w:val="00CF3F70"/>
    <w:rsid w:val="00CF4D98"/>
    <w:rsid w:val="00CF5166"/>
    <w:rsid w:val="00CF63C2"/>
    <w:rsid w:val="00CF69AC"/>
    <w:rsid w:val="00CF723C"/>
    <w:rsid w:val="00CF7693"/>
    <w:rsid w:val="00D000ED"/>
    <w:rsid w:val="00D00E62"/>
    <w:rsid w:val="00D012E6"/>
    <w:rsid w:val="00D016CA"/>
    <w:rsid w:val="00D017BE"/>
    <w:rsid w:val="00D01B03"/>
    <w:rsid w:val="00D031D0"/>
    <w:rsid w:val="00D035A9"/>
    <w:rsid w:val="00D03D6B"/>
    <w:rsid w:val="00D04082"/>
    <w:rsid w:val="00D047F3"/>
    <w:rsid w:val="00D04B61"/>
    <w:rsid w:val="00D063A9"/>
    <w:rsid w:val="00D07096"/>
    <w:rsid w:val="00D07A08"/>
    <w:rsid w:val="00D11C81"/>
    <w:rsid w:val="00D11DAA"/>
    <w:rsid w:val="00D1208F"/>
    <w:rsid w:val="00D133EA"/>
    <w:rsid w:val="00D17126"/>
    <w:rsid w:val="00D20B0D"/>
    <w:rsid w:val="00D21E42"/>
    <w:rsid w:val="00D21F82"/>
    <w:rsid w:val="00D24132"/>
    <w:rsid w:val="00D24153"/>
    <w:rsid w:val="00D24548"/>
    <w:rsid w:val="00D257F7"/>
    <w:rsid w:val="00D25BE4"/>
    <w:rsid w:val="00D26276"/>
    <w:rsid w:val="00D26338"/>
    <w:rsid w:val="00D26E98"/>
    <w:rsid w:val="00D27718"/>
    <w:rsid w:val="00D30081"/>
    <w:rsid w:val="00D30C4A"/>
    <w:rsid w:val="00D30D19"/>
    <w:rsid w:val="00D31AC2"/>
    <w:rsid w:val="00D31AE6"/>
    <w:rsid w:val="00D31F92"/>
    <w:rsid w:val="00D340C2"/>
    <w:rsid w:val="00D343B2"/>
    <w:rsid w:val="00D3532B"/>
    <w:rsid w:val="00D35DA5"/>
    <w:rsid w:val="00D37211"/>
    <w:rsid w:val="00D376C1"/>
    <w:rsid w:val="00D41B5E"/>
    <w:rsid w:val="00D41E2F"/>
    <w:rsid w:val="00D42D09"/>
    <w:rsid w:val="00D4301D"/>
    <w:rsid w:val="00D43181"/>
    <w:rsid w:val="00D4425D"/>
    <w:rsid w:val="00D4450E"/>
    <w:rsid w:val="00D457F1"/>
    <w:rsid w:val="00D45CE3"/>
    <w:rsid w:val="00D47FA2"/>
    <w:rsid w:val="00D50345"/>
    <w:rsid w:val="00D504AF"/>
    <w:rsid w:val="00D5330D"/>
    <w:rsid w:val="00D53FF7"/>
    <w:rsid w:val="00D54A7A"/>
    <w:rsid w:val="00D553ED"/>
    <w:rsid w:val="00D5549E"/>
    <w:rsid w:val="00D5567C"/>
    <w:rsid w:val="00D56886"/>
    <w:rsid w:val="00D57009"/>
    <w:rsid w:val="00D60003"/>
    <w:rsid w:val="00D6050A"/>
    <w:rsid w:val="00D60528"/>
    <w:rsid w:val="00D61081"/>
    <w:rsid w:val="00D610D2"/>
    <w:rsid w:val="00D6123B"/>
    <w:rsid w:val="00D6182B"/>
    <w:rsid w:val="00D630C5"/>
    <w:rsid w:val="00D65FAC"/>
    <w:rsid w:val="00D66EE5"/>
    <w:rsid w:val="00D71451"/>
    <w:rsid w:val="00D72441"/>
    <w:rsid w:val="00D72ADC"/>
    <w:rsid w:val="00D72BA6"/>
    <w:rsid w:val="00D72FD9"/>
    <w:rsid w:val="00D736FF"/>
    <w:rsid w:val="00D7397C"/>
    <w:rsid w:val="00D74B2C"/>
    <w:rsid w:val="00D753F1"/>
    <w:rsid w:val="00D7728C"/>
    <w:rsid w:val="00D77F1F"/>
    <w:rsid w:val="00D8005B"/>
    <w:rsid w:val="00D800C7"/>
    <w:rsid w:val="00D8163E"/>
    <w:rsid w:val="00D81CB6"/>
    <w:rsid w:val="00D83F66"/>
    <w:rsid w:val="00D84429"/>
    <w:rsid w:val="00D84D51"/>
    <w:rsid w:val="00D85B44"/>
    <w:rsid w:val="00D8698C"/>
    <w:rsid w:val="00D86CE5"/>
    <w:rsid w:val="00D8746E"/>
    <w:rsid w:val="00D87AF6"/>
    <w:rsid w:val="00D87CA6"/>
    <w:rsid w:val="00D9071B"/>
    <w:rsid w:val="00D90740"/>
    <w:rsid w:val="00D91B1D"/>
    <w:rsid w:val="00D937B0"/>
    <w:rsid w:val="00D951D2"/>
    <w:rsid w:val="00D96D8D"/>
    <w:rsid w:val="00D9781D"/>
    <w:rsid w:val="00D97CCD"/>
    <w:rsid w:val="00DA0936"/>
    <w:rsid w:val="00DA11D1"/>
    <w:rsid w:val="00DA14A8"/>
    <w:rsid w:val="00DA1B70"/>
    <w:rsid w:val="00DA23DC"/>
    <w:rsid w:val="00DA26FE"/>
    <w:rsid w:val="00DA3DE4"/>
    <w:rsid w:val="00DA51AD"/>
    <w:rsid w:val="00DA7373"/>
    <w:rsid w:val="00DB06DD"/>
    <w:rsid w:val="00DB1138"/>
    <w:rsid w:val="00DB2161"/>
    <w:rsid w:val="00DB28B7"/>
    <w:rsid w:val="00DB2E78"/>
    <w:rsid w:val="00DB3929"/>
    <w:rsid w:val="00DB40FD"/>
    <w:rsid w:val="00DB5075"/>
    <w:rsid w:val="00DB52F8"/>
    <w:rsid w:val="00DB5BAD"/>
    <w:rsid w:val="00DB733D"/>
    <w:rsid w:val="00DC0027"/>
    <w:rsid w:val="00DC046E"/>
    <w:rsid w:val="00DC0616"/>
    <w:rsid w:val="00DC0B7E"/>
    <w:rsid w:val="00DC1426"/>
    <w:rsid w:val="00DC1A0D"/>
    <w:rsid w:val="00DC4563"/>
    <w:rsid w:val="00DC607F"/>
    <w:rsid w:val="00DC644A"/>
    <w:rsid w:val="00DC7D47"/>
    <w:rsid w:val="00DD0151"/>
    <w:rsid w:val="00DD1BAB"/>
    <w:rsid w:val="00DD1DDF"/>
    <w:rsid w:val="00DD1EC3"/>
    <w:rsid w:val="00DD2076"/>
    <w:rsid w:val="00DD209E"/>
    <w:rsid w:val="00DD249B"/>
    <w:rsid w:val="00DD2E59"/>
    <w:rsid w:val="00DD3B2F"/>
    <w:rsid w:val="00DD3C36"/>
    <w:rsid w:val="00DD442C"/>
    <w:rsid w:val="00DD487F"/>
    <w:rsid w:val="00DD521D"/>
    <w:rsid w:val="00DD6A49"/>
    <w:rsid w:val="00DD746E"/>
    <w:rsid w:val="00DD7742"/>
    <w:rsid w:val="00DD7EF3"/>
    <w:rsid w:val="00DE1B5D"/>
    <w:rsid w:val="00DE1D2C"/>
    <w:rsid w:val="00DE2239"/>
    <w:rsid w:val="00DE2B6B"/>
    <w:rsid w:val="00DE2DFD"/>
    <w:rsid w:val="00DE4BCD"/>
    <w:rsid w:val="00DE6595"/>
    <w:rsid w:val="00DF03BB"/>
    <w:rsid w:val="00DF0B13"/>
    <w:rsid w:val="00DF0FD7"/>
    <w:rsid w:val="00DF0FEA"/>
    <w:rsid w:val="00DF12E3"/>
    <w:rsid w:val="00DF1E3E"/>
    <w:rsid w:val="00DF1FBB"/>
    <w:rsid w:val="00DF430D"/>
    <w:rsid w:val="00DF441D"/>
    <w:rsid w:val="00DF4952"/>
    <w:rsid w:val="00DF5B87"/>
    <w:rsid w:val="00DF5C3D"/>
    <w:rsid w:val="00DF6367"/>
    <w:rsid w:val="00DF7933"/>
    <w:rsid w:val="00DF799F"/>
    <w:rsid w:val="00DF7A05"/>
    <w:rsid w:val="00E002DE"/>
    <w:rsid w:val="00E006B6"/>
    <w:rsid w:val="00E0080F"/>
    <w:rsid w:val="00E02269"/>
    <w:rsid w:val="00E02B4F"/>
    <w:rsid w:val="00E03577"/>
    <w:rsid w:val="00E03F23"/>
    <w:rsid w:val="00E06A26"/>
    <w:rsid w:val="00E06AD6"/>
    <w:rsid w:val="00E072F7"/>
    <w:rsid w:val="00E07AAE"/>
    <w:rsid w:val="00E07E09"/>
    <w:rsid w:val="00E1184C"/>
    <w:rsid w:val="00E118B9"/>
    <w:rsid w:val="00E12222"/>
    <w:rsid w:val="00E12290"/>
    <w:rsid w:val="00E1233C"/>
    <w:rsid w:val="00E1257B"/>
    <w:rsid w:val="00E13009"/>
    <w:rsid w:val="00E13393"/>
    <w:rsid w:val="00E13B6F"/>
    <w:rsid w:val="00E15C22"/>
    <w:rsid w:val="00E1697E"/>
    <w:rsid w:val="00E16BBA"/>
    <w:rsid w:val="00E177A4"/>
    <w:rsid w:val="00E20CBA"/>
    <w:rsid w:val="00E22500"/>
    <w:rsid w:val="00E22F68"/>
    <w:rsid w:val="00E236F4"/>
    <w:rsid w:val="00E23819"/>
    <w:rsid w:val="00E24FB3"/>
    <w:rsid w:val="00E25068"/>
    <w:rsid w:val="00E2557A"/>
    <w:rsid w:val="00E25D81"/>
    <w:rsid w:val="00E26AF2"/>
    <w:rsid w:val="00E26FAE"/>
    <w:rsid w:val="00E2762E"/>
    <w:rsid w:val="00E27EFA"/>
    <w:rsid w:val="00E303E0"/>
    <w:rsid w:val="00E30408"/>
    <w:rsid w:val="00E30FC7"/>
    <w:rsid w:val="00E320DA"/>
    <w:rsid w:val="00E32B86"/>
    <w:rsid w:val="00E32D30"/>
    <w:rsid w:val="00E32E15"/>
    <w:rsid w:val="00E33548"/>
    <w:rsid w:val="00E33AC2"/>
    <w:rsid w:val="00E33AD1"/>
    <w:rsid w:val="00E33F8E"/>
    <w:rsid w:val="00E3565F"/>
    <w:rsid w:val="00E3580C"/>
    <w:rsid w:val="00E35CBE"/>
    <w:rsid w:val="00E3615D"/>
    <w:rsid w:val="00E400BB"/>
    <w:rsid w:val="00E40516"/>
    <w:rsid w:val="00E405F5"/>
    <w:rsid w:val="00E4083F"/>
    <w:rsid w:val="00E40CC0"/>
    <w:rsid w:val="00E41521"/>
    <w:rsid w:val="00E42668"/>
    <w:rsid w:val="00E42B00"/>
    <w:rsid w:val="00E43FF0"/>
    <w:rsid w:val="00E44698"/>
    <w:rsid w:val="00E44F0D"/>
    <w:rsid w:val="00E455F5"/>
    <w:rsid w:val="00E456A8"/>
    <w:rsid w:val="00E45970"/>
    <w:rsid w:val="00E469C3"/>
    <w:rsid w:val="00E47885"/>
    <w:rsid w:val="00E47B24"/>
    <w:rsid w:val="00E47B79"/>
    <w:rsid w:val="00E52AC3"/>
    <w:rsid w:val="00E5309B"/>
    <w:rsid w:val="00E53133"/>
    <w:rsid w:val="00E53849"/>
    <w:rsid w:val="00E538D9"/>
    <w:rsid w:val="00E53D0E"/>
    <w:rsid w:val="00E53E04"/>
    <w:rsid w:val="00E54270"/>
    <w:rsid w:val="00E547ED"/>
    <w:rsid w:val="00E554A9"/>
    <w:rsid w:val="00E56197"/>
    <w:rsid w:val="00E56850"/>
    <w:rsid w:val="00E56B69"/>
    <w:rsid w:val="00E57014"/>
    <w:rsid w:val="00E572B4"/>
    <w:rsid w:val="00E60310"/>
    <w:rsid w:val="00E60CAE"/>
    <w:rsid w:val="00E617C1"/>
    <w:rsid w:val="00E61935"/>
    <w:rsid w:val="00E62EB1"/>
    <w:rsid w:val="00E631B9"/>
    <w:rsid w:val="00E6358A"/>
    <w:rsid w:val="00E63CB4"/>
    <w:rsid w:val="00E64173"/>
    <w:rsid w:val="00E6495B"/>
    <w:rsid w:val="00E6514B"/>
    <w:rsid w:val="00E66440"/>
    <w:rsid w:val="00E666FB"/>
    <w:rsid w:val="00E6695E"/>
    <w:rsid w:val="00E66A42"/>
    <w:rsid w:val="00E66C0C"/>
    <w:rsid w:val="00E7153C"/>
    <w:rsid w:val="00E71B13"/>
    <w:rsid w:val="00E71DC2"/>
    <w:rsid w:val="00E72564"/>
    <w:rsid w:val="00E73425"/>
    <w:rsid w:val="00E7379C"/>
    <w:rsid w:val="00E74359"/>
    <w:rsid w:val="00E749DD"/>
    <w:rsid w:val="00E76266"/>
    <w:rsid w:val="00E76D8C"/>
    <w:rsid w:val="00E77E0E"/>
    <w:rsid w:val="00E81457"/>
    <w:rsid w:val="00E821D7"/>
    <w:rsid w:val="00E8274E"/>
    <w:rsid w:val="00E82BC5"/>
    <w:rsid w:val="00E83CD4"/>
    <w:rsid w:val="00E87A9C"/>
    <w:rsid w:val="00E87B7D"/>
    <w:rsid w:val="00E9045F"/>
    <w:rsid w:val="00E920C5"/>
    <w:rsid w:val="00E934A6"/>
    <w:rsid w:val="00E94FAC"/>
    <w:rsid w:val="00E97011"/>
    <w:rsid w:val="00E97303"/>
    <w:rsid w:val="00E978B5"/>
    <w:rsid w:val="00E97D98"/>
    <w:rsid w:val="00EA0048"/>
    <w:rsid w:val="00EA0096"/>
    <w:rsid w:val="00EA0692"/>
    <w:rsid w:val="00EA1466"/>
    <w:rsid w:val="00EA3363"/>
    <w:rsid w:val="00EA34B8"/>
    <w:rsid w:val="00EA3E7A"/>
    <w:rsid w:val="00EA3FD8"/>
    <w:rsid w:val="00EA425E"/>
    <w:rsid w:val="00EA4330"/>
    <w:rsid w:val="00EA4F4E"/>
    <w:rsid w:val="00EA5EB5"/>
    <w:rsid w:val="00EA5EFF"/>
    <w:rsid w:val="00EA74CD"/>
    <w:rsid w:val="00EA7D9F"/>
    <w:rsid w:val="00EB196C"/>
    <w:rsid w:val="00EB2525"/>
    <w:rsid w:val="00EB2541"/>
    <w:rsid w:val="00EB2A4D"/>
    <w:rsid w:val="00EB349C"/>
    <w:rsid w:val="00EB574C"/>
    <w:rsid w:val="00EB5D91"/>
    <w:rsid w:val="00EB703B"/>
    <w:rsid w:val="00EB73AE"/>
    <w:rsid w:val="00EC014C"/>
    <w:rsid w:val="00EC1679"/>
    <w:rsid w:val="00EC20D0"/>
    <w:rsid w:val="00EC2129"/>
    <w:rsid w:val="00EC24FD"/>
    <w:rsid w:val="00EC2961"/>
    <w:rsid w:val="00EC2DED"/>
    <w:rsid w:val="00EC3504"/>
    <w:rsid w:val="00EC395D"/>
    <w:rsid w:val="00EC57DE"/>
    <w:rsid w:val="00EC66F2"/>
    <w:rsid w:val="00EC7A06"/>
    <w:rsid w:val="00EC7A72"/>
    <w:rsid w:val="00EC7B7C"/>
    <w:rsid w:val="00ED0D1D"/>
    <w:rsid w:val="00ED12BE"/>
    <w:rsid w:val="00ED3597"/>
    <w:rsid w:val="00ED485F"/>
    <w:rsid w:val="00ED5598"/>
    <w:rsid w:val="00ED5AF8"/>
    <w:rsid w:val="00ED5EA1"/>
    <w:rsid w:val="00ED6004"/>
    <w:rsid w:val="00ED6B1B"/>
    <w:rsid w:val="00EE02CF"/>
    <w:rsid w:val="00EE0AAC"/>
    <w:rsid w:val="00EE11DA"/>
    <w:rsid w:val="00EE15B3"/>
    <w:rsid w:val="00EE1BC5"/>
    <w:rsid w:val="00EE22EA"/>
    <w:rsid w:val="00EE2345"/>
    <w:rsid w:val="00EE2B66"/>
    <w:rsid w:val="00EE2E28"/>
    <w:rsid w:val="00EE3FF2"/>
    <w:rsid w:val="00EE417F"/>
    <w:rsid w:val="00EE470A"/>
    <w:rsid w:val="00EE47E7"/>
    <w:rsid w:val="00EE564A"/>
    <w:rsid w:val="00EE58BF"/>
    <w:rsid w:val="00EE5CCD"/>
    <w:rsid w:val="00EE612C"/>
    <w:rsid w:val="00EE6BDC"/>
    <w:rsid w:val="00EE7EA8"/>
    <w:rsid w:val="00EF132F"/>
    <w:rsid w:val="00EF1652"/>
    <w:rsid w:val="00EF1C0D"/>
    <w:rsid w:val="00EF24DD"/>
    <w:rsid w:val="00EF2524"/>
    <w:rsid w:val="00EF2C0A"/>
    <w:rsid w:val="00EF358F"/>
    <w:rsid w:val="00EF3763"/>
    <w:rsid w:val="00EF5884"/>
    <w:rsid w:val="00EF5A30"/>
    <w:rsid w:val="00EF5F03"/>
    <w:rsid w:val="00EF636C"/>
    <w:rsid w:val="00EF66DD"/>
    <w:rsid w:val="00EF66E3"/>
    <w:rsid w:val="00F00E12"/>
    <w:rsid w:val="00F012B1"/>
    <w:rsid w:val="00F01C3C"/>
    <w:rsid w:val="00F0291D"/>
    <w:rsid w:val="00F029D8"/>
    <w:rsid w:val="00F02B44"/>
    <w:rsid w:val="00F040FF"/>
    <w:rsid w:val="00F04D5D"/>
    <w:rsid w:val="00F0706C"/>
    <w:rsid w:val="00F07277"/>
    <w:rsid w:val="00F101F8"/>
    <w:rsid w:val="00F1151B"/>
    <w:rsid w:val="00F116A3"/>
    <w:rsid w:val="00F1181C"/>
    <w:rsid w:val="00F11FB1"/>
    <w:rsid w:val="00F125F3"/>
    <w:rsid w:val="00F14514"/>
    <w:rsid w:val="00F14885"/>
    <w:rsid w:val="00F148B2"/>
    <w:rsid w:val="00F15895"/>
    <w:rsid w:val="00F15C6C"/>
    <w:rsid w:val="00F16673"/>
    <w:rsid w:val="00F1780A"/>
    <w:rsid w:val="00F17D1A"/>
    <w:rsid w:val="00F17D5E"/>
    <w:rsid w:val="00F17FDA"/>
    <w:rsid w:val="00F2011D"/>
    <w:rsid w:val="00F21D35"/>
    <w:rsid w:val="00F2207E"/>
    <w:rsid w:val="00F22455"/>
    <w:rsid w:val="00F236B4"/>
    <w:rsid w:val="00F23E53"/>
    <w:rsid w:val="00F23E72"/>
    <w:rsid w:val="00F24237"/>
    <w:rsid w:val="00F248A4"/>
    <w:rsid w:val="00F2523B"/>
    <w:rsid w:val="00F252A7"/>
    <w:rsid w:val="00F264CE"/>
    <w:rsid w:val="00F27031"/>
    <w:rsid w:val="00F2703C"/>
    <w:rsid w:val="00F27082"/>
    <w:rsid w:val="00F271C9"/>
    <w:rsid w:val="00F2721B"/>
    <w:rsid w:val="00F27246"/>
    <w:rsid w:val="00F274BF"/>
    <w:rsid w:val="00F27A32"/>
    <w:rsid w:val="00F27D23"/>
    <w:rsid w:val="00F30D97"/>
    <w:rsid w:val="00F30F36"/>
    <w:rsid w:val="00F314A9"/>
    <w:rsid w:val="00F3213A"/>
    <w:rsid w:val="00F3274E"/>
    <w:rsid w:val="00F33539"/>
    <w:rsid w:val="00F345F1"/>
    <w:rsid w:val="00F3462E"/>
    <w:rsid w:val="00F34A8B"/>
    <w:rsid w:val="00F356A6"/>
    <w:rsid w:val="00F35DF9"/>
    <w:rsid w:val="00F35F9A"/>
    <w:rsid w:val="00F3693E"/>
    <w:rsid w:val="00F36A29"/>
    <w:rsid w:val="00F3738D"/>
    <w:rsid w:val="00F40CF0"/>
    <w:rsid w:val="00F42046"/>
    <w:rsid w:val="00F45218"/>
    <w:rsid w:val="00F456DC"/>
    <w:rsid w:val="00F465C8"/>
    <w:rsid w:val="00F47F47"/>
    <w:rsid w:val="00F50386"/>
    <w:rsid w:val="00F50E37"/>
    <w:rsid w:val="00F5182F"/>
    <w:rsid w:val="00F521A6"/>
    <w:rsid w:val="00F531FC"/>
    <w:rsid w:val="00F53B45"/>
    <w:rsid w:val="00F541B9"/>
    <w:rsid w:val="00F54486"/>
    <w:rsid w:val="00F54A4A"/>
    <w:rsid w:val="00F56EAB"/>
    <w:rsid w:val="00F572B7"/>
    <w:rsid w:val="00F5753F"/>
    <w:rsid w:val="00F57559"/>
    <w:rsid w:val="00F60B73"/>
    <w:rsid w:val="00F60D93"/>
    <w:rsid w:val="00F615A1"/>
    <w:rsid w:val="00F61A9E"/>
    <w:rsid w:val="00F63681"/>
    <w:rsid w:val="00F640BE"/>
    <w:rsid w:val="00F64156"/>
    <w:rsid w:val="00F6431A"/>
    <w:rsid w:val="00F64B7F"/>
    <w:rsid w:val="00F65784"/>
    <w:rsid w:val="00F65FBE"/>
    <w:rsid w:val="00F679DA"/>
    <w:rsid w:val="00F70979"/>
    <w:rsid w:val="00F70FCE"/>
    <w:rsid w:val="00F71B43"/>
    <w:rsid w:val="00F71F72"/>
    <w:rsid w:val="00F73811"/>
    <w:rsid w:val="00F75AE6"/>
    <w:rsid w:val="00F7637F"/>
    <w:rsid w:val="00F766DA"/>
    <w:rsid w:val="00F77BA2"/>
    <w:rsid w:val="00F8053B"/>
    <w:rsid w:val="00F81F7D"/>
    <w:rsid w:val="00F83154"/>
    <w:rsid w:val="00F832D3"/>
    <w:rsid w:val="00F837CC"/>
    <w:rsid w:val="00F84107"/>
    <w:rsid w:val="00F86236"/>
    <w:rsid w:val="00F87A0D"/>
    <w:rsid w:val="00F90C47"/>
    <w:rsid w:val="00F923E9"/>
    <w:rsid w:val="00F9259A"/>
    <w:rsid w:val="00F92DC1"/>
    <w:rsid w:val="00F93BCE"/>
    <w:rsid w:val="00F93DA4"/>
    <w:rsid w:val="00F95C6D"/>
    <w:rsid w:val="00F9642C"/>
    <w:rsid w:val="00F9738A"/>
    <w:rsid w:val="00F974F3"/>
    <w:rsid w:val="00F97B20"/>
    <w:rsid w:val="00FA1842"/>
    <w:rsid w:val="00FA29EF"/>
    <w:rsid w:val="00FA2C11"/>
    <w:rsid w:val="00FA30A5"/>
    <w:rsid w:val="00FA3709"/>
    <w:rsid w:val="00FA3993"/>
    <w:rsid w:val="00FA3EA5"/>
    <w:rsid w:val="00FA43C2"/>
    <w:rsid w:val="00FA4F5E"/>
    <w:rsid w:val="00FA57ED"/>
    <w:rsid w:val="00FA6496"/>
    <w:rsid w:val="00FA6A77"/>
    <w:rsid w:val="00FB03BD"/>
    <w:rsid w:val="00FB11A0"/>
    <w:rsid w:val="00FB14FE"/>
    <w:rsid w:val="00FB265B"/>
    <w:rsid w:val="00FB3FE6"/>
    <w:rsid w:val="00FB4C94"/>
    <w:rsid w:val="00FB5CF8"/>
    <w:rsid w:val="00FB6DAF"/>
    <w:rsid w:val="00FC044C"/>
    <w:rsid w:val="00FC0A4B"/>
    <w:rsid w:val="00FC3AFF"/>
    <w:rsid w:val="00FC4494"/>
    <w:rsid w:val="00FC4AFC"/>
    <w:rsid w:val="00FD0974"/>
    <w:rsid w:val="00FD188A"/>
    <w:rsid w:val="00FD1905"/>
    <w:rsid w:val="00FD1C7E"/>
    <w:rsid w:val="00FD434A"/>
    <w:rsid w:val="00FD4C67"/>
    <w:rsid w:val="00FD4E6D"/>
    <w:rsid w:val="00FD5259"/>
    <w:rsid w:val="00FD71D1"/>
    <w:rsid w:val="00FD7988"/>
    <w:rsid w:val="00FE03A0"/>
    <w:rsid w:val="00FE12B4"/>
    <w:rsid w:val="00FE1AD5"/>
    <w:rsid w:val="00FE1E56"/>
    <w:rsid w:val="00FE211E"/>
    <w:rsid w:val="00FE2603"/>
    <w:rsid w:val="00FE3B6E"/>
    <w:rsid w:val="00FE6443"/>
    <w:rsid w:val="00FE6685"/>
    <w:rsid w:val="00FE6C9C"/>
    <w:rsid w:val="00FE7213"/>
    <w:rsid w:val="00FE7C9C"/>
    <w:rsid w:val="00FF0154"/>
    <w:rsid w:val="00FF20A4"/>
    <w:rsid w:val="00FF2B7D"/>
    <w:rsid w:val="00FF2DBC"/>
    <w:rsid w:val="00FF3581"/>
    <w:rsid w:val="00FF425C"/>
    <w:rsid w:val="00FF57AF"/>
    <w:rsid w:val="00FF68DD"/>
    <w:rsid w:val="00FF7858"/>
    <w:rsid w:val="011F478E"/>
    <w:rsid w:val="013A1130"/>
    <w:rsid w:val="01414658"/>
    <w:rsid w:val="01474512"/>
    <w:rsid w:val="01B53780"/>
    <w:rsid w:val="01BF364C"/>
    <w:rsid w:val="01F63744"/>
    <w:rsid w:val="0222615D"/>
    <w:rsid w:val="02236824"/>
    <w:rsid w:val="022D4BC3"/>
    <w:rsid w:val="028426B0"/>
    <w:rsid w:val="031B2597"/>
    <w:rsid w:val="038A4E5A"/>
    <w:rsid w:val="03AB679F"/>
    <w:rsid w:val="03B875A9"/>
    <w:rsid w:val="03D012A8"/>
    <w:rsid w:val="03D73C4B"/>
    <w:rsid w:val="041451F9"/>
    <w:rsid w:val="0476464C"/>
    <w:rsid w:val="04AA2DF7"/>
    <w:rsid w:val="04BF387D"/>
    <w:rsid w:val="04F824D0"/>
    <w:rsid w:val="04F92F58"/>
    <w:rsid w:val="050C1B34"/>
    <w:rsid w:val="050E5F9C"/>
    <w:rsid w:val="05795B3E"/>
    <w:rsid w:val="057D35B7"/>
    <w:rsid w:val="059B3AAE"/>
    <w:rsid w:val="05B74D88"/>
    <w:rsid w:val="05C86530"/>
    <w:rsid w:val="05E70A8D"/>
    <w:rsid w:val="05F05689"/>
    <w:rsid w:val="062B4BF2"/>
    <w:rsid w:val="0686670B"/>
    <w:rsid w:val="06984505"/>
    <w:rsid w:val="07166970"/>
    <w:rsid w:val="073E1BD9"/>
    <w:rsid w:val="07550A0D"/>
    <w:rsid w:val="076013E0"/>
    <w:rsid w:val="07905D5A"/>
    <w:rsid w:val="07F54BC0"/>
    <w:rsid w:val="081E113D"/>
    <w:rsid w:val="082008CE"/>
    <w:rsid w:val="084271A3"/>
    <w:rsid w:val="084E3529"/>
    <w:rsid w:val="08732BE6"/>
    <w:rsid w:val="08953074"/>
    <w:rsid w:val="08953FD7"/>
    <w:rsid w:val="08EE643E"/>
    <w:rsid w:val="092B438D"/>
    <w:rsid w:val="09652A3B"/>
    <w:rsid w:val="096B180A"/>
    <w:rsid w:val="09705438"/>
    <w:rsid w:val="097C6C10"/>
    <w:rsid w:val="09933D81"/>
    <w:rsid w:val="09A600A3"/>
    <w:rsid w:val="09A815EF"/>
    <w:rsid w:val="09BF0A5F"/>
    <w:rsid w:val="09E7370B"/>
    <w:rsid w:val="09FF14CE"/>
    <w:rsid w:val="0A26422C"/>
    <w:rsid w:val="0A800311"/>
    <w:rsid w:val="0A99181D"/>
    <w:rsid w:val="0A9C614A"/>
    <w:rsid w:val="0AFD778B"/>
    <w:rsid w:val="0B3003D8"/>
    <w:rsid w:val="0B6D3222"/>
    <w:rsid w:val="0BB42AF6"/>
    <w:rsid w:val="0BCF050F"/>
    <w:rsid w:val="0C1434FE"/>
    <w:rsid w:val="0C596928"/>
    <w:rsid w:val="0C660B78"/>
    <w:rsid w:val="0C7E6025"/>
    <w:rsid w:val="0CA641DD"/>
    <w:rsid w:val="0CC60B6C"/>
    <w:rsid w:val="0D0A5D09"/>
    <w:rsid w:val="0D2155A8"/>
    <w:rsid w:val="0D533931"/>
    <w:rsid w:val="0D8060B5"/>
    <w:rsid w:val="0DC336E3"/>
    <w:rsid w:val="0DDD37ED"/>
    <w:rsid w:val="0E0A7653"/>
    <w:rsid w:val="0E1507A0"/>
    <w:rsid w:val="0E475C67"/>
    <w:rsid w:val="0E7526B5"/>
    <w:rsid w:val="0EDB5CFB"/>
    <w:rsid w:val="0F0C458B"/>
    <w:rsid w:val="0F0F024B"/>
    <w:rsid w:val="0F5F2017"/>
    <w:rsid w:val="0F5F78EA"/>
    <w:rsid w:val="0FDE1BE5"/>
    <w:rsid w:val="0FE9305A"/>
    <w:rsid w:val="0FEF7C0A"/>
    <w:rsid w:val="10175EDA"/>
    <w:rsid w:val="10435247"/>
    <w:rsid w:val="10817ED7"/>
    <w:rsid w:val="10DA2738"/>
    <w:rsid w:val="10F10C20"/>
    <w:rsid w:val="11647498"/>
    <w:rsid w:val="116E79F0"/>
    <w:rsid w:val="118A0495"/>
    <w:rsid w:val="119F5EB8"/>
    <w:rsid w:val="11B72F56"/>
    <w:rsid w:val="11D3202B"/>
    <w:rsid w:val="125E6002"/>
    <w:rsid w:val="12732B87"/>
    <w:rsid w:val="1296776D"/>
    <w:rsid w:val="12BF62B6"/>
    <w:rsid w:val="12C742F7"/>
    <w:rsid w:val="12DB4336"/>
    <w:rsid w:val="12F05378"/>
    <w:rsid w:val="12F56050"/>
    <w:rsid w:val="130A06A1"/>
    <w:rsid w:val="130B0F8E"/>
    <w:rsid w:val="132C75E5"/>
    <w:rsid w:val="138A677A"/>
    <w:rsid w:val="13920C1B"/>
    <w:rsid w:val="139E7937"/>
    <w:rsid w:val="13BC3585"/>
    <w:rsid w:val="13C30A2F"/>
    <w:rsid w:val="14DB3B34"/>
    <w:rsid w:val="14E043C3"/>
    <w:rsid w:val="1515263B"/>
    <w:rsid w:val="15182ED1"/>
    <w:rsid w:val="1524417A"/>
    <w:rsid w:val="153F7393"/>
    <w:rsid w:val="154E2C8D"/>
    <w:rsid w:val="159D60AA"/>
    <w:rsid w:val="160E074B"/>
    <w:rsid w:val="161533F4"/>
    <w:rsid w:val="165E3383"/>
    <w:rsid w:val="166321E2"/>
    <w:rsid w:val="166951DF"/>
    <w:rsid w:val="166F55AD"/>
    <w:rsid w:val="168A7548"/>
    <w:rsid w:val="168E35F3"/>
    <w:rsid w:val="16A042E2"/>
    <w:rsid w:val="16D6369B"/>
    <w:rsid w:val="16D704B9"/>
    <w:rsid w:val="170C0021"/>
    <w:rsid w:val="175D1EAE"/>
    <w:rsid w:val="178072CB"/>
    <w:rsid w:val="178B077E"/>
    <w:rsid w:val="17C5097C"/>
    <w:rsid w:val="17CD7F2C"/>
    <w:rsid w:val="17F220A2"/>
    <w:rsid w:val="180E1CDE"/>
    <w:rsid w:val="183220F4"/>
    <w:rsid w:val="18A37E82"/>
    <w:rsid w:val="18A60350"/>
    <w:rsid w:val="18AC3253"/>
    <w:rsid w:val="18B814D1"/>
    <w:rsid w:val="18C01770"/>
    <w:rsid w:val="190E697D"/>
    <w:rsid w:val="194444AB"/>
    <w:rsid w:val="19503D2D"/>
    <w:rsid w:val="196C1CF0"/>
    <w:rsid w:val="1A15511C"/>
    <w:rsid w:val="1A4C04ED"/>
    <w:rsid w:val="1A4D7C55"/>
    <w:rsid w:val="1A5D6BD9"/>
    <w:rsid w:val="1A7549DA"/>
    <w:rsid w:val="1AA33CBC"/>
    <w:rsid w:val="1AF95386"/>
    <w:rsid w:val="1B1C2D2D"/>
    <w:rsid w:val="1B30632B"/>
    <w:rsid w:val="1B3262A6"/>
    <w:rsid w:val="1B3D3845"/>
    <w:rsid w:val="1B4B4845"/>
    <w:rsid w:val="1BA04486"/>
    <w:rsid w:val="1BE95AA6"/>
    <w:rsid w:val="1C1E6B79"/>
    <w:rsid w:val="1C66496D"/>
    <w:rsid w:val="1CE31FD5"/>
    <w:rsid w:val="1D49300A"/>
    <w:rsid w:val="1D6C20DF"/>
    <w:rsid w:val="1D8D1246"/>
    <w:rsid w:val="1E491587"/>
    <w:rsid w:val="1E8933F5"/>
    <w:rsid w:val="1EBF464D"/>
    <w:rsid w:val="1EC16D2C"/>
    <w:rsid w:val="1EC835CB"/>
    <w:rsid w:val="1EF160BB"/>
    <w:rsid w:val="1F2C7FBC"/>
    <w:rsid w:val="1FF76471"/>
    <w:rsid w:val="201574A1"/>
    <w:rsid w:val="202368F5"/>
    <w:rsid w:val="20376A0E"/>
    <w:rsid w:val="203E3C53"/>
    <w:rsid w:val="206F2642"/>
    <w:rsid w:val="20822DE8"/>
    <w:rsid w:val="208E6AB2"/>
    <w:rsid w:val="20B2493E"/>
    <w:rsid w:val="20CB5CFA"/>
    <w:rsid w:val="20CC07CE"/>
    <w:rsid w:val="212A7045"/>
    <w:rsid w:val="21325E8A"/>
    <w:rsid w:val="21560235"/>
    <w:rsid w:val="21913DBA"/>
    <w:rsid w:val="21CC7DA6"/>
    <w:rsid w:val="22361832"/>
    <w:rsid w:val="22564C3B"/>
    <w:rsid w:val="227117F0"/>
    <w:rsid w:val="229270D1"/>
    <w:rsid w:val="229E596C"/>
    <w:rsid w:val="22B60D13"/>
    <w:rsid w:val="22E91128"/>
    <w:rsid w:val="23CD1FB5"/>
    <w:rsid w:val="23F519CD"/>
    <w:rsid w:val="24136870"/>
    <w:rsid w:val="24152A49"/>
    <w:rsid w:val="24287BD3"/>
    <w:rsid w:val="24456D39"/>
    <w:rsid w:val="245C6969"/>
    <w:rsid w:val="248B666C"/>
    <w:rsid w:val="248F341C"/>
    <w:rsid w:val="24983B90"/>
    <w:rsid w:val="24AC7022"/>
    <w:rsid w:val="24E21EE4"/>
    <w:rsid w:val="24F417CC"/>
    <w:rsid w:val="250658E9"/>
    <w:rsid w:val="255D3125"/>
    <w:rsid w:val="25FD0128"/>
    <w:rsid w:val="260B5107"/>
    <w:rsid w:val="265E792E"/>
    <w:rsid w:val="26647764"/>
    <w:rsid w:val="269359AB"/>
    <w:rsid w:val="26E92F7B"/>
    <w:rsid w:val="26F85FDC"/>
    <w:rsid w:val="274C7001"/>
    <w:rsid w:val="27535BB4"/>
    <w:rsid w:val="2760332F"/>
    <w:rsid w:val="276C4D98"/>
    <w:rsid w:val="27DB51E2"/>
    <w:rsid w:val="281B37C7"/>
    <w:rsid w:val="282C1A16"/>
    <w:rsid w:val="286B013A"/>
    <w:rsid w:val="289205C0"/>
    <w:rsid w:val="28CC37B0"/>
    <w:rsid w:val="28E229B0"/>
    <w:rsid w:val="28FC2B64"/>
    <w:rsid w:val="298D57F4"/>
    <w:rsid w:val="299520CD"/>
    <w:rsid w:val="29992D97"/>
    <w:rsid w:val="29BA5E4B"/>
    <w:rsid w:val="29E83B4C"/>
    <w:rsid w:val="2A0E7C5A"/>
    <w:rsid w:val="2A30484F"/>
    <w:rsid w:val="2A5B30DB"/>
    <w:rsid w:val="2A5C5F05"/>
    <w:rsid w:val="2A716802"/>
    <w:rsid w:val="2A830702"/>
    <w:rsid w:val="2ABE5E63"/>
    <w:rsid w:val="2AF71B8D"/>
    <w:rsid w:val="2AFD3C60"/>
    <w:rsid w:val="2B395012"/>
    <w:rsid w:val="2B7E4D77"/>
    <w:rsid w:val="2BA2006A"/>
    <w:rsid w:val="2BBE0430"/>
    <w:rsid w:val="2BC30C31"/>
    <w:rsid w:val="2BCB6D3F"/>
    <w:rsid w:val="2BD6693F"/>
    <w:rsid w:val="2BF85B55"/>
    <w:rsid w:val="2C05252B"/>
    <w:rsid w:val="2C0B468C"/>
    <w:rsid w:val="2C0F4C44"/>
    <w:rsid w:val="2C8B6B16"/>
    <w:rsid w:val="2CD66501"/>
    <w:rsid w:val="2CDE0930"/>
    <w:rsid w:val="2D0E077F"/>
    <w:rsid w:val="2D4A1A33"/>
    <w:rsid w:val="2D5D5673"/>
    <w:rsid w:val="2D9503A5"/>
    <w:rsid w:val="2DDB2055"/>
    <w:rsid w:val="2DEB22B2"/>
    <w:rsid w:val="2E512696"/>
    <w:rsid w:val="2E5D662D"/>
    <w:rsid w:val="2E772F6E"/>
    <w:rsid w:val="2EA5381D"/>
    <w:rsid w:val="2F0163E4"/>
    <w:rsid w:val="2F034C6F"/>
    <w:rsid w:val="2F136099"/>
    <w:rsid w:val="2F3B15D1"/>
    <w:rsid w:val="2F744BFB"/>
    <w:rsid w:val="2F894AE1"/>
    <w:rsid w:val="2FCA6592"/>
    <w:rsid w:val="2FD67739"/>
    <w:rsid w:val="2FDC6AC2"/>
    <w:rsid w:val="307652AC"/>
    <w:rsid w:val="30830218"/>
    <w:rsid w:val="30C52AF8"/>
    <w:rsid w:val="30CD0A7E"/>
    <w:rsid w:val="30D57311"/>
    <w:rsid w:val="30FD50F3"/>
    <w:rsid w:val="31195BDD"/>
    <w:rsid w:val="3122362C"/>
    <w:rsid w:val="31552BA5"/>
    <w:rsid w:val="31626EEC"/>
    <w:rsid w:val="317E0238"/>
    <w:rsid w:val="31BA1499"/>
    <w:rsid w:val="31E53686"/>
    <w:rsid w:val="31FF007C"/>
    <w:rsid w:val="320D64CA"/>
    <w:rsid w:val="32556B94"/>
    <w:rsid w:val="3273520E"/>
    <w:rsid w:val="32862880"/>
    <w:rsid w:val="32B9130E"/>
    <w:rsid w:val="33564E06"/>
    <w:rsid w:val="339300E8"/>
    <w:rsid w:val="33CA0F1F"/>
    <w:rsid w:val="340B1FFA"/>
    <w:rsid w:val="342C1FFE"/>
    <w:rsid w:val="344A245E"/>
    <w:rsid w:val="34A42278"/>
    <w:rsid w:val="34B86AE5"/>
    <w:rsid w:val="34D74C20"/>
    <w:rsid w:val="353051D1"/>
    <w:rsid w:val="35FA3E19"/>
    <w:rsid w:val="361353F3"/>
    <w:rsid w:val="363A5F44"/>
    <w:rsid w:val="36714B5C"/>
    <w:rsid w:val="36937331"/>
    <w:rsid w:val="36B55F6B"/>
    <w:rsid w:val="370D6776"/>
    <w:rsid w:val="37316B00"/>
    <w:rsid w:val="37396ED7"/>
    <w:rsid w:val="37764DF8"/>
    <w:rsid w:val="37AF43BA"/>
    <w:rsid w:val="37C3238F"/>
    <w:rsid w:val="37E80F39"/>
    <w:rsid w:val="37F41BB3"/>
    <w:rsid w:val="38157B80"/>
    <w:rsid w:val="382F5281"/>
    <w:rsid w:val="38455D28"/>
    <w:rsid w:val="38540F22"/>
    <w:rsid w:val="38AE66E1"/>
    <w:rsid w:val="38C15A41"/>
    <w:rsid w:val="38C63024"/>
    <w:rsid w:val="38CD18D2"/>
    <w:rsid w:val="39080D99"/>
    <w:rsid w:val="39B1799E"/>
    <w:rsid w:val="3A1979FF"/>
    <w:rsid w:val="3A496F92"/>
    <w:rsid w:val="3A684BD0"/>
    <w:rsid w:val="3A7C210F"/>
    <w:rsid w:val="3A8C029D"/>
    <w:rsid w:val="3B711D66"/>
    <w:rsid w:val="3B7D4803"/>
    <w:rsid w:val="3B8A0623"/>
    <w:rsid w:val="3B8D40B2"/>
    <w:rsid w:val="3BBC0B3B"/>
    <w:rsid w:val="3BDB63DE"/>
    <w:rsid w:val="3C022718"/>
    <w:rsid w:val="3CEB1852"/>
    <w:rsid w:val="3D05463E"/>
    <w:rsid w:val="3D0F5AFE"/>
    <w:rsid w:val="3D196227"/>
    <w:rsid w:val="3D3E6CE2"/>
    <w:rsid w:val="3DA74BD2"/>
    <w:rsid w:val="3DD63BA2"/>
    <w:rsid w:val="3E5D33E1"/>
    <w:rsid w:val="3E743817"/>
    <w:rsid w:val="3E83186C"/>
    <w:rsid w:val="3E9130FC"/>
    <w:rsid w:val="3E9E5DB4"/>
    <w:rsid w:val="3EC035FB"/>
    <w:rsid w:val="3F5102FC"/>
    <w:rsid w:val="3F662721"/>
    <w:rsid w:val="3F83211A"/>
    <w:rsid w:val="3F9F114C"/>
    <w:rsid w:val="3FBE237E"/>
    <w:rsid w:val="3FCE7AFC"/>
    <w:rsid w:val="3FD008F7"/>
    <w:rsid w:val="3FDC2B95"/>
    <w:rsid w:val="4028609E"/>
    <w:rsid w:val="40374B23"/>
    <w:rsid w:val="4062059F"/>
    <w:rsid w:val="409B7986"/>
    <w:rsid w:val="40D37DE8"/>
    <w:rsid w:val="40DB10C6"/>
    <w:rsid w:val="40F80713"/>
    <w:rsid w:val="41025C66"/>
    <w:rsid w:val="41122B16"/>
    <w:rsid w:val="411761DC"/>
    <w:rsid w:val="416870FB"/>
    <w:rsid w:val="41912701"/>
    <w:rsid w:val="41CE7D37"/>
    <w:rsid w:val="41D27A78"/>
    <w:rsid w:val="41D85F1B"/>
    <w:rsid w:val="41DC598D"/>
    <w:rsid w:val="41FA15A4"/>
    <w:rsid w:val="42355F51"/>
    <w:rsid w:val="42465FDE"/>
    <w:rsid w:val="42884742"/>
    <w:rsid w:val="42AE5AE3"/>
    <w:rsid w:val="43205265"/>
    <w:rsid w:val="435A19B8"/>
    <w:rsid w:val="437319E8"/>
    <w:rsid w:val="43B97087"/>
    <w:rsid w:val="43C85B6C"/>
    <w:rsid w:val="44047851"/>
    <w:rsid w:val="441D6C88"/>
    <w:rsid w:val="442335B6"/>
    <w:rsid w:val="444075FB"/>
    <w:rsid w:val="44717C3B"/>
    <w:rsid w:val="44BE65E0"/>
    <w:rsid w:val="44DA2A97"/>
    <w:rsid w:val="45045AC7"/>
    <w:rsid w:val="455F7633"/>
    <w:rsid w:val="4565432C"/>
    <w:rsid w:val="4571546A"/>
    <w:rsid w:val="458E64E3"/>
    <w:rsid w:val="45B5655D"/>
    <w:rsid w:val="4617028E"/>
    <w:rsid w:val="46490C32"/>
    <w:rsid w:val="465D36F9"/>
    <w:rsid w:val="46601924"/>
    <w:rsid w:val="467266A6"/>
    <w:rsid w:val="4697305B"/>
    <w:rsid w:val="46A56AD1"/>
    <w:rsid w:val="46CC7D06"/>
    <w:rsid w:val="471D5D1F"/>
    <w:rsid w:val="472A4DB0"/>
    <w:rsid w:val="473356F4"/>
    <w:rsid w:val="47373039"/>
    <w:rsid w:val="4738342D"/>
    <w:rsid w:val="474E3444"/>
    <w:rsid w:val="47B274D3"/>
    <w:rsid w:val="481B0885"/>
    <w:rsid w:val="48506B8D"/>
    <w:rsid w:val="48601652"/>
    <w:rsid w:val="486A46AE"/>
    <w:rsid w:val="486C005E"/>
    <w:rsid w:val="488C03BF"/>
    <w:rsid w:val="48BC31D0"/>
    <w:rsid w:val="48C545BC"/>
    <w:rsid w:val="48F65F65"/>
    <w:rsid w:val="49306B00"/>
    <w:rsid w:val="49521BA8"/>
    <w:rsid w:val="499A3893"/>
    <w:rsid w:val="49A530B7"/>
    <w:rsid w:val="49AB1223"/>
    <w:rsid w:val="49B52C28"/>
    <w:rsid w:val="49C50F64"/>
    <w:rsid w:val="49C66E58"/>
    <w:rsid w:val="49C74D88"/>
    <w:rsid w:val="49D436C4"/>
    <w:rsid w:val="49F22054"/>
    <w:rsid w:val="49FF35F0"/>
    <w:rsid w:val="4A5A6C98"/>
    <w:rsid w:val="4A6C1E8B"/>
    <w:rsid w:val="4A7A2ACD"/>
    <w:rsid w:val="4A88530D"/>
    <w:rsid w:val="4A8E43FC"/>
    <w:rsid w:val="4AD01BE1"/>
    <w:rsid w:val="4B011FCA"/>
    <w:rsid w:val="4B0E599D"/>
    <w:rsid w:val="4B1F5BC5"/>
    <w:rsid w:val="4B582BD7"/>
    <w:rsid w:val="4B870790"/>
    <w:rsid w:val="4B9C0EE4"/>
    <w:rsid w:val="4BDB4ECF"/>
    <w:rsid w:val="4C1F0DF3"/>
    <w:rsid w:val="4C580BD3"/>
    <w:rsid w:val="4C582B91"/>
    <w:rsid w:val="4C703C6A"/>
    <w:rsid w:val="4C7833EE"/>
    <w:rsid w:val="4C9C1748"/>
    <w:rsid w:val="4C9C7DD3"/>
    <w:rsid w:val="4D202F62"/>
    <w:rsid w:val="4DBB2E72"/>
    <w:rsid w:val="4DCB2E58"/>
    <w:rsid w:val="4E373D90"/>
    <w:rsid w:val="4E7749B9"/>
    <w:rsid w:val="4EA86BDB"/>
    <w:rsid w:val="4EE851A5"/>
    <w:rsid w:val="4F140B78"/>
    <w:rsid w:val="4F2518BB"/>
    <w:rsid w:val="4FA47FEB"/>
    <w:rsid w:val="4FE42F56"/>
    <w:rsid w:val="4FF74ABD"/>
    <w:rsid w:val="50263228"/>
    <w:rsid w:val="50337DE3"/>
    <w:rsid w:val="503D6F7D"/>
    <w:rsid w:val="505F72C1"/>
    <w:rsid w:val="506967E7"/>
    <w:rsid w:val="50A1369E"/>
    <w:rsid w:val="50E13A61"/>
    <w:rsid w:val="50E768C2"/>
    <w:rsid w:val="510332A5"/>
    <w:rsid w:val="51184E28"/>
    <w:rsid w:val="5146382D"/>
    <w:rsid w:val="514D55B6"/>
    <w:rsid w:val="51704CBB"/>
    <w:rsid w:val="517459E7"/>
    <w:rsid w:val="518911B3"/>
    <w:rsid w:val="519604B6"/>
    <w:rsid w:val="51AF1EBF"/>
    <w:rsid w:val="51B75200"/>
    <w:rsid w:val="51BA1695"/>
    <w:rsid w:val="520118FC"/>
    <w:rsid w:val="521F1472"/>
    <w:rsid w:val="521F586A"/>
    <w:rsid w:val="523D1809"/>
    <w:rsid w:val="524940D1"/>
    <w:rsid w:val="52CE3B68"/>
    <w:rsid w:val="54114993"/>
    <w:rsid w:val="542E2783"/>
    <w:rsid w:val="542F1216"/>
    <w:rsid w:val="546820CD"/>
    <w:rsid w:val="54913A31"/>
    <w:rsid w:val="54C52B79"/>
    <w:rsid w:val="54D8158B"/>
    <w:rsid w:val="54F24A86"/>
    <w:rsid w:val="55160719"/>
    <w:rsid w:val="552E5396"/>
    <w:rsid w:val="553118B0"/>
    <w:rsid w:val="559001B2"/>
    <w:rsid w:val="55A57758"/>
    <w:rsid w:val="55B2291D"/>
    <w:rsid w:val="55B57121"/>
    <w:rsid w:val="55E318A6"/>
    <w:rsid w:val="566121E5"/>
    <w:rsid w:val="56CC45F9"/>
    <w:rsid w:val="56F0380D"/>
    <w:rsid w:val="571C6F11"/>
    <w:rsid w:val="571D2CE1"/>
    <w:rsid w:val="576E2CF5"/>
    <w:rsid w:val="57B94EB3"/>
    <w:rsid w:val="57C06E42"/>
    <w:rsid w:val="57EB2BCA"/>
    <w:rsid w:val="5806221B"/>
    <w:rsid w:val="58290EC7"/>
    <w:rsid w:val="58AC24B2"/>
    <w:rsid w:val="58B87927"/>
    <w:rsid w:val="592A55C1"/>
    <w:rsid w:val="593144FC"/>
    <w:rsid w:val="5A4B7271"/>
    <w:rsid w:val="5A521EF4"/>
    <w:rsid w:val="5A6D682C"/>
    <w:rsid w:val="5ACD342C"/>
    <w:rsid w:val="5B0A0DD2"/>
    <w:rsid w:val="5B3B15CF"/>
    <w:rsid w:val="5B6E0F16"/>
    <w:rsid w:val="5B7A1B2D"/>
    <w:rsid w:val="5BEB64C0"/>
    <w:rsid w:val="5C1551FE"/>
    <w:rsid w:val="5C3366A7"/>
    <w:rsid w:val="5C5408DC"/>
    <w:rsid w:val="5C633523"/>
    <w:rsid w:val="5CA64F1D"/>
    <w:rsid w:val="5CC01720"/>
    <w:rsid w:val="5CCA5A2B"/>
    <w:rsid w:val="5CED0088"/>
    <w:rsid w:val="5D1A42DE"/>
    <w:rsid w:val="5D4221F0"/>
    <w:rsid w:val="5DC27194"/>
    <w:rsid w:val="5DD059F6"/>
    <w:rsid w:val="5E057968"/>
    <w:rsid w:val="5E09322F"/>
    <w:rsid w:val="5EA726FD"/>
    <w:rsid w:val="5EA82DB6"/>
    <w:rsid w:val="5EAE4130"/>
    <w:rsid w:val="5EF71F20"/>
    <w:rsid w:val="5F001790"/>
    <w:rsid w:val="5F33152F"/>
    <w:rsid w:val="5F726888"/>
    <w:rsid w:val="5F751977"/>
    <w:rsid w:val="5F844AC4"/>
    <w:rsid w:val="5FFA1C96"/>
    <w:rsid w:val="600913B2"/>
    <w:rsid w:val="60754BB7"/>
    <w:rsid w:val="60762229"/>
    <w:rsid w:val="60764CF9"/>
    <w:rsid w:val="60AC6FBA"/>
    <w:rsid w:val="610A32A7"/>
    <w:rsid w:val="61354A1E"/>
    <w:rsid w:val="61552F0D"/>
    <w:rsid w:val="620B22C0"/>
    <w:rsid w:val="623E7551"/>
    <w:rsid w:val="624A5543"/>
    <w:rsid w:val="62FB32C7"/>
    <w:rsid w:val="63091291"/>
    <w:rsid w:val="631F1C72"/>
    <w:rsid w:val="63462E7A"/>
    <w:rsid w:val="63672749"/>
    <w:rsid w:val="63AC6F8D"/>
    <w:rsid w:val="63CA58DD"/>
    <w:rsid w:val="63CE356C"/>
    <w:rsid w:val="63D424EF"/>
    <w:rsid w:val="63D67F31"/>
    <w:rsid w:val="63E35D12"/>
    <w:rsid w:val="63FE4EB5"/>
    <w:rsid w:val="640B10BF"/>
    <w:rsid w:val="6418486A"/>
    <w:rsid w:val="64184C55"/>
    <w:rsid w:val="645C08F1"/>
    <w:rsid w:val="64754CB1"/>
    <w:rsid w:val="64831D2E"/>
    <w:rsid w:val="64844338"/>
    <w:rsid w:val="648A47B6"/>
    <w:rsid w:val="648F4E80"/>
    <w:rsid w:val="64EE053F"/>
    <w:rsid w:val="654477AC"/>
    <w:rsid w:val="65676711"/>
    <w:rsid w:val="65C06265"/>
    <w:rsid w:val="666004AD"/>
    <w:rsid w:val="668A2862"/>
    <w:rsid w:val="66F74058"/>
    <w:rsid w:val="670B0904"/>
    <w:rsid w:val="671202EA"/>
    <w:rsid w:val="671F6FDB"/>
    <w:rsid w:val="672F0CB1"/>
    <w:rsid w:val="67556715"/>
    <w:rsid w:val="67902998"/>
    <w:rsid w:val="679720DB"/>
    <w:rsid w:val="67BB3C02"/>
    <w:rsid w:val="67C948C8"/>
    <w:rsid w:val="67F14957"/>
    <w:rsid w:val="680545F9"/>
    <w:rsid w:val="68127CA1"/>
    <w:rsid w:val="68462EA0"/>
    <w:rsid w:val="6854743C"/>
    <w:rsid w:val="68A13454"/>
    <w:rsid w:val="68EC7CB2"/>
    <w:rsid w:val="69300193"/>
    <w:rsid w:val="69741C50"/>
    <w:rsid w:val="69CD1302"/>
    <w:rsid w:val="69D24549"/>
    <w:rsid w:val="6A1C1474"/>
    <w:rsid w:val="6A633F0C"/>
    <w:rsid w:val="6A6754CD"/>
    <w:rsid w:val="6A945A9B"/>
    <w:rsid w:val="6AA563A9"/>
    <w:rsid w:val="6AEA2988"/>
    <w:rsid w:val="6B0D6695"/>
    <w:rsid w:val="6B155834"/>
    <w:rsid w:val="6B18088B"/>
    <w:rsid w:val="6B294019"/>
    <w:rsid w:val="6B537455"/>
    <w:rsid w:val="6BA07380"/>
    <w:rsid w:val="6BE10C67"/>
    <w:rsid w:val="6C490484"/>
    <w:rsid w:val="6C930AE4"/>
    <w:rsid w:val="6CA41265"/>
    <w:rsid w:val="6CA874F3"/>
    <w:rsid w:val="6CC10560"/>
    <w:rsid w:val="6CC91860"/>
    <w:rsid w:val="6CD5347D"/>
    <w:rsid w:val="6CF55FCB"/>
    <w:rsid w:val="6D035459"/>
    <w:rsid w:val="6D1A42F7"/>
    <w:rsid w:val="6D1C038D"/>
    <w:rsid w:val="6D777B45"/>
    <w:rsid w:val="6D8215FE"/>
    <w:rsid w:val="6D93291F"/>
    <w:rsid w:val="6D9838BD"/>
    <w:rsid w:val="6DD0636B"/>
    <w:rsid w:val="6DD72F0E"/>
    <w:rsid w:val="6E033242"/>
    <w:rsid w:val="6E102A0C"/>
    <w:rsid w:val="6E450AE0"/>
    <w:rsid w:val="6E636E1D"/>
    <w:rsid w:val="6E87135C"/>
    <w:rsid w:val="6EB159C7"/>
    <w:rsid w:val="6EC05B55"/>
    <w:rsid w:val="6EC73260"/>
    <w:rsid w:val="6EE460F8"/>
    <w:rsid w:val="6F0C033D"/>
    <w:rsid w:val="6F24276B"/>
    <w:rsid w:val="6F25742D"/>
    <w:rsid w:val="6F3B0EF7"/>
    <w:rsid w:val="6F5748DD"/>
    <w:rsid w:val="6F6A455F"/>
    <w:rsid w:val="6F760B24"/>
    <w:rsid w:val="6FD85B76"/>
    <w:rsid w:val="700B3712"/>
    <w:rsid w:val="702D7F6B"/>
    <w:rsid w:val="703B084C"/>
    <w:rsid w:val="704310D1"/>
    <w:rsid w:val="706D3C70"/>
    <w:rsid w:val="70A94CC8"/>
    <w:rsid w:val="70B70481"/>
    <w:rsid w:val="70CD6221"/>
    <w:rsid w:val="710E3010"/>
    <w:rsid w:val="71D92F74"/>
    <w:rsid w:val="721232F7"/>
    <w:rsid w:val="7214068D"/>
    <w:rsid w:val="72876DEB"/>
    <w:rsid w:val="72C044A1"/>
    <w:rsid w:val="72C82DDB"/>
    <w:rsid w:val="72CE307C"/>
    <w:rsid w:val="72CF5F88"/>
    <w:rsid w:val="72D8279D"/>
    <w:rsid w:val="731B682F"/>
    <w:rsid w:val="73213242"/>
    <w:rsid w:val="733F310D"/>
    <w:rsid w:val="736C0658"/>
    <w:rsid w:val="73C6697E"/>
    <w:rsid w:val="742B41E8"/>
    <w:rsid w:val="74BE03A6"/>
    <w:rsid w:val="74BE288E"/>
    <w:rsid w:val="75315330"/>
    <w:rsid w:val="7547484E"/>
    <w:rsid w:val="75537FCB"/>
    <w:rsid w:val="75D448D6"/>
    <w:rsid w:val="75DC75CE"/>
    <w:rsid w:val="760358FD"/>
    <w:rsid w:val="76067A3F"/>
    <w:rsid w:val="760826FB"/>
    <w:rsid w:val="762B1C02"/>
    <w:rsid w:val="76783F09"/>
    <w:rsid w:val="767A627F"/>
    <w:rsid w:val="76970BE9"/>
    <w:rsid w:val="76AB31AF"/>
    <w:rsid w:val="76C02781"/>
    <w:rsid w:val="76CF41D8"/>
    <w:rsid w:val="76F13CA5"/>
    <w:rsid w:val="76FB702E"/>
    <w:rsid w:val="777C2CA0"/>
    <w:rsid w:val="778B254E"/>
    <w:rsid w:val="77900E7D"/>
    <w:rsid w:val="77EE3255"/>
    <w:rsid w:val="78623394"/>
    <w:rsid w:val="7872717E"/>
    <w:rsid w:val="78B00EED"/>
    <w:rsid w:val="78EB42AB"/>
    <w:rsid w:val="79135EA3"/>
    <w:rsid w:val="791F21A9"/>
    <w:rsid w:val="794C7835"/>
    <w:rsid w:val="796B347E"/>
    <w:rsid w:val="79902E08"/>
    <w:rsid w:val="79B77AFD"/>
    <w:rsid w:val="79D73853"/>
    <w:rsid w:val="7A0D48AB"/>
    <w:rsid w:val="7A5B3CF3"/>
    <w:rsid w:val="7A9A1EA4"/>
    <w:rsid w:val="7AA0261E"/>
    <w:rsid w:val="7AB819AD"/>
    <w:rsid w:val="7ABA4E4E"/>
    <w:rsid w:val="7AF84F8C"/>
    <w:rsid w:val="7AFD5EEC"/>
    <w:rsid w:val="7B127A63"/>
    <w:rsid w:val="7B1A2C8D"/>
    <w:rsid w:val="7B6B270A"/>
    <w:rsid w:val="7B6D3913"/>
    <w:rsid w:val="7BB32526"/>
    <w:rsid w:val="7BB53C3F"/>
    <w:rsid w:val="7BBC5AB7"/>
    <w:rsid w:val="7BBE3A01"/>
    <w:rsid w:val="7BCD6BDC"/>
    <w:rsid w:val="7C0C11A8"/>
    <w:rsid w:val="7C14735D"/>
    <w:rsid w:val="7C3E12A0"/>
    <w:rsid w:val="7C510C49"/>
    <w:rsid w:val="7C5A5435"/>
    <w:rsid w:val="7C993A37"/>
    <w:rsid w:val="7CAB1C8C"/>
    <w:rsid w:val="7CD767AA"/>
    <w:rsid w:val="7D255415"/>
    <w:rsid w:val="7D325471"/>
    <w:rsid w:val="7D374FCD"/>
    <w:rsid w:val="7D424EAA"/>
    <w:rsid w:val="7D464CFB"/>
    <w:rsid w:val="7D7A588D"/>
    <w:rsid w:val="7DC02A7D"/>
    <w:rsid w:val="7DD341AE"/>
    <w:rsid w:val="7E0C219E"/>
    <w:rsid w:val="7E18219E"/>
    <w:rsid w:val="7E206EC8"/>
    <w:rsid w:val="7E286A6E"/>
    <w:rsid w:val="7E490FDF"/>
    <w:rsid w:val="7E681C8F"/>
    <w:rsid w:val="7E750D36"/>
    <w:rsid w:val="7EA94C29"/>
    <w:rsid w:val="7ED515EB"/>
    <w:rsid w:val="7F360D4C"/>
    <w:rsid w:val="7F5C1428"/>
    <w:rsid w:val="7F7C6DCD"/>
    <w:rsid w:val="7FD13BEB"/>
    <w:rsid w:val="7FEF62ED"/>
    <w:rsid w:val="7FF74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58"/>
    <w:unhideWhenUsed/>
    <w:qFormat/>
    <w:uiPriority w:val="99"/>
    <w:rPr>
      <w:b/>
      <w:bCs/>
    </w:rPr>
  </w:style>
  <w:style w:type="paragraph" w:styleId="5">
    <w:name w:val="annotation text"/>
    <w:basedOn w:val="1"/>
    <w:link w:val="50"/>
    <w:unhideWhenUsed/>
    <w:qFormat/>
    <w:uiPriority w:val="99"/>
    <w:pPr>
      <w:jc w:val="left"/>
    </w:pPr>
  </w:style>
  <w:style w:type="paragraph" w:styleId="6">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Normal Indent"/>
    <w:basedOn w:val="1"/>
    <w:link w:val="42"/>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76"/>
    <w:semiHidden/>
    <w:unhideWhenUsed/>
    <w:qFormat/>
    <w:uiPriority w:val="99"/>
    <w:rPr>
      <w:rFonts w:ascii="宋体"/>
      <w:sz w:val="18"/>
      <w:szCs w:val="18"/>
    </w:rPr>
  </w:style>
  <w:style w:type="paragraph" w:styleId="10">
    <w:name w:val="Body Text Indent"/>
    <w:basedOn w:val="1"/>
    <w:next w:val="1"/>
    <w:link w:val="51"/>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40"/>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32"/>
    <w:qFormat/>
    <w:uiPriority w:val="99"/>
    <w:pPr>
      <w:tabs>
        <w:tab w:val="center" w:pos="4153"/>
        <w:tab w:val="right" w:pos="8306"/>
      </w:tabs>
      <w:snapToGrid w:val="0"/>
      <w:jc w:val="left"/>
    </w:pPr>
    <w:rPr>
      <w:sz w:val="18"/>
      <w:szCs w:val="18"/>
    </w:rPr>
  </w:style>
  <w:style w:type="paragraph" w:styleId="16">
    <w:name w:val="Body Text First Indent 2"/>
    <w:basedOn w:val="10"/>
    <w:unhideWhenUsed/>
    <w:qFormat/>
    <w:uiPriority w:val="99"/>
    <w:pPr>
      <w:ind w:firstLine="420"/>
    </w:p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Title"/>
    <w:basedOn w:val="1"/>
    <w:link w:val="41"/>
    <w:qFormat/>
    <w:uiPriority w:val="0"/>
    <w:pPr>
      <w:widowControl/>
      <w:overflowPunct w:val="0"/>
      <w:autoSpaceDE w:val="0"/>
      <w:autoSpaceDN w:val="0"/>
      <w:adjustRightInd w:val="0"/>
      <w:jc w:val="center"/>
      <w:textAlignment w:val="baseline"/>
    </w:pPr>
    <w:rPr>
      <w:b/>
      <w:kern w:val="0"/>
      <w:sz w:val="24"/>
      <w:szCs w:val="20"/>
      <w:lang w:val="en-GB"/>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unhideWhenUsed/>
    <w:qFormat/>
    <w:uiPriority w:val="99"/>
    <w:rPr>
      <w:color w:val="5579A7"/>
      <w:u w:val="none"/>
    </w:rPr>
  </w:style>
  <w:style w:type="character" w:styleId="26">
    <w:name w:val="Hyperlink"/>
    <w:basedOn w:val="22"/>
    <w:qFormat/>
    <w:uiPriority w:val="0"/>
    <w:rPr>
      <w:color w:val="5579A7"/>
      <w:u w:val="none"/>
    </w:rPr>
  </w:style>
  <w:style w:type="character" w:styleId="27">
    <w:name w:val="annotation reference"/>
    <w:unhideWhenUsed/>
    <w:qFormat/>
    <w:uiPriority w:val="99"/>
    <w:rPr>
      <w:sz w:val="21"/>
      <w:szCs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2">
    <w:name w:val="页脚 Char"/>
    <w:link w:val="15"/>
    <w:qFormat/>
    <w:uiPriority w:val="99"/>
    <w:rPr>
      <w:kern w:val="2"/>
      <w:sz w:val="18"/>
      <w:szCs w:val="18"/>
    </w:rPr>
  </w:style>
  <w:style w:type="character" w:customStyle="1" w:styleId="33">
    <w:name w:val="sub_title s0"/>
    <w:basedOn w:val="22"/>
    <w:qFormat/>
    <w:uiPriority w:val="0"/>
  </w:style>
  <w:style w:type="character" w:customStyle="1" w:styleId="34">
    <w:name w:val="正文文本缩进 字符"/>
    <w:qFormat/>
    <w:uiPriority w:val="0"/>
    <w:rPr>
      <w:rFonts w:ascii="宋体" w:hAnsi="Courier New"/>
      <w:spacing w:val="-4"/>
      <w:kern w:val="2"/>
      <w:sz w:val="18"/>
    </w:rPr>
  </w:style>
  <w:style w:type="character" w:customStyle="1" w:styleId="35">
    <w:name w:val="jbox-icon-info"/>
    <w:basedOn w:val="22"/>
    <w:qFormat/>
    <w:uiPriority w:val="0"/>
  </w:style>
  <w:style w:type="character" w:customStyle="1" w:styleId="36">
    <w:name w:val="Plain Text Char Char"/>
    <w:link w:val="37"/>
    <w:qFormat/>
    <w:uiPriority w:val="0"/>
    <w:rPr>
      <w:rFonts w:ascii="宋体" w:hAnsi="Courier New" w:cs="宋体"/>
    </w:rPr>
  </w:style>
  <w:style w:type="paragraph" w:customStyle="1" w:styleId="37">
    <w:name w:val="纯文本1"/>
    <w:basedOn w:val="1"/>
    <w:link w:val="36"/>
    <w:qFormat/>
    <w:uiPriority w:val="0"/>
    <w:rPr>
      <w:rFonts w:ascii="宋体" w:hAnsi="Courier New" w:cs="宋体"/>
      <w:kern w:val="0"/>
      <w:sz w:val="20"/>
      <w:szCs w:val="20"/>
    </w:rPr>
  </w:style>
  <w:style w:type="character" w:customStyle="1" w:styleId="38">
    <w:name w:val="black601"/>
    <w:qFormat/>
    <w:uiPriority w:val="0"/>
    <w:rPr>
      <w:color w:val="666666"/>
    </w:rPr>
  </w:style>
  <w:style w:type="character" w:customStyle="1" w:styleId="39">
    <w:name w:val="纯文本 Char"/>
    <w:qFormat/>
    <w:uiPriority w:val="99"/>
    <w:rPr>
      <w:rFonts w:ascii="宋体" w:hAnsi="Courier New"/>
      <w:kern w:val="2"/>
      <w:sz w:val="24"/>
      <w:szCs w:val="24"/>
    </w:rPr>
  </w:style>
  <w:style w:type="character" w:customStyle="1" w:styleId="40">
    <w:name w:val="纯文本 Char2"/>
    <w:link w:val="12"/>
    <w:qFormat/>
    <w:uiPriority w:val="0"/>
    <w:rPr>
      <w:rFonts w:ascii="宋体" w:hAnsi="Courier New"/>
      <w:kern w:val="2"/>
      <w:sz w:val="24"/>
      <w:szCs w:val="24"/>
    </w:rPr>
  </w:style>
  <w:style w:type="character" w:customStyle="1" w:styleId="41">
    <w:name w:val="标题 Char"/>
    <w:link w:val="21"/>
    <w:qFormat/>
    <w:uiPriority w:val="0"/>
    <w:rPr>
      <w:b/>
      <w:sz w:val="24"/>
      <w:lang w:val="en-GB"/>
    </w:rPr>
  </w:style>
  <w:style w:type="character" w:customStyle="1" w:styleId="42">
    <w:name w:val="正文缩进 Char"/>
    <w:link w:val="7"/>
    <w:qFormat/>
    <w:uiPriority w:val="0"/>
    <w:rPr>
      <w:rFonts w:eastAsia="宋体"/>
      <w:kern w:val="2"/>
      <w:sz w:val="21"/>
      <w:lang w:val="en-US" w:eastAsia="zh-CN" w:bidi="ar-SA"/>
    </w:rPr>
  </w:style>
  <w:style w:type="character" w:customStyle="1" w:styleId="43">
    <w:name w:val="jbox-icon-error"/>
    <w:basedOn w:val="22"/>
    <w:qFormat/>
    <w:uiPriority w:val="0"/>
  </w:style>
  <w:style w:type="character" w:customStyle="1" w:styleId="44">
    <w:name w:val="jbox-icon-loading"/>
    <w:basedOn w:val="22"/>
    <w:qFormat/>
    <w:uiPriority w:val="0"/>
  </w:style>
  <w:style w:type="character" w:customStyle="1" w:styleId="45">
    <w:name w:val="z-窗体顶端 Char"/>
    <w:link w:val="46"/>
    <w:semiHidden/>
    <w:qFormat/>
    <w:uiPriority w:val="99"/>
    <w:rPr>
      <w:rFonts w:ascii="Arial" w:hAnsi="Arial"/>
      <w:vanish/>
      <w:sz w:val="16"/>
      <w:szCs w:val="16"/>
    </w:rPr>
  </w:style>
  <w:style w:type="paragraph" w:customStyle="1" w:styleId="46">
    <w:name w:val="z-窗体顶端1"/>
    <w:basedOn w:val="1"/>
    <w:next w:val="1"/>
    <w:link w:val="45"/>
    <w:unhideWhenUsed/>
    <w:qFormat/>
    <w:uiPriority w:val="99"/>
    <w:pPr>
      <w:widowControl/>
      <w:pBdr>
        <w:bottom w:val="single" w:color="auto" w:sz="6" w:space="1"/>
      </w:pBdr>
      <w:jc w:val="center"/>
    </w:pPr>
    <w:rPr>
      <w:rFonts w:ascii="Arial" w:hAnsi="Arial"/>
      <w:vanish/>
      <w:kern w:val="0"/>
      <w:sz w:val="16"/>
      <w:szCs w:val="16"/>
    </w:rPr>
  </w:style>
  <w:style w:type="character" w:customStyle="1" w:styleId="47">
    <w:name w:val="jbox-icon-question"/>
    <w:basedOn w:val="22"/>
    <w:qFormat/>
    <w:uiPriority w:val="0"/>
  </w:style>
  <w:style w:type="character" w:customStyle="1" w:styleId="48">
    <w:name w:val="标题 字符1"/>
    <w:qFormat/>
    <w:uiPriority w:val="10"/>
    <w:rPr>
      <w:rFonts w:ascii="等线 Light" w:hAnsi="等线 Light" w:cs="Times New Roman"/>
      <w:b/>
      <w:bCs/>
      <w:kern w:val="2"/>
      <w:sz w:val="32"/>
      <w:szCs w:val="32"/>
    </w:rPr>
  </w:style>
  <w:style w:type="character" w:customStyle="1" w:styleId="49">
    <w:name w:val="jbox-icon-success"/>
    <w:basedOn w:val="22"/>
    <w:qFormat/>
    <w:uiPriority w:val="0"/>
  </w:style>
  <w:style w:type="character" w:customStyle="1" w:styleId="50">
    <w:name w:val="批注文字 Char"/>
    <w:link w:val="5"/>
    <w:qFormat/>
    <w:uiPriority w:val="99"/>
    <w:rPr>
      <w:kern w:val="2"/>
      <w:sz w:val="28"/>
      <w:szCs w:val="24"/>
    </w:rPr>
  </w:style>
  <w:style w:type="character" w:customStyle="1" w:styleId="51">
    <w:name w:val="正文文本缩进 Char"/>
    <w:link w:val="10"/>
    <w:qFormat/>
    <w:uiPriority w:val="0"/>
    <w:rPr>
      <w:rFonts w:ascii="宋体" w:hAnsi="Courier New"/>
      <w:spacing w:val="-4"/>
      <w:kern w:val="2"/>
      <w:sz w:val="18"/>
    </w:rPr>
  </w:style>
  <w:style w:type="character" w:customStyle="1" w:styleId="52">
    <w:name w:val="maywed421"/>
    <w:qFormat/>
    <w:uiPriority w:val="0"/>
    <w:rPr>
      <w:color w:val="366FB6"/>
      <w:u w:val="none"/>
    </w:rPr>
  </w:style>
  <w:style w:type="character" w:customStyle="1" w:styleId="53">
    <w:name w:val="jbox-icon-warning"/>
    <w:basedOn w:val="22"/>
    <w:qFormat/>
    <w:uiPriority w:val="0"/>
  </w:style>
  <w:style w:type="character" w:customStyle="1" w:styleId="54">
    <w:name w:val="jbox-icon-none"/>
    <w:basedOn w:val="22"/>
    <w:qFormat/>
    <w:uiPriority w:val="0"/>
    <w:rPr>
      <w:vanish/>
    </w:rPr>
  </w:style>
  <w:style w:type="character" w:customStyle="1" w:styleId="55">
    <w:name w:val="标题 1 Char"/>
    <w:link w:val="2"/>
    <w:qFormat/>
    <w:uiPriority w:val="9"/>
    <w:rPr>
      <w:b/>
      <w:bCs/>
      <w:kern w:val="44"/>
      <w:sz w:val="44"/>
      <w:szCs w:val="44"/>
    </w:rPr>
  </w:style>
  <w:style w:type="character" w:customStyle="1" w:styleId="56">
    <w:name w:val="z-窗体底端 Char"/>
    <w:link w:val="57"/>
    <w:semiHidden/>
    <w:qFormat/>
    <w:uiPriority w:val="99"/>
    <w:rPr>
      <w:rFonts w:ascii="Arial" w:hAnsi="Arial"/>
      <w:vanish/>
      <w:sz w:val="16"/>
      <w:szCs w:val="16"/>
    </w:rPr>
  </w:style>
  <w:style w:type="paragraph" w:customStyle="1" w:styleId="57">
    <w:name w:val="z-窗体底端1"/>
    <w:basedOn w:val="1"/>
    <w:next w:val="1"/>
    <w:link w:val="56"/>
    <w:unhideWhenUsed/>
    <w:qFormat/>
    <w:uiPriority w:val="99"/>
    <w:pPr>
      <w:widowControl/>
      <w:pBdr>
        <w:top w:val="single" w:color="auto" w:sz="6" w:space="1"/>
      </w:pBdr>
      <w:jc w:val="center"/>
    </w:pPr>
    <w:rPr>
      <w:rFonts w:ascii="Arial" w:hAnsi="Arial"/>
      <w:vanish/>
      <w:kern w:val="0"/>
      <w:sz w:val="16"/>
      <w:szCs w:val="16"/>
    </w:rPr>
  </w:style>
  <w:style w:type="character" w:customStyle="1" w:styleId="58">
    <w:name w:val="批注主题 Char"/>
    <w:link w:val="4"/>
    <w:semiHidden/>
    <w:qFormat/>
    <w:uiPriority w:val="99"/>
    <w:rPr>
      <w:b/>
      <w:bCs/>
      <w:kern w:val="2"/>
      <w:sz w:val="28"/>
      <w:szCs w:val="24"/>
    </w:rPr>
  </w:style>
  <w:style w:type="character" w:customStyle="1" w:styleId="59">
    <w:name w:val="纯文本 Char1"/>
    <w:qFormat/>
    <w:uiPriority w:val="0"/>
    <w:rPr>
      <w:rFonts w:ascii="宋体" w:hAnsi="Courier New"/>
      <w:kern w:val="2"/>
      <w:sz w:val="21"/>
    </w:rPr>
  </w:style>
  <w:style w:type="character" w:customStyle="1" w:styleId="60">
    <w:name w:val="jbox-icon"/>
    <w:basedOn w:val="22"/>
    <w:qFormat/>
    <w:uiPriority w:val="0"/>
  </w:style>
  <w:style w:type="character" w:customStyle="1" w:styleId="61">
    <w:name w:val="标题 1 Char Char"/>
    <w:qFormat/>
    <w:uiPriority w:val="0"/>
    <w:rPr>
      <w:rFonts w:eastAsia="宋体"/>
      <w:b/>
      <w:spacing w:val="-2"/>
      <w:sz w:val="24"/>
      <w:lang w:val="en-US" w:eastAsia="zh-CN" w:bidi="ar-SA"/>
    </w:rPr>
  </w:style>
  <w:style w:type="character" w:customStyle="1" w:styleId="62">
    <w:name w:val="标题 2 Char"/>
    <w:link w:val="3"/>
    <w:semiHidden/>
    <w:qFormat/>
    <w:uiPriority w:val="9"/>
    <w:rPr>
      <w:rFonts w:ascii="Cambria" w:hAnsi="Cambria" w:eastAsia="宋体" w:cs="Times New Roman"/>
      <w:b/>
      <w:bCs/>
      <w:kern w:val="2"/>
      <w:sz w:val="32"/>
      <w:szCs w:val="32"/>
    </w:rPr>
  </w:style>
  <w:style w:type="paragraph" w:customStyle="1" w:styleId="63">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6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p0"/>
    <w:basedOn w:val="1"/>
    <w:qFormat/>
    <w:uiPriority w:val="0"/>
    <w:pPr>
      <w:widowControl/>
      <w:spacing w:line="365" w:lineRule="atLeast"/>
      <w:ind w:left="1"/>
    </w:pPr>
    <w:rPr>
      <w:kern w:val="0"/>
      <w:sz w:val="20"/>
      <w:szCs w:val="20"/>
    </w:rPr>
  </w:style>
  <w:style w:type="paragraph" w:customStyle="1" w:styleId="67">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彩色列表 - 强调文字颜色 11"/>
    <w:basedOn w:val="1"/>
    <w:qFormat/>
    <w:uiPriority w:val="34"/>
    <w:pPr>
      <w:ind w:firstLine="420" w:firstLineChars="200"/>
    </w:pPr>
    <w:rPr>
      <w:rFonts w:ascii="Calibri" w:hAnsi="Calibri"/>
      <w:sz w:val="21"/>
      <w:szCs w:val="22"/>
    </w:rPr>
  </w:style>
  <w:style w:type="paragraph" w:customStyle="1" w:styleId="69">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70">
    <w:name w:val="Char Char Char Char1"/>
    <w:basedOn w:val="1"/>
    <w:qFormat/>
    <w:uiPriority w:val="0"/>
    <w:rPr>
      <w:rFonts w:ascii="Tahoma" w:hAnsi="Tahoma"/>
      <w:sz w:val="24"/>
      <w:szCs w:val="20"/>
    </w:rPr>
  </w:style>
  <w:style w:type="paragraph" w:customStyle="1" w:styleId="71">
    <w:name w:val="List Paragraph1"/>
    <w:basedOn w:val="1"/>
    <w:qFormat/>
    <w:uiPriority w:val="0"/>
    <w:pPr>
      <w:ind w:firstLine="420" w:firstLineChars="200"/>
    </w:pPr>
    <w:rPr>
      <w:sz w:val="21"/>
    </w:rPr>
  </w:style>
  <w:style w:type="paragraph" w:customStyle="1" w:styleId="72">
    <w:name w:val="默认段落字体 Para Char Char Char Char Char Char Char Char Char1 Char Char Char Char"/>
    <w:basedOn w:val="1"/>
    <w:qFormat/>
    <w:uiPriority w:val="0"/>
    <w:rPr>
      <w:rFonts w:ascii="Tahoma" w:hAnsi="Tahoma"/>
      <w:sz w:val="24"/>
      <w:szCs w:val="20"/>
    </w:r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7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76">
    <w:name w:val="文档结构图 Char"/>
    <w:basedOn w:val="22"/>
    <w:link w:val="9"/>
    <w:semiHidden/>
    <w:qFormat/>
    <w:uiPriority w:val="99"/>
    <w:rPr>
      <w:rFonts w:ascii="宋体"/>
      <w:kern w:val="2"/>
      <w:sz w:val="18"/>
      <w:szCs w:val="18"/>
    </w:rPr>
  </w:style>
  <w:style w:type="paragraph" w:styleId="7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05682-7DA9-478A-996A-EEA20A1417E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2654</Words>
  <Characters>15128</Characters>
  <Lines>126</Lines>
  <Paragraphs>35</Paragraphs>
  <TotalTime>22</TotalTime>
  <ScaleCrop>false</ScaleCrop>
  <LinksUpToDate>false</LinksUpToDate>
  <CharactersWithSpaces>17747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2021-10-14T07:44:00Z</dcterms:created>
  <dc:creator>jj</dc:creator>
  <cp:lastModifiedBy>Young</cp:lastModifiedBy>
  <cp:lastPrinted>2018-12-24T02:45:00Z</cp:lastPrinted>
  <dcterms:modified xsi:type="dcterms:W3CDTF">2021-10-29T08:36:21Z</dcterms:modified>
  <dc:title>求是招标代理有限公司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6338E70CD6A546198683F4B9893E9A84</vt:lpwstr>
  </property>
</Properties>
</file>