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beforeLines="200" w:after="240" w:afterLines="100"/>
        <w:ind w:left="177" w:hanging="177" w:hangingChars="28"/>
        <w:jc w:val="left"/>
        <w:rPr>
          <w:rFonts w:ascii="华文中宋" w:hAnsi="华文中宋" w:eastAsia="华文中宋" w:cs="Arial"/>
          <w:color w:val="000000"/>
          <w:w w:val="80"/>
          <w:kern w:val="0"/>
          <w:sz w:val="90"/>
          <w:szCs w:val="90"/>
        </w:rPr>
      </w:pPr>
      <w:r>
        <w:rPr>
          <w:rFonts w:hint="eastAsia" w:ascii="华文中宋" w:hAnsi="华文中宋" w:eastAsia="华文中宋" w:cs="Arial"/>
          <w:color w:val="000000"/>
          <w:w w:val="66"/>
          <w:kern w:val="0"/>
          <w:sz w:val="96"/>
          <w:szCs w:val="84"/>
        </w:rPr>
        <w:t>温州市苍南县公款竞争性存放</w:t>
      </w:r>
    </w:p>
    <w:p>
      <w:pPr>
        <w:spacing w:after="600" w:afterLines="250"/>
        <w:jc w:val="center"/>
        <w:rPr>
          <w:rFonts w:ascii="华文中宋" w:hAnsi="华文中宋" w:eastAsia="华文中宋" w:cs="Arial"/>
          <w:color w:val="000000"/>
          <w:w w:val="90"/>
          <w:sz w:val="100"/>
          <w:szCs w:val="100"/>
        </w:rPr>
      </w:pPr>
      <w:r>
        <w:rPr>
          <w:rFonts w:hint="eastAsia" w:ascii="华文中宋" w:hAnsi="华文中宋" w:eastAsia="华文中宋" w:cs="Arial"/>
          <w:color w:val="000000"/>
          <w:w w:val="90"/>
          <w:sz w:val="100"/>
          <w:szCs w:val="100"/>
        </w:rPr>
        <w:t>招 标 文 件</w:t>
      </w:r>
    </w:p>
    <w:tbl>
      <w:tblPr>
        <w:tblStyle w:val="39"/>
        <w:tblW w:w="8779" w:type="dxa"/>
        <w:tblInd w:w="108" w:type="dxa"/>
        <w:tblLayout w:type="fixed"/>
        <w:tblCellMar>
          <w:top w:w="0" w:type="dxa"/>
          <w:left w:w="108" w:type="dxa"/>
          <w:bottom w:w="0" w:type="dxa"/>
          <w:right w:w="108" w:type="dxa"/>
        </w:tblCellMar>
      </w:tblPr>
      <w:tblGrid>
        <w:gridCol w:w="1908"/>
        <w:gridCol w:w="6871"/>
      </w:tblGrid>
      <w:tr>
        <w:tblPrEx>
          <w:tblCellMar>
            <w:top w:w="0" w:type="dxa"/>
            <w:left w:w="108" w:type="dxa"/>
            <w:bottom w:w="0" w:type="dxa"/>
            <w:right w:w="108" w:type="dxa"/>
          </w:tblCellMar>
        </w:tblPrEx>
        <w:trPr>
          <w:trHeight w:val="567" w:hRule="atLeast"/>
        </w:trPr>
        <w:tc>
          <w:tcPr>
            <w:tcW w:w="1908"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项目名称:</w:t>
            </w:r>
          </w:p>
        </w:tc>
        <w:tc>
          <w:tcPr>
            <w:tcW w:w="6871" w:type="dxa"/>
            <w:vAlign w:val="center"/>
          </w:tcPr>
          <w:p>
            <w:pPr>
              <w:spacing w:line="240" w:lineRule="auto"/>
              <w:ind w:left="-9" w:leftChars="-4" w:hanging="1"/>
              <w:rPr>
                <w:rFonts w:hint="eastAsia" w:ascii="仿宋" w:hAnsi="仿宋" w:eastAsia="仿宋" w:cs="Arial"/>
                <w:color w:val="000000"/>
                <w:kern w:val="0"/>
                <w:sz w:val="28"/>
                <w:lang w:eastAsia="zh-CN"/>
              </w:rPr>
            </w:pPr>
            <w:r>
              <w:rPr>
                <w:rFonts w:hint="eastAsia" w:ascii="仿宋" w:hAnsi="仿宋" w:cs="Arial"/>
                <w:color w:val="000000"/>
                <w:kern w:val="0"/>
                <w:sz w:val="28"/>
                <w:lang w:eastAsia="zh-CN"/>
              </w:rPr>
              <w:t>苍南县人民法院2024年度公款竞争性存放项目</w:t>
            </w:r>
          </w:p>
        </w:tc>
      </w:tr>
      <w:tr>
        <w:tblPrEx>
          <w:tblCellMar>
            <w:top w:w="0" w:type="dxa"/>
            <w:left w:w="108" w:type="dxa"/>
            <w:bottom w:w="0" w:type="dxa"/>
            <w:right w:w="108" w:type="dxa"/>
          </w:tblCellMar>
        </w:tblPrEx>
        <w:trPr>
          <w:trHeight w:val="567" w:hRule="atLeast"/>
        </w:trPr>
        <w:tc>
          <w:tcPr>
            <w:tcW w:w="1908"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项目编号:</w:t>
            </w:r>
          </w:p>
        </w:tc>
        <w:tc>
          <w:tcPr>
            <w:tcW w:w="6871" w:type="dxa"/>
            <w:vAlign w:val="center"/>
          </w:tcPr>
          <w:p>
            <w:pPr>
              <w:spacing w:line="240" w:lineRule="auto"/>
              <w:ind w:left="-9" w:leftChars="-4" w:hanging="1"/>
              <w:rPr>
                <w:rFonts w:hint="eastAsia" w:ascii="仿宋" w:hAnsi="仿宋" w:eastAsia="仿宋" w:cs="Arial"/>
                <w:color w:val="000000"/>
                <w:kern w:val="0"/>
                <w:sz w:val="28"/>
                <w:lang w:eastAsia="zh-CN"/>
              </w:rPr>
            </w:pPr>
            <w:r>
              <w:rPr>
                <w:rFonts w:hint="eastAsia" w:ascii="仿宋" w:hAnsi="仿宋" w:cs="Arial"/>
                <w:color w:val="000000"/>
                <w:kern w:val="0"/>
                <w:sz w:val="28"/>
                <w:lang w:eastAsia="zh-CN"/>
              </w:rPr>
              <w:t>苍产告字[2024]04号</w:t>
            </w:r>
          </w:p>
        </w:tc>
      </w:tr>
      <w:tr>
        <w:tblPrEx>
          <w:tblCellMar>
            <w:top w:w="0" w:type="dxa"/>
            <w:left w:w="108" w:type="dxa"/>
            <w:bottom w:w="0" w:type="dxa"/>
            <w:right w:w="108" w:type="dxa"/>
          </w:tblCellMar>
        </w:tblPrEx>
        <w:trPr>
          <w:trHeight w:val="567" w:hRule="atLeast"/>
        </w:trPr>
        <w:tc>
          <w:tcPr>
            <w:tcW w:w="1908"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招 标 人:</w:t>
            </w:r>
          </w:p>
        </w:tc>
        <w:tc>
          <w:tcPr>
            <w:tcW w:w="6871" w:type="dxa"/>
            <w:vAlign w:val="center"/>
          </w:tcPr>
          <w:p>
            <w:pPr>
              <w:spacing w:line="240" w:lineRule="auto"/>
              <w:ind w:left="140" w:right="192" w:rightChars="80" w:hanging="140" w:hangingChars="50"/>
              <w:rPr>
                <w:rFonts w:ascii="仿宋" w:hAnsi="仿宋" w:cs="Arial"/>
                <w:color w:val="000000"/>
                <w:kern w:val="0"/>
                <w:sz w:val="28"/>
              </w:rPr>
            </w:pPr>
            <w:r>
              <w:rPr>
                <w:rFonts w:hint="eastAsia" w:ascii="仿宋" w:hAnsi="仿宋" w:cs="Arial"/>
                <w:color w:val="000000"/>
                <w:kern w:val="0"/>
                <w:sz w:val="28"/>
              </w:rPr>
              <w:t>苍南县人民法院</w:t>
            </w:r>
          </w:p>
        </w:tc>
      </w:tr>
      <w:tr>
        <w:tblPrEx>
          <w:tblCellMar>
            <w:top w:w="0" w:type="dxa"/>
            <w:left w:w="108" w:type="dxa"/>
            <w:bottom w:w="0" w:type="dxa"/>
            <w:right w:w="108" w:type="dxa"/>
          </w:tblCellMar>
        </w:tblPrEx>
        <w:trPr>
          <w:trHeight w:val="567" w:hRule="atLeast"/>
        </w:trPr>
        <w:tc>
          <w:tcPr>
            <w:tcW w:w="1908"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联 系 人:</w:t>
            </w:r>
          </w:p>
        </w:tc>
        <w:tc>
          <w:tcPr>
            <w:tcW w:w="6871"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陈女士</w:t>
            </w:r>
          </w:p>
        </w:tc>
      </w:tr>
      <w:tr>
        <w:tblPrEx>
          <w:tblCellMar>
            <w:top w:w="0" w:type="dxa"/>
            <w:left w:w="108" w:type="dxa"/>
            <w:bottom w:w="0" w:type="dxa"/>
            <w:right w:w="108" w:type="dxa"/>
          </w:tblCellMar>
        </w:tblPrEx>
        <w:trPr>
          <w:trHeight w:val="455" w:hRule="atLeast"/>
        </w:trPr>
        <w:tc>
          <w:tcPr>
            <w:tcW w:w="1908"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联系电话:</w:t>
            </w:r>
          </w:p>
        </w:tc>
        <w:tc>
          <w:tcPr>
            <w:tcW w:w="6871" w:type="dxa"/>
            <w:vAlign w:val="center"/>
          </w:tcPr>
          <w:p>
            <w:pPr>
              <w:spacing w:line="240" w:lineRule="auto"/>
              <w:rPr>
                <w:rFonts w:ascii="仿宋" w:hAnsi="仿宋" w:cs="Arial"/>
                <w:color w:val="000000"/>
                <w:kern w:val="0"/>
                <w:sz w:val="28"/>
              </w:rPr>
            </w:pPr>
            <w:r>
              <w:rPr>
                <w:rFonts w:hint="eastAsia" w:cs="Arial"/>
                <w:kern w:val="0"/>
                <w:sz w:val="28"/>
              </w:rPr>
              <w:t>0577-64712608</w:t>
            </w:r>
            <w:r>
              <w:rPr>
                <w:rFonts w:ascii="Calibri" w:hAnsi="Calibri" w:cs="Calibri"/>
                <w:color w:val="000000"/>
                <w:kern w:val="0"/>
                <w:sz w:val="28"/>
              </w:rPr>
              <w:t> </w:t>
            </w:r>
          </w:p>
        </w:tc>
      </w:tr>
      <w:tr>
        <w:tblPrEx>
          <w:tblCellMar>
            <w:top w:w="0" w:type="dxa"/>
            <w:left w:w="108" w:type="dxa"/>
            <w:bottom w:w="0" w:type="dxa"/>
            <w:right w:w="108" w:type="dxa"/>
          </w:tblCellMar>
        </w:tblPrEx>
        <w:trPr>
          <w:trHeight w:val="567" w:hRule="atLeast"/>
        </w:trPr>
        <w:tc>
          <w:tcPr>
            <w:tcW w:w="1908"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代理机构:</w:t>
            </w:r>
          </w:p>
        </w:tc>
        <w:tc>
          <w:tcPr>
            <w:tcW w:w="6871"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杭州华旗招标代理有限公司</w:t>
            </w:r>
          </w:p>
        </w:tc>
      </w:tr>
      <w:tr>
        <w:tblPrEx>
          <w:tblCellMar>
            <w:top w:w="0" w:type="dxa"/>
            <w:left w:w="108" w:type="dxa"/>
            <w:bottom w:w="0" w:type="dxa"/>
            <w:right w:w="108" w:type="dxa"/>
          </w:tblCellMar>
        </w:tblPrEx>
        <w:trPr>
          <w:trHeight w:val="552" w:hRule="atLeast"/>
        </w:trPr>
        <w:tc>
          <w:tcPr>
            <w:tcW w:w="1908"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联 系 人:</w:t>
            </w:r>
          </w:p>
        </w:tc>
        <w:tc>
          <w:tcPr>
            <w:tcW w:w="6871"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陈维文</w:t>
            </w:r>
          </w:p>
        </w:tc>
      </w:tr>
      <w:tr>
        <w:tblPrEx>
          <w:tblCellMar>
            <w:top w:w="0" w:type="dxa"/>
            <w:left w:w="108" w:type="dxa"/>
            <w:bottom w:w="0" w:type="dxa"/>
            <w:right w:w="108" w:type="dxa"/>
          </w:tblCellMar>
        </w:tblPrEx>
        <w:trPr>
          <w:trHeight w:val="567" w:hRule="atLeast"/>
        </w:trPr>
        <w:tc>
          <w:tcPr>
            <w:tcW w:w="1908" w:type="dxa"/>
            <w:vAlign w:val="center"/>
          </w:tcPr>
          <w:p>
            <w:pPr>
              <w:spacing w:line="240" w:lineRule="auto"/>
              <w:rPr>
                <w:rFonts w:ascii="仿宋" w:hAnsi="仿宋" w:cs="Arial"/>
                <w:color w:val="000000"/>
                <w:kern w:val="0"/>
                <w:sz w:val="28"/>
              </w:rPr>
            </w:pPr>
            <w:r>
              <w:rPr>
                <w:rFonts w:hint="eastAsia" w:ascii="仿宋" w:hAnsi="仿宋" w:cs="Arial"/>
                <w:color w:val="000000"/>
                <w:kern w:val="0"/>
                <w:sz w:val="28"/>
              </w:rPr>
              <w:t>联系电话:</w:t>
            </w:r>
          </w:p>
        </w:tc>
        <w:tc>
          <w:tcPr>
            <w:tcW w:w="6871" w:type="dxa"/>
            <w:vAlign w:val="center"/>
          </w:tcPr>
          <w:p>
            <w:pPr>
              <w:spacing w:line="240" w:lineRule="auto"/>
              <w:rPr>
                <w:rFonts w:ascii="仿宋" w:hAnsi="仿宋" w:cs="Arial"/>
                <w:color w:val="000000"/>
                <w:kern w:val="0"/>
                <w:sz w:val="28"/>
              </w:rPr>
            </w:pPr>
            <w:r>
              <w:rPr>
                <w:rFonts w:ascii="仿宋" w:hAnsi="仿宋" w:cs="Arial"/>
                <w:color w:val="000000"/>
                <w:kern w:val="0"/>
                <w:sz w:val="28"/>
              </w:rPr>
              <w:t>13738772079</w:t>
            </w:r>
          </w:p>
        </w:tc>
      </w:tr>
      <w:tr>
        <w:tblPrEx>
          <w:tblCellMar>
            <w:top w:w="0" w:type="dxa"/>
            <w:left w:w="108" w:type="dxa"/>
            <w:bottom w:w="0" w:type="dxa"/>
            <w:right w:w="108" w:type="dxa"/>
          </w:tblCellMar>
        </w:tblPrEx>
        <w:trPr>
          <w:trHeight w:val="567" w:hRule="atLeast"/>
        </w:trPr>
        <w:tc>
          <w:tcPr>
            <w:tcW w:w="1908" w:type="dxa"/>
            <w:vAlign w:val="center"/>
          </w:tcPr>
          <w:p>
            <w:pPr>
              <w:spacing w:line="240" w:lineRule="auto"/>
              <w:jc w:val="right"/>
              <w:rPr>
                <w:rFonts w:ascii="仿宋" w:hAnsi="仿宋" w:cs="Arial"/>
                <w:color w:val="000000"/>
                <w:kern w:val="0"/>
                <w:sz w:val="28"/>
              </w:rPr>
            </w:pPr>
          </w:p>
        </w:tc>
        <w:tc>
          <w:tcPr>
            <w:tcW w:w="6871" w:type="dxa"/>
            <w:vAlign w:val="center"/>
          </w:tcPr>
          <w:p>
            <w:pPr>
              <w:spacing w:line="240" w:lineRule="auto"/>
              <w:rPr>
                <w:rFonts w:ascii="仿宋" w:hAnsi="仿宋" w:cs="Arial"/>
                <w:color w:val="000000"/>
                <w:kern w:val="0"/>
                <w:sz w:val="28"/>
              </w:rPr>
            </w:pPr>
          </w:p>
        </w:tc>
      </w:tr>
      <w:tr>
        <w:tblPrEx>
          <w:tblCellMar>
            <w:top w:w="0" w:type="dxa"/>
            <w:left w:w="108" w:type="dxa"/>
            <w:bottom w:w="0" w:type="dxa"/>
            <w:right w:w="108" w:type="dxa"/>
          </w:tblCellMar>
        </w:tblPrEx>
        <w:tc>
          <w:tcPr>
            <w:tcW w:w="1908" w:type="dxa"/>
            <w:vAlign w:val="center"/>
          </w:tcPr>
          <w:p>
            <w:pPr>
              <w:spacing w:line="240" w:lineRule="auto"/>
              <w:rPr>
                <w:rFonts w:ascii="华文中宋" w:hAnsi="华文中宋" w:eastAsia="华文中宋" w:cs="Arial"/>
                <w:color w:val="000000"/>
                <w:w w:val="90"/>
                <w:kern w:val="0"/>
                <w:sz w:val="28"/>
                <w:szCs w:val="30"/>
              </w:rPr>
            </w:pPr>
          </w:p>
        </w:tc>
        <w:tc>
          <w:tcPr>
            <w:tcW w:w="6871" w:type="dxa"/>
            <w:vAlign w:val="center"/>
          </w:tcPr>
          <w:p>
            <w:pPr>
              <w:spacing w:before="240" w:beforeLines="100" w:line="240" w:lineRule="auto"/>
              <w:ind w:firstLine="840" w:firstLineChars="300"/>
              <w:jc w:val="left"/>
              <w:rPr>
                <w:rFonts w:ascii="华文中宋" w:hAnsi="华文中宋" w:eastAsia="华文中宋" w:cs="Arial"/>
                <w:color w:val="000000"/>
                <w:w w:val="90"/>
                <w:kern w:val="0"/>
                <w:sz w:val="28"/>
                <w:szCs w:val="30"/>
              </w:rPr>
            </w:pPr>
            <w:r>
              <w:rPr>
                <w:rFonts w:hint="eastAsia" w:ascii="仿宋" w:hAnsi="仿宋" w:cs="Arial"/>
                <w:color w:val="000000"/>
                <w:kern w:val="0"/>
                <w:sz w:val="28"/>
              </w:rPr>
              <w:t>日 期：二○二三年</w:t>
            </w:r>
            <w:r>
              <w:rPr>
                <w:rFonts w:hint="eastAsia" w:ascii="仿宋" w:hAnsi="仿宋" w:cs="Arial"/>
                <w:color w:val="000000"/>
                <w:kern w:val="0"/>
                <w:sz w:val="28"/>
                <w:lang w:val="en-US" w:eastAsia="zh-CN"/>
              </w:rPr>
              <w:t>二</w:t>
            </w:r>
            <w:r>
              <w:rPr>
                <w:rFonts w:hint="eastAsia" w:ascii="仿宋" w:hAnsi="仿宋" w:cs="Arial"/>
                <w:color w:val="000000"/>
                <w:kern w:val="0"/>
                <w:sz w:val="28"/>
              </w:rPr>
              <w:t>月</w:t>
            </w:r>
          </w:p>
        </w:tc>
      </w:tr>
    </w:tbl>
    <w:p>
      <w:pPr>
        <w:jc w:val="center"/>
        <w:rPr>
          <w:rFonts w:ascii="华文中宋" w:hAnsi="华文中宋" w:eastAsia="华文中宋"/>
          <w:b/>
          <w:color w:val="000000"/>
          <w:sz w:val="44"/>
          <w:szCs w:val="44"/>
        </w:rPr>
        <w:sectPr>
          <w:headerReference r:id="rId6" w:type="first"/>
          <w:headerReference r:id="rId5" w:type="default"/>
          <w:pgSz w:w="11906" w:h="16838"/>
          <w:pgMar w:top="1440" w:right="1416" w:bottom="1440" w:left="1560" w:header="851" w:footer="992" w:gutter="0"/>
          <w:pgNumType w:fmt="numberInDash"/>
          <w:cols w:space="720" w:num="1"/>
          <w:titlePg/>
          <w:docGrid w:linePitch="312" w:charSpace="0"/>
        </w:sectPr>
      </w:pPr>
    </w:p>
    <w:p>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目</w:t>
      </w:r>
      <w:r>
        <w:rPr>
          <w:rFonts w:ascii="华文中宋" w:hAnsi="华文中宋" w:eastAsia="华文中宋"/>
          <w:b/>
          <w:color w:val="000000"/>
          <w:sz w:val="44"/>
          <w:szCs w:val="44"/>
        </w:rPr>
        <w:t xml:space="preserve">  </w:t>
      </w:r>
      <w:r>
        <w:rPr>
          <w:rFonts w:hint="eastAsia" w:ascii="华文中宋" w:hAnsi="华文中宋" w:eastAsia="华文中宋"/>
          <w:b/>
          <w:color w:val="000000"/>
          <w:sz w:val="44"/>
          <w:szCs w:val="44"/>
        </w:rPr>
        <w:t>录</w:t>
      </w:r>
    </w:p>
    <w:p>
      <w:pPr>
        <w:pStyle w:val="30"/>
        <w:tabs>
          <w:tab w:val="right" w:leader="dot" w:pos="8930"/>
        </w:tabs>
        <w:rPr>
          <w:rFonts w:ascii="仿宋" w:hAnsi="仿宋" w:cs="仿宋"/>
          <w:sz w:val="24"/>
          <w:szCs w:val="24"/>
        </w:rPr>
      </w:pPr>
      <w:r>
        <w:rPr>
          <w:rFonts w:hint="eastAsia" w:ascii="新宋体" w:hAnsi="新宋体" w:cs="新宋体"/>
          <w:bCs w:val="0"/>
          <w:caps w:val="0"/>
          <w:color w:val="000000"/>
          <w:sz w:val="22"/>
          <w:szCs w:val="22"/>
        </w:rPr>
        <w:fldChar w:fldCharType="begin"/>
      </w:r>
      <w:r>
        <w:rPr>
          <w:rFonts w:hint="eastAsia" w:ascii="新宋体" w:hAnsi="新宋体" w:cs="新宋体"/>
          <w:bCs w:val="0"/>
          <w:caps w:val="0"/>
          <w:color w:val="000000"/>
          <w:sz w:val="22"/>
          <w:szCs w:val="22"/>
        </w:rPr>
        <w:instrText xml:space="preserve"> TOC \o "1-2" \h \z \u </w:instrText>
      </w:r>
      <w:r>
        <w:rPr>
          <w:rFonts w:hint="eastAsia" w:ascii="新宋体" w:hAnsi="新宋体" w:cs="新宋体"/>
          <w:bCs w:val="0"/>
          <w:caps w:val="0"/>
          <w:color w:val="000000"/>
          <w:sz w:val="22"/>
          <w:szCs w:val="22"/>
        </w:rPr>
        <w:fldChar w:fldCharType="separate"/>
      </w:r>
      <w:r>
        <w:fldChar w:fldCharType="begin"/>
      </w:r>
      <w:r>
        <w:instrText xml:space="preserve"> HYPERLINK \l "_Toc12262" </w:instrText>
      </w:r>
      <w:r>
        <w:fldChar w:fldCharType="separate"/>
      </w:r>
      <w:r>
        <w:rPr>
          <w:rFonts w:hint="eastAsia" w:ascii="仿宋" w:hAnsi="仿宋" w:cs="仿宋"/>
          <w:sz w:val="24"/>
          <w:szCs w:val="24"/>
        </w:rPr>
        <w:t>第一章 招标公告</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_Toc12262 </w:instrText>
      </w:r>
      <w:r>
        <w:rPr>
          <w:rFonts w:hint="eastAsia" w:ascii="仿宋" w:hAnsi="仿宋" w:cs="仿宋"/>
          <w:sz w:val="24"/>
          <w:szCs w:val="24"/>
        </w:rPr>
        <w:fldChar w:fldCharType="separate"/>
      </w:r>
      <w:r>
        <w:rPr>
          <w:rFonts w:ascii="仿宋" w:hAnsi="仿宋" w:cs="仿宋"/>
          <w:sz w:val="24"/>
          <w:szCs w:val="24"/>
        </w:rPr>
        <w:t>- 3 -</w:t>
      </w:r>
      <w:r>
        <w:rPr>
          <w:rFonts w:hint="eastAsia" w:ascii="仿宋" w:hAnsi="仿宋" w:cs="仿宋"/>
          <w:sz w:val="24"/>
          <w:szCs w:val="24"/>
        </w:rPr>
        <w:fldChar w:fldCharType="end"/>
      </w:r>
      <w:r>
        <w:rPr>
          <w:rFonts w:hint="eastAsia" w:ascii="仿宋" w:hAnsi="仿宋" w:cs="仿宋"/>
          <w:sz w:val="24"/>
          <w:szCs w:val="24"/>
        </w:rPr>
        <w:fldChar w:fldCharType="end"/>
      </w:r>
    </w:p>
    <w:p>
      <w:pPr>
        <w:pStyle w:val="30"/>
        <w:tabs>
          <w:tab w:val="right" w:leader="dot" w:pos="8930"/>
        </w:tabs>
        <w:rPr>
          <w:rFonts w:ascii="仿宋" w:hAnsi="仿宋" w:cs="仿宋"/>
          <w:sz w:val="24"/>
          <w:szCs w:val="24"/>
        </w:rPr>
      </w:pPr>
      <w:r>
        <w:fldChar w:fldCharType="begin"/>
      </w:r>
      <w:r>
        <w:instrText xml:space="preserve"> HYPERLINK \l "_Toc2766" </w:instrText>
      </w:r>
      <w:r>
        <w:fldChar w:fldCharType="separate"/>
      </w:r>
      <w:r>
        <w:rPr>
          <w:rFonts w:hint="eastAsia" w:ascii="仿宋" w:hAnsi="仿宋" w:cs="仿宋"/>
          <w:sz w:val="24"/>
          <w:szCs w:val="24"/>
        </w:rPr>
        <w:t>第二章 招标要求</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_Toc2766 </w:instrText>
      </w:r>
      <w:r>
        <w:rPr>
          <w:rFonts w:hint="eastAsia" w:ascii="仿宋" w:hAnsi="仿宋" w:cs="仿宋"/>
          <w:sz w:val="24"/>
          <w:szCs w:val="24"/>
        </w:rPr>
        <w:fldChar w:fldCharType="separate"/>
      </w:r>
      <w:r>
        <w:rPr>
          <w:rFonts w:ascii="仿宋" w:hAnsi="仿宋" w:cs="仿宋"/>
          <w:sz w:val="24"/>
          <w:szCs w:val="24"/>
        </w:rPr>
        <w:t>- 3 -</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"_Toc25328" </w:instrText>
      </w:r>
      <w:r>
        <w:fldChar w:fldCharType="separate"/>
      </w:r>
      <w:r>
        <w:rPr>
          <w:rFonts w:hint="eastAsia" w:ascii="仿宋" w:hAnsi="仿宋" w:cs="仿宋"/>
          <w:sz w:val="24"/>
          <w:szCs w:val="24"/>
        </w:rPr>
        <w:t>一、项目概述</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_Toc25328 </w:instrText>
      </w:r>
      <w:r>
        <w:rPr>
          <w:rFonts w:hint="eastAsia" w:ascii="仿宋" w:hAnsi="仿宋" w:cs="仿宋"/>
          <w:sz w:val="24"/>
          <w:szCs w:val="24"/>
        </w:rPr>
        <w:fldChar w:fldCharType="separate"/>
      </w:r>
      <w:r>
        <w:rPr>
          <w:rFonts w:hint="eastAsia" w:ascii="仿宋" w:hAnsi="仿宋" w:cs="仿宋"/>
          <w:b/>
          <w:bCs/>
          <w:sz w:val="24"/>
          <w:szCs w:val="24"/>
        </w:rPr>
        <w:t>。</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"_Toc31468" </w:instrText>
      </w:r>
      <w:r>
        <w:fldChar w:fldCharType="separate"/>
      </w:r>
      <w:r>
        <w:rPr>
          <w:rFonts w:hint="eastAsia" w:ascii="仿宋" w:hAnsi="仿宋" w:cs="仿宋"/>
          <w:sz w:val="24"/>
          <w:szCs w:val="24"/>
        </w:rPr>
        <w:t>二、服务要求</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_Toc31468 </w:instrText>
      </w:r>
      <w:r>
        <w:rPr>
          <w:rFonts w:hint="eastAsia" w:ascii="仿宋" w:hAnsi="仿宋" w:cs="仿宋"/>
          <w:sz w:val="24"/>
          <w:szCs w:val="24"/>
        </w:rPr>
        <w:fldChar w:fldCharType="separate"/>
      </w:r>
      <w:r>
        <w:rPr>
          <w:rFonts w:hint="eastAsia" w:ascii="仿宋" w:hAnsi="仿宋" w:cs="仿宋"/>
          <w:b/>
          <w:bCs/>
          <w:sz w:val="24"/>
          <w:szCs w:val="24"/>
        </w:rPr>
        <w:t>。</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"_Toc14104" </w:instrText>
      </w:r>
      <w:r>
        <w:fldChar w:fldCharType="separate"/>
      </w:r>
      <w:r>
        <w:rPr>
          <w:rFonts w:hint="eastAsia" w:ascii="仿宋" w:hAnsi="仿宋" w:cs="仿宋"/>
          <w:bCs/>
          <w:caps/>
          <w:sz w:val="24"/>
          <w:szCs w:val="24"/>
        </w:rPr>
        <w:t>三</w:t>
      </w:r>
      <w:r>
        <w:rPr>
          <w:rFonts w:hint="eastAsia" w:ascii="仿宋" w:hAnsi="仿宋" w:cs="仿宋"/>
          <w:sz w:val="24"/>
          <w:szCs w:val="24"/>
        </w:rPr>
        <w:t>、其他</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_Toc14104 </w:instrText>
      </w:r>
      <w:r>
        <w:rPr>
          <w:rFonts w:hint="eastAsia" w:ascii="仿宋" w:hAnsi="仿宋" w:cs="仿宋"/>
          <w:sz w:val="24"/>
          <w:szCs w:val="24"/>
        </w:rPr>
        <w:fldChar w:fldCharType="separate"/>
      </w:r>
      <w:r>
        <w:rPr>
          <w:rFonts w:ascii="仿宋" w:hAnsi="仿宋" w:cs="仿宋"/>
          <w:sz w:val="24"/>
          <w:szCs w:val="24"/>
        </w:rPr>
        <w:t>- 5 -</w:t>
      </w:r>
      <w:r>
        <w:rPr>
          <w:rFonts w:hint="eastAsia" w:ascii="仿宋" w:hAnsi="仿宋" w:cs="仿宋"/>
          <w:sz w:val="24"/>
          <w:szCs w:val="24"/>
        </w:rPr>
        <w:fldChar w:fldCharType="end"/>
      </w:r>
      <w:r>
        <w:rPr>
          <w:rFonts w:hint="eastAsia" w:ascii="仿宋" w:hAnsi="仿宋" w:cs="仿宋"/>
          <w:sz w:val="24"/>
          <w:szCs w:val="24"/>
        </w:rPr>
        <w:fldChar w:fldCharType="end"/>
      </w:r>
    </w:p>
    <w:p>
      <w:pPr>
        <w:pStyle w:val="30"/>
        <w:tabs>
          <w:tab w:val="right" w:leader="dot" w:pos="8930"/>
        </w:tabs>
        <w:rPr>
          <w:rFonts w:ascii="仿宋" w:hAnsi="仿宋" w:cs="仿宋"/>
          <w:sz w:val="24"/>
          <w:szCs w:val="24"/>
        </w:rPr>
      </w:pPr>
      <w:r>
        <w:fldChar w:fldCharType="begin"/>
      </w:r>
      <w:r>
        <w:instrText xml:space="preserve"> HYPERLINK \l "_Toc25735" </w:instrText>
      </w:r>
      <w:r>
        <w:fldChar w:fldCharType="separate"/>
      </w:r>
      <w:r>
        <w:rPr>
          <w:rFonts w:hint="eastAsia" w:ascii="仿宋" w:hAnsi="仿宋" w:cs="仿宋"/>
          <w:sz w:val="24"/>
          <w:szCs w:val="24"/>
        </w:rPr>
        <w:t>第三章 投标须知</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_Toc25735 </w:instrText>
      </w:r>
      <w:r>
        <w:rPr>
          <w:rFonts w:hint="eastAsia" w:ascii="仿宋" w:hAnsi="仿宋" w:cs="仿宋"/>
          <w:sz w:val="24"/>
          <w:szCs w:val="24"/>
        </w:rPr>
        <w:fldChar w:fldCharType="separate"/>
      </w:r>
      <w:r>
        <w:rPr>
          <w:rFonts w:ascii="仿宋" w:hAnsi="仿宋" w:cs="仿宋"/>
          <w:sz w:val="24"/>
          <w:szCs w:val="24"/>
        </w:rPr>
        <w:t>- 7 -</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"_Toc13057" </w:instrText>
      </w:r>
      <w:r>
        <w:fldChar w:fldCharType="separate"/>
      </w:r>
      <w:r>
        <w:rPr>
          <w:rFonts w:hint="eastAsia" w:ascii="仿宋" w:hAnsi="仿宋" w:cs="仿宋"/>
          <w:sz w:val="24"/>
          <w:szCs w:val="24"/>
        </w:rPr>
        <w:t xml:space="preserve">一、总则 </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_Toc13057 </w:instrText>
      </w:r>
      <w:r>
        <w:rPr>
          <w:rFonts w:hint="eastAsia" w:ascii="仿宋" w:hAnsi="仿宋" w:cs="仿宋"/>
          <w:sz w:val="24"/>
          <w:szCs w:val="24"/>
        </w:rPr>
        <w:fldChar w:fldCharType="separate"/>
      </w:r>
      <w:r>
        <w:rPr>
          <w:rFonts w:ascii="仿宋" w:hAnsi="仿宋" w:cs="仿宋"/>
          <w:sz w:val="24"/>
          <w:szCs w:val="24"/>
        </w:rPr>
        <w:t>- 9 -</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"_Toc12657" </w:instrText>
      </w:r>
      <w:r>
        <w:fldChar w:fldCharType="separate"/>
      </w:r>
      <w:r>
        <w:rPr>
          <w:rFonts w:hint="eastAsia" w:ascii="仿宋" w:hAnsi="仿宋" w:cs="仿宋"/>
          <w:sz w:val="24"/>
          <w:szCs w:val="24"/>
        </w:rPr>
        <w:t>二、《招标文件》组成与说明</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_Toc12657 </w:instrText>
      </w:r>
      <w:r>
        <w:rPr>
          <w:rFonts w:hint="eastAsia" w:ascii="仿宋" w:hAnsi="仿宋" w:cs="仿宋"/>
          <w:sz w:val="24"/>
          <w:szCs w:val="24"/>
        </w:rPr>
        <w:fldChar w:fldCharType="separate"/>
      </w:r>
      <w:r>
        <w:rPr>
          <w:rFonts w:ascii="仿宋" w:hAnsi="仿宋" w:cs="仿宋"/>
          <w:sz w:val="24"/>
          <w:szCs w:val="24"/>
        </w:rPr>
        <w:t>- 11 -</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"_Toc28150" </w:instrText>
      </w:r>
      <w:r>
        <w:fldChar w:fldCharType="separate"/>
      </w:r>
      <w:r>
        <w:rPr>
          <w:rFonts w:hint="eastAsia" w:ascii="仿宋" w:hAnsi="仿宋" w:cs="仿宋"/>
          <w:sz w:val="24"/>
          <w:szCs w:val="24"/>
        </w:rPr>
        <w:t>三、《投标文件》的编制</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_Toc28150 </w:instrText>
      </w:r>
      <w:r>
        <w:rPr>
          <w:rFonts w:hint="eastAsia" w:ascii="仿宋" w:hAnsi="仿宋" w:cs="仿宋"/>
          <w:sz w:val="24"/>
          <w:szCs w:val="24"/>
        </w:rPr>
        <w:fldChar w:fldCharType="separate"/>
      </w:r>
      <w:r>
        <w:rPr>
          <w:rFonts w:ascii="仿宋" w:hAnsi="仿宋" w:cs="仿宋"/>
          <w:sz w:val="24"/>
          <w:szCs w:val="24"/>
        </w:rPr>
        <w:t>- 12 -</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"_Toc28826" </w:instrText>
      </w:r>
      <w:r>
        <w:fldChar w:fldCharType="separate"/>
      </w:r>
      <w:r>
        <w:rPr>
          <w:rFonts w:hint="eastAsia" w:ascii="仿宋" w:hAnsi="仿宋" w:cs="仿宋"/>
          <w:sz w:val="24"/>
          <w:szCs w:val="24"/>
        </w:rPr>
        <w:t>四、开标</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_Toc28826 </w:instrText>
      </w:r>
      <w:r>
        <w:rPr>
          <w:rFonts w:hint="eastAsia" w:ascii="仿宋" w:hAnsi="仿宋" w:cs="仿宋"/>
          <w:sz w:val="24"/>
          <w:szCs w:val="24"/>
        </w:rPr>
        <w:fldChar w:fldCharType="separate"/>
      </w:r>
      <w:r>
        <w:rPr>
          <w:rFonts w:ascii="仿宋" w:hAnsi="仿宋" w:cs="仿宋"/>
          <w:sz w:val="24"/>
          <w:szCs w:val="24"/>
        </w:rPr>
        <w:t>- 15 -</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"_Toc24835" </w:instrText>
      </w:r>
      <w:r>
        <w:fldChar w:fldCharType="separate"/>
      </w:r>
      <w:r>
        <w:rPr>
          <w:rFonts w:hint="eastAsia" w:ascii="仿宋" w:hAnsi="仿宋" w:cs="仿宋"/>
          <w:sz w:val="24"/>
          <w:szCs w:val="24"/>
        </w:rPr>
        <w:t>五、评标</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_Toc24835 </w:instrText>
      </w:r>
      <w:r>
        <w:rPr>
          <w:rFonts w:hint="eastAsia" w:ascii="仿宋" w:hAnsi="仿宋" w:cs="仿宋"/>
          <w:sz w:val="24"/>
          <w:szCs w:val="24"/>
        </w:rPr>
        <w:fldChar w:fldCharType="separate"/>
      </w:r>
      <w:r>
        <w:rPr>
          <w:rFonts w:ascii="仿宋" w:hAnsi="仿宋" w:cs="仿宋"/>
          <w:sz w:val="24"/>
          <w:szCs w:val="24"/>
        </w:rPr>
        <w:t>- 15 -</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"_Toc1015" </w:instrText>
      </w:r>
      <w:r>
        <w:fldChar w:fldCharType="separate"/>
      </w:r>
      <w:r>
        <w:rPr>
          <w:rFonts w:hint="eastAsia" w:ascii="仿宋" w:hAnsi="仿宋" w:cs="仿宋"/>
          <w:sz w:val="24"/>
          <w:szCs w:val="24"/>
        </w:rPr>
        <w:t>六、招标结果发布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_Toc1015 </w:instrText>
      </w:r>
      <w:r>
        <w:rPr>
          <w:rFonts w:hint="eastAsia" w:ascii="仿宋" w:hAnsi="仿宋" w:cs="仿宋"/>
          <w:sz w:val="24"/>
          <w:szCs w:val="24"/>
        </w:rPr>
        <w:fldChar w:fldCharType="separate"/>
      </w:r>
      <w:r>
        <w:rPr>
          <w:rFonts w:ascii="仿宋" w:hAnsi="仿宋" w:cs="仿宋"/>
          <w:sz w:val="24"/>
          <w:szCs w:val="24"/>
        </w:rPr>
        <w:t>- 17 -</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"_Toc26366" </w:instrText>
      </w:r>
      <w:r>
        <w:fldChar w:fldCharType="separate"/>
      </w:r>
      <w:r>
        <w:rPr>
          <w:rFonts w:hint="eastAsia" w:ascii="仿宋" w:hAnsi="仿宋" w:cs="仿宋"/>
          <w:sz w:val="24"/>
          <w:szCs w:val="24"/>
        </w:rPr>
        <w:t>七、合同授予</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_Toc26366 </w:instrText>
      </w:r>
      <w:r>
        <w:rPr>
          <w:rFonts w:hint="eastAsia" w:ascii="仿宋" w:hAnsi="仿宋" w:cs="仿宋"/>
          <w:sz w:val="24"/>
          <w:szCs w:val="24"/>
        </w:rPr>
        <w:fldChar w:fldCharType="separate"/>
      </w:r>
      <w:r>
        <w:rPr>
          <w:rFonts w:ascii="仿宋" w:hAnsi="仿宋" w:cs="仿宋"/>
          <w:sz w:val="24"/>
          <w:szCs w:val="24"/>
        </w:rPr>
        <w:t>- 17 -</w:t>
      </w:r>
      <w:r>
        <w:rPr>
          <w:rFonts w:hint="eastAsia" w:ascii="仿宋" w:hAnsi="仿宋" w:cs="仿宋"/>
          <w:sz w:val="24"/>
          <w:szCs w:val="24"/>
        </w:rPr>
        <w:fldChar w:fldCharType="end"/>
      </w:r>
      <w:r>
        <w:rPr>
          <w:rFonts w:hint="eastAsia" w:ascii="仿宋" w:hAnsi="仿宋" w:cs="仿宋"/>
          <w:sz w:val="24"/>
          <w:szCs w:val="24"/>
        </w:rPr>
        <w:fldChar w:fldCharType="end"/>
      </w:r>
    </w:p>
    <w:p>
      <w:pPr>
        <w:pStyle w:val="30"/>
        <w:tabs>
          <w:tab w:val="right" w:leader="dot" w:pos="8930"/>
        </w:tabs>
        <w:rPr>
          <w:rFonts w:ascii="仿宋" w:hAnsi="仿宋" w:cs="仿宋"/>
          <w:sz w:val="24"/>
          <w:szCs w:val="24"/>
        </w:rPr>
      </w:pPr>
      <w:r>
        <w:fldChar w:fldCharType="begin"/>
      </w:r>
      <w:r>
        <w:instrText xml:space="preserve"> HYPERLINK \l "_Toc8437" </w:instrText>
      </w:r>
      <w:r>
        <w:fldChar w:fldCharType="separate"/>
      </w:r>
      <w:r>
        <w:rPr>
          <w:rFonts w:hint="eastAsia" w:ascii="仿宋" w:hAnsi="仿宋" w:cs="仿宋"/>
          <w:sz w:val="24"/>
          <w:szCs w:val="24"/>
        </w:rPr>
        <w:t>第四章 评审办法及标准</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_Toc8437 </w:instrText>
      </w:r>
      <w:r>
        <w:rPr>
          <w:rFonts w:hint="eastAsia" w:ascii="仿宋" w:hAnsi="仿宋" w:cs="仿宋"/>
          <w:sz w:val="24"/>
          <w:szCs w:val="24"/>
        </w:rPr>
        <w:fldChar w:fldCharType="separate"/>
      </w:r>
      <w:r>
        <w:rPr>
          <w:rFonts w:ascii="仿宋" w:hAnsi="仿宋" w:cs="仿宋"/>
          <w:sz w:val="24"/>
          <w:szCs w:val="24"/>
        </w:rPr>
        <w:t>- 19 -</w:t>
      </w:r>
      <w:r>
        <w:rPr>
          <w:rFonts w:hint="eastAsia" w:ascii="仿宋" w:hAnsi="仿宋" w:cs="仿宋"/>
          <w:sz w:val="24"/>
          <w:szCs w:val="24"/>
        </w:rPr>
        <w:fldChar w:fldCharType="end"/>
      </w:r>
      <w:r>
        <w:rPr>
          <w:rFonts w:hint="eastAsia" w:ascii="仿宋" w:hAnsi="仿宋" w:cs="仿宋"/>
          <w:sz w:val="24"/>
          <w:szCs w:val="24"/>
        </w:rPr>
        <w:fldChar w:fldCharType="end"/>
      </w:r>
    </w:p>
    <w:p>
      <w:pPr>
        <w:pStyle w:val="30"/>
        <w:tabs>
          <w:tab w:val="right" w:leader="dot" w:pos="8930"/>
        </w:tabs>
        <w:rPr>
          <w:rFonts w:ascii="仿宋" w:hAnsi="仿宋" w:cs="仿宋"/>
          <w:sz w:val="24"/>
          <w:szCs w:val="24"/>
        </w:rPr>
      </w:pPr>
      <w:r>
        <w:fldChar w:fldCharType="begin"/>
      </w:r>
      <w:r>
        <w:instrText xml:space="preserve"> HYPERLINK \l "_Toc13793" </w:instrText>
      </w:r>
      <w:r>
        <w:fldChar w:fldCharType="separate"/>
      </w:r>
      <w:r>
        <w:rPr>
          <w:rFonts w:hint="eastAsia" w:ascii="仿宋" w:hAnsi="仿宋" w:cs="仿宋"/>
          <w:sz w:val="24"/>
          <w:szCs w:val="24"/>
        </w:rPr>
        <w:t>第五章 合同主要条款</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_Toc13793 </w:instrText>
      </w:r>
      <w:r>
        <w:rPr>
          <w:rFonts w:hint="eastAsia" w:ascii="仿宋" w:hAnsi="仿宋" w:cs="仿宋"/>
          <w:sz w:val="24"/>
          <w:szCs w:val="24"/>
        </w:rPr>
        <w:fldChar w:fldCharType="separate"/>
      </w:r>
      <w:r>
        <w:rPr>
          <w:rFonts w:ascii="仿宋" w:hAnsi="仿宋" w:cs="仿宋"/>
          <w:sz w:val="24"/>
          <w:szCs w:val="24"/>
        </w:rPr>
        <w:t>- 21 -</w:t>
      </w:r>
      <w:r>
        <w:rPr>
          <w:rFonts w:hint="eastAsia" w:ascii="仿宋" w:hAnsi="仿宋" w:cs="仿宋"/>
          <w:sz w:val="24"/>
          <w:szCs w:val="24"/>
        </w:rPr>
        <w:fldChar w:fldCharType="end"/>
      </w:r>
      <w:r>
        <w:rPr>
          <w:rFonts w:hint="eastAsia" w:ascii="仿宋" w:hAnsi="仿宋" w:cs="仿宋"/>
          <w:sz w:val="24"/>
          <w:szCs w:val="24"/>
        </w:rPr>
        <w:fldChar w:fldCharType="end"/>
      </w:r>
    </w:p>
    <w:p>
      <w:pPr>
        <w:pStyle w:val="30"/>
        <w:tabs>
          <w:tab w:val="right" w:leader="dot" w:pos="8930"/>
        </w:tabs>
        <w:rPr>
          <w:rFonts w:ascii="仿宋" w:hAnsi="仿宋" w:cs="仿宋"/>
          <w:sz w:val="24"/>
          <w:szCs w:val="24"/>
        </w:rPr>
      </w:pPr>
      <w:r>
        <w:fldChar w:fldCharType="begin"/>
      </w:r>
      <w:r>
        <w:instrText xml:space="preserve"> HYPERLINK \l "_Toc10968" </w:instrText>
      </w:r>
      <w:r>
        <w:fldChar w:fldCharType="separate"/>
      </w:r>
      <w:r>
        <w:rPr>
          <w:rFonts w:hint="eastAsia" w:ascii="仿宋" w:hAnsi="仿宋" w:cs="仿宋"/>
          <w:sz w:val="24"/>
          <w:szCs w:val="24"/>
        </w:rPr>
        <w:t>第六章 投标文件格式</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_Toc10968 </w:instrText>
      </w:r>
      <w:r>
        <w:rPr>
          <w:rFonts w:hint="eastAsia" w:ascii="仿宋" w:hAnsi="仿宋" w:cs="仿宋"/>
          <w:sz w:val="24"/>
          <w:szCs w:val="24"/>
        </w:rPr>
        <w:fldChar w:fldCharType="separate"/>
      </w:r>
      <w:r>
        <w:rPr>
          <w:rFonts w:ascii="仿宋" w:hAnsi="仿宋" w:cs="仿宋"/>
          <w:sz w:val="24"/>
          <w:szCs w:val="24"/>
        </w:rPr>
        <w:t>- 26 -</w:t>
      </w:r>
      <w:r>
        <w:rPr>
          <w:rFonts w:hint="eastAsia" w:ascii="仿宋" w:hAnsi="仿宋" w:cs="仿宋"/>
          <w:sz w:val="24"/>
          <w:szCs w:val="24"/>
        </w:rPr>
        <w:fldChar w:fldCharType="end"/>
      </w:r>
      <w:r>
        <w:rPr>
          <w:rFonts w:hint="eastAsia" w:ascii="仿宋" w:hAnsi="仿宋" w:cs="仿宋"/>
          <w:sz w:val="24"/>
          <w:szCs w:val="24"/>
        </w:rPr>
        <w:fldChar w:fldCharType="end"/>
      </w:r>
    </w:p>
    <w:p>
      <w:pPr>
        <w:pStyle w:val="34"/>
        <w:tabs>
          <w:tab w:val="right" w:leader="dot" w:pos="8930"/>
          <w:tab w:val="clear" w:pos="8931"/>
        </w:tabs>
        <w:ind w:left="0"/>
      </w:pPr>
    </w:p>
    <w:p>
      <w:pPr>
        <w:rPr>
          <w:rFonts w:ascii="Arial" w:hAnsi="Arial" w:cs="Arial"/>
          <w:b/>
          <w:color w:val="000000"/>
          <w:szCs w:val="21"/>
        </w:rPr>
      </w:pPr>
      <w:r>
        <w:rPr>
          <w:rFonts w:hint="eastAsia" w:ascii="新宋体" w:hAnsi="新宋体" w:cs="新宋体"/>
          <w:bCs/>
          <w:caps/>
          <w:color w:val="000000"/>
          <w:sz w:val="22"/>
          <w:szCs w:val="22"/>
        </w:rPr>
        <w:fldChar w:fldCharType="end"/>
      </w:r>
    </w:p>
    <w:p>
      <w:pPr>
        <w:ind w:firstLine="424" w:firstLineChars="192"/>
        <w:rPr>
          <w:rFonts w:ascii="Arial" w:hAnsi="Arial" w:cs="Arial"/>
          <w:b/>
          <w:color w:val="000000"/>
          <w:sz w:val="22"/>
          <w:szCs w:val="22"/>
          <w:u w:val="single"/>
        </w:rPr>
      </w:pPr>
      <w:r>
        <w:rPr>
          <w:rFonts w:ascii="Arial" w:hAnsi="新宋体" w:cs="Arial"/>
          <w:b/>
          <w:color w:val="000000"/>
          <w:sz w:val="22"/>
          <w:szCs w:val="22"/>
          <w:u w:val="single"/>
        </w:rPr>
        <w:t>重要提醒：《招标文件》中部分加</w:t>
      </w:r>
      <w:r>
        <w:rPr>
          <w:rFonts w:ascii="Arial" w:hAnsi="Arial" w:cs="Arial"/>
          <w:b/>
          <w:color w:val="000000"/>
          <w:sz w:val="22"/>
          <w:szCs w:val="22"/>
          <w:u w:val="single"/>
        </w:rPr>
        <w:t>“▲”</w:t>
      </w:r>
      <w:r>
        <w:rPr>
          <w:rFonts w:ascii="Arial" w:hAnsi="新宋体" w:cs="Arial"/>
          <w:b/>
          <w:color w:val="000000"/>
          <w:sz w:val="22"/>
          <w:szCs w:val="22"/>
          <w:u w:val="single"/>
        </w:rPr>
        <w:t>、加粗及加下划线的条款着重提请各供应商注意，请各供应商认真查看《招标文件》中的每一个条款及要求，因误读、漏读、错读《招标文件》内容而造成的一切后果，由供应商自行承担，</w:t>
      </w:r>
      <w:r>
        <w:rPr>
          <w:rFonts w:hint="eastAsia" w:ascii="Arial" w:hAnsi="新宋体" w:cs="Arial"/>
          <w:b/>
          <w:color w:val="000000"/>
          <w:sz w:val="22"/>
          <w:szCs w:val="22"/>
          <w:u w:val="single"/>
        </w:rPr>
        <w:t>招标</w:t>
      </w:r>
      <w:r>
        <w:rPr>
          <w:rFonts w:ascii="Arial" w:hAnsi="新宋体" w:cs="Arial"/>
          <w:b/>
          <w:color w:val="000000"/>
          <w:sz w:val="22"/>
          <w:szCs w:val="22"/>
          <w:u w:val="single"/>
        </w:rPr>
        <w:t>组织机构概不负责。</w:t>
      </w:r>
    </w:p>
    <w:p>
      <w:pPr>
        <w:rPr>
          <w:color w:val="000000"/>
          <w:kern w:val="0"/>
        </w:rPr>
      </w:pPr>
    </w:p>
    <w:p/>
    <w:p/>
    <w:p>
      <w:pPr>
        <w:pStyle w:val="37"/>
      </w:pPr>
      <w:bookmarkStart w:id="0" w:name="_Toc424164130"/>
      <w:bookmarkStart w:id="1" w:name="_Toc446950593"/>
      <w:bookmarkStart w:id="2" w:name="_Toc440162775"/>
      <w:bookmarkStart w:id="3" w:name="_Toc452032110"/>
      <w:bookmarkStart w:id="4" w:name="_Toc26199"/>
      <w:bookmarkStart w:id="5" w:name="_Toc12262"/>
      <w:bookmarkStart w:id="6" w:name="_Toc13522"/>
      <w:bookmarkStart w:id="7" w:name="_Toc20496"/>
      <w:bookmarkStart w:id="8" w:name="_Toc27953"/>
    </w:p>
    <w:p>
      <w:pPr>
        <w:pStyle w:val="37"/>
      </w:pPr>
      <w:r>
        <w:rPr>
          <w:rFonts w:hint="eastAsia"/>
        </w:rPr>
        <w:t>第一章</w:t>
      </w:r>
      <w:r>
        <w:t xml:space="preserve"> </w:t>
      </w:r>
      <w:bookmarkEnd w:id="0"/>
      <w:bookmarkEnd w:id="1"/>
      <w:bookmarkEnd w:id="2"/>
      <w:bookmarkEnd w:id="3"/>
      <w:bookmarkEnd w:id="4"/>
      <w:bookmarkEnd w:id="5"/>
      <w:bookmarkEnd w:id="6"/>
      <w:bookmarkEnd w:id="7"/>
      <w:bookmarkEnd w:id="8"/>
      <w:bookmarkStart w:id="9" w:name="_Toc32748"/>
      <w:bookmarkStart w:id="10" w:name="_Toc440162776"/>
      <w:bookmarkStart w:id="11" w:name="_Toc3926"/>
      <w:bookmarkStart w:id="12" w:name="_Toc446950594"/>
      <w:bookmarkStart w:id="13" w:name="_Toc424164131"/>
      <w:bookmarkStart w:id="14" w:name="_Toc32482"/>
      <w:bookmarkStart w:id="15" w:name="_Toc452032111"/>
      <w:bookmarkStart w:id="16" w:name="_Toc2766"/>
      <w:bookmarkStart w:id="17" w:name="_Toc5429"/>
      <w:r>
        <w:rPr>
          <w:rFonts w:hint="eastAsia"/>
        </w:rPr>
        <w:t>招标公告</w:t>
      </w:r>
    </w:p>
    <w:p>
      <w:pPr>
        <w:ind w:firstLine="480" w:firstLineChars="200"/>
        <w:jc w:val="left"/>
        <w:rPr>
          <w:rFonts w:ascii="Arial" w:hAnsi="Arial" w:eastAsia="新宋体" w:cs="Arial"/>
          <w:color w:val="000000"/>
        </w:rPr>
      </w:pPr>
      <w:r>
        <w:rPr>
          <w:rFonts w:hint="eastAsia" w:ascii="Arial" w:hAnsi="新宋体" w:cs="Arial"/>
          <w:color w:val="000000"/>
        </w:rPr>
        <w:t>根据《浙江省财政厅关于印发浙江省省级行政事业单位公款竞争性存放管理办法的通知》（浙财预执〔2021〕7号）、《苍南县县级预算单位公款竞争性存放管理暂行办法》（苍政办〔2019〕7号）等有关规定，杭州华旗招标代理有限公司</w:t>
      </w:r>
      <w:r>
        <w:rPr>
          <w:rFonts w:ascii="Arial" w:hAnsi="新宋体" w:cs="Arial"/>
          <w:color w:val="000000"/>
        </w:rPr>
        <w:t>受</w:t>
      </w:r>
      <w:r>
        <w:rPr>
          <w:rFonts w:hint="eastAsia" w:ascii="Arial" w:hAnsi="新宋体" w:cs="Arial"/>
          <w:color w:val="000000"/>
        </w:rPr>
        <w:t>苍南县人民法院</w:t>
      </w:r>
      <w:r>
        <w:rPr>
          <w:rFonts w:ascii="Arial" w:hAnsi="新宋体" w:cs="Arial"/>
          <w:color w:val="000000"/>
        </w:rPr>
        <w:t>委托，就</w:t>
      </w:r>
      <w:r>
        <w:rPr>
          <w:rFonts w:hint="eastAsia" w:ascii="Arial" w:hAnsi="新宋体" w:cs="Arial"/>
          <w:color w:val="000000"/>
          <w:lang w:eastAsia="zh-CN"/>
        </w:rPr>
        <w:t>苍南县人民法院2024年度公款竞争性存放项目</w:t>
      </w:r>
      <w:r>
        <w:rPr>
          <w:rFonts w:ascii="Arial" w:hAnsi="新宋体" w:cs="Arial"/>
          <w:color w:val="000000"/>
        </w:rPr>
        <w:t>进行公开招标，</w:t>
      </w:r>
      <w:r>
        <w:rPr>
          <w:rFonts w:hint="eastAsia" w:ascii="Arial" w:hAnsi="新宋体" w:cs="Arial"/>
          <w:color w:val="000000"/>
        </w:rPr>
        <w:t>欢迎符合条件的银行机构参加投标</w:t>
      </w:r>
      <w:r>
        <w:rPr>
          <w:rFonts w:ascii="Arial" w:hAnsi="新宋体" w:cs="Arial"/>
          <w:color w:val="000000"/>
        </w:rPr>
        <w:t>。</w:t>
      </w:r>
    </w:p>
    <w:p>
      <w:pPr>
        <w:rPr>
          <w:rFonts w:hint="eastAsia" w:ascii="仿宋" w:hAnsi="仿宋" w:eastAsia="仿宋" w:cs="仿宋"/>
          <w:b/>
          <w:color w:val="000000"/>
          <w:lang w:eastAsia="zh-CN"/>
        </w:rPr>
      </w:pPr>
      <w:r>
        <w:rPr>
          <w:rFonts w:hint="eastAsia" w:ascii="仿宋" w:hAnsi="仿宋" w:cs="仿宋"/>
          <w:b/>
          <w:color w:val="000000"/>
        </w:rPr>
        <w:t>一、招标项目名称：</w:t>
      </w:r>
      <w:r>
        <w:rPr>
          <w:rFonts w:hint="eastAsia" w:ascii="仿宋" w:hAnsi="仿宋" w:cs="仿宋"/>
          <w:b/>
          <w:color w:val="000000"/>
          <w:lang w:eastAsia="zh-CN"/>
        </w:rPr>
        <w:t>苍南县人民法院2024年度公款竞争性存放项目</w:t>
      </w:r>
    </w:p>
    <w:p>
      <w:pPr>
        <w:rPr>
          <w:rFonts w:hint="eastAsia" w:ascii="仿宋" w:hAnsi="仿宋" w:eastAsia="仿宋" w:cs="仿宋"/>
          <w:b/>
          <w:color w:val="000000"/>
          <w:lang w:eastAsia="zh-CN"/>
        </w:rPr>
      </w:pPr>
      <w:r>
        <w:rPr>
          <w:rFonts w:hint="eastAsia" w:ascii="仿宋" w:hAnsi="仿宋" w:cs="仿宋"/>
          <w:b/>
          <w:color w:val="000000"/>
        </w:rPr>
        <w:t>二</w:t>
      </w:r>
      <w:r>
        <w:rPr>
          <w:rFonts w:hint="eastAsia" w:ascii="仿宋" w:hAnsi="仿宋" w:cs="仿宋"/>
          <w:color w:val="000000"/>
        </w:rPr>
        <w:t>、</w:t>
      </w:r>
      <w:r>
        <w:rPr>
          <w:rFonts w:hint="eastAsia" w:ascii="仿宋" w:hAnsi="仿宋" w:cs="仿宋"/>
          <w:b/>
          <w:color w:val="000000"/>
        </w:rPr>
        <w:t>项目编号：</w:t>
      </w:r>
      <w:r>
        <w:rPr>
          <w:rFonts w:hint="eastAsia" w:ascii="仿宋" w:hAnsi="仿宋" w:cs="仿宋"/>
          <w:b/>
          <w:color w:val="000000"/>
          <w:lang w:eastAsia="zh-CN"/>
        </w:rPr>
        <w:t>苍产告字[2024]04号</w:t>
      </w:r>
    </w:p>
    <w:p>
      <w:pPr>
        <w:rPr>
          <w:rFonts w:ascii="仿宋" w:hAnsi="仿宋" w:cs="仿宋"/>
          <w:b/>
          <w:color w:val="000000"/>
        </w:rPr>
      </w:pPr>
      <w:r>
        <w:rPr>
          <w:rFonts w:hint="eastAsia" w:ascii="仿宋" w:hAnsi="仿宋" w:cs="仿宋"/>
          <w:b/>
          <w:color w:val="000000"/>
        </w:rPr>
        <w:t>三、招标内容</w:t>
      </w:r>
    </w:p>
    <w:p>
      <w:pPr>
        <w:pStyle w:val="22"/>
        <w:ind w:firstLine="463" w:firstLineChars="193"/>
        <w:rPr>
          <w:rFonts w:ascii="仿宋" w:hAnsi="仿宋" w:eastAsia="仿宋" w:cs="仿宋"/>
          <w:color w:val="000000"/>
          <w:szCs w:val="24"/>
        </w:rPr>
      </w:pPr>
      <w:r>
        <w:rPr>
          <w:rFonts w:hint="eastAsia" w:ascii="仿宋" w:hAnsi="仿宋" w:eastAsia="仿宋" w:cs="仿宋"/>
          <w:bCs/>
          <w:color w:val="000000"/>
          <w:szCs w:val="24"/>
        </w:rPr>
        <w:t>本项目招标内容为</w:t>
      </w:r>
      <w:r>
        <w:rPr>
          <w:rFonts w:hint="eastAsia" w:ascii="仿宋" w:hAnsi="仿宋" w:eastAsia="仿宋" w:cs="仿宋"/>
          <w:bCs/>
          <w:color w:val="000000"/>
          <w:szCs w:val="24"/>
          <w:lang w:eastAsia="zh-CN"/>
        </w:rPr>
        <w:t>苍南县人民法院2024年度公款竞争性存放项目</w:t>
      </w:r>
      <w:r>
        <w:rPr>
          <w:rFonts w:hint="eastAsia" w:ascii="仿宋" w:hAnsi="仿宋" w:eastAsia="仿宋" w:cs="仿宋"/>
          <w:bCs/>
          <w:color w:val="000000"/>
          <w:szCs w:val="24"/>
        </w:rPr>
        <w:t xml:space="preserve">，定期1年。分成2个标段（ </w:t>
      </w:r>
      <w:r>
        <w:rPr>
          <w:rFonts w:hint="eastAsia" w:ascii="仿宋" w:hAnsi="仿宋" w:eastAsia="仿宋" w:cs="仿宋"/>
          <w:bCs/>
          <w:color w:val="000000"/>
          <w:szCs w:val="24"/>
          <w:lang w:val="en-US" w:eastAsia="zh-CN"/>
        </w:rPr>
        <w:t>7</w:t>
      </w:r>
      <w:r>
        <w:rPr>
          <w:rFonts w:hint="eastAsia" w:ascii="仿宋" w:hAnsi="仿宋" w:eastAsia="仿宋" w:cs="仿宋"/>
          <w:bCs/>
          <w:color w:val="000000"/>
          <w:szCs w:val="24"/>
        </w:rPr>
        <w:t>000万元），标段一：</w:t>
      </w:r>
      <w:r>
        <w:rPr>
          <w:rFonts w:hint="eastAsia" w:ascii="仿宋" w:hAnsi="仿宋" w:eastAsia="仿宋" w:cs="仿宋"/>
          <w:bCs/>
          <w:color w:val="000000"/>
          <w:szCs w:val="24"/>
          <w:lang w:val="en-US" w:eastAsia="zh-CN"/>
        </w:rPr>
        <w:t>3</w:t>
      </w:r>
      <w:r>
        <w:rPr>
          <w:rFonts w:ascii="仿宋" w:hAnsi="仿宋" w:eastAsia="仿宋" w:cs="仿宋"/>
          <w:bCs/>
          <w:color w:val="000000"/>
          <w:szCs w:val="24"/>
        </w:rPr>
        <w:t>500</w:t>
      </w:r>
      <w:r>
        <w:rPr>
          <w:rFonts w:hint="eastAsia" w:ascii="仿宋" w:hAnsi="仿宋" w:eastAsia="仿宋" w:cs="仿宋"/>
          <w:bCs/>
          <w:color w:val="000000"/>
          <w:szCs w:val="24"/>
        </w:rPr>
        <w:t>万元、标段二：</w:t>
      </w:r>
      <w:r>
        <w:rPr>
          <w:rFonts w:hint="eastAsia" w:ascii="仿宋" w:hAnsi="仿宋" w:eastAsia="仿宋" w:cs="仿宋"/>
          <w:bCs/>
          <w:color w:val="000000"/>
          <w:szCs w:val="24"/>
          <w:lang w:val="en-US" w:eastAsia="zh-CN"/>
        </w:rPr>
        <w:t>3</w:t>
      </w:r>
      <w:r>
        <w:rPr>
          <w:rFonts w:ascii="仿宋" w:hAnsi="仿宋" w:eastAsia="仿宋" w:cs="仿宋"/>
          <w:bCs/>
          <w:color w:val="000000"/>
          <w:szCs w:val="24"/>
        </w:rPr>
        <w:t>5</w:t>
      </w:r>
      <w:r>
        <w:rPr>
          <w:rFonts w:hint="eastAsia" w:ascii="仿宋" w:hAnsi="仿宋" w:eastAsia="仿宋" w:cs="仿宋"/>
          <w:bCs/>
          <w:color w:val="000000"/>
          <w:szCs w:val="24"/>
        </w:rPr>
        <w:t>00万元</w:t>
      </w:r>
      <w:r>
        <w:rPr>
          <w:rFonts w:hint="eastAsia" w:ascii="仿宋" w:hAnsi="仿宋" w:cs="仿宋"/>
          <w:bCs/>
          <w:color w:val="000000"/>
          <w:szCs w:val="24"/>
        </w:rPr>
        <w:t>。</w:t>
      </w:r>
    </w:p>
    <w:p>
      <w:pPr>
        <w:rPr>
          <w:rFonts w:ascii="仿宋" w:hAnsi="仿宋" w:cs="仿宋"/>
          <w:b/>
          <w:color w:val="000000"/>
        </w:rPr>
      </w:pPr>
      <w:r>
        <w:rPr>
          <w:rFonts w:hint="eastAsia" w:ascii="仿宋" w:hAnsi="仿宋" w:cs="仿宋"/>
          <w:b/>
          <w:color w:val="000000"/>
        </w:rPr>
        <w:t>四</w:t>
      </w:r>
      <w:r>
        <w:rPr>
          <w:rFonts w:hint="eastAsia" w:ascii="仿宋" w:hAnsi="仿宋" w:cs="仿宋"/>
          <w:color w:val="000000"/>
        </w:rPr>
        <w:t>、</w:t>
      </w:r>
      <w:r>
        <w:rPr>
          <w:rFonts w:hint="eastAsia" w:ascii="仿宋" w:hAnsi="仿宋" w:cs="仿宋"/>
          <w:b/>
          <w:color w:val="000000"/>
        </w:rPr>
        <w:t>投标银行基本条件要求：</w:t>
      </w:r>
    </w:p>
    <w:p>
      <w:pPr>
        <w:pStyle w:val="22"/>
        <w:ind w:firstLine="480" w:firstLineChars="200"/>
        <w:rPr>
          <w:rFonts w:ascii="仿宋" w:hAnsi="仿宋" w:eastAsia="仿宋" w:cs="仿宋"/>
          <w:szCs w:val="24"/>
        </w:rPr>
      </w:pPr>
      <w:r>
        <w:rPr>
          <w:rFonts w:hint="eastAsia" w:ascii="仿宋" w:hAnsi="仿宋" w:eastAsia="仿宋" w:cs="仿宋"/>
          <w:szCs w:val="24"/>
        </w:rPr>
        <w:t>投标银行应符合《苍南县县级预算单位公款竞争性存放管理暂行办法》（苍政办〔2019〕7号）等规定的基本条件，具体包括：</w:t>
      </w:r>
    </w:p>
    <w:p>
      <w:pPr>
        <w:pStyle w:val="22"/>
        <w:numPr>
          <w:ilvl w:val="0"/>
          <w:numId w:val="3"/>
        </w:numPr>
        <w:ind w:firstLine="463" w:firstLineChars="193"/>
        <w:rPr>
          <w:rFonts w:ascii="仿宋" w:hAnsi="仿宋" w:eastAsia="仿宋" w:cs="仿宋"/>
          <w:szCs w:val="24"/>
        </w:rPr>
      </w:pPr>
      <w:r>
        <w:rPr>
          <w:rFonts w:hint="eastAsia" w:ascii="仿宋" w:hAnsi="仿宋" w:eastAsia="仿宋" w:cs="仿宋"/>
          <w:szCs w:val="24"/>
        </w:rPr>
        <w:t>在温州市苍南县设有分支机构；</w:t>
      </w:r>
    </w:p>
    <w:p>
      <w:pPr>
        <w:pStyle w:val="22"/>
        <w:numPr>
          <w:ilvl w:val="0"/>
          <w:numId w:val="3"/>
        </w:numPr>
        <w:ind w:firstLine="463" w:firstLineChars="193"/>
        <w:rPr>
          <w:rFonts w:ascii="仿宋" w:hAnsi="仿宋" w:eastAsia="仿宋" w:cs="仿宋"/>
          <w:szCs w:val="24"/>
        </w:rPr>
      </w:pPr>
      <w:r>
        <w:rPr>
          <w:rFonts w:hint="eastAsia" w:ascii="仿宋" w:hAnsi="仿宋" w:eastAsia="仿宋" w:cs="仿宋"/>
          <w:szCs w:val="24"/>
        </w:rPr>
        <w:t>依法开展经营活动，近3年内在经营活动中无重大违法违规记录；</w:t>
      </w:r>
    </w:p>
    <w:p>
      <w:pPr>
        <w:pStyle w:val="22"/>
        <w:numPr>
          <w:ilvl w:val="0"/>
          <w:numId w:val="3"/>
        </w:numPr>
        <w:ind w:firstLine="463" w:firstLineChars="193"/>
        <w:rPr>
          <w:rFonts w:ascii="仿宋" w:hAnsi="仿宋" w:eastAsia="仿宋" w:cs="仿宋"/>
          <w:szCs w:val="24"/>
        </w:rPr>
      </w:pPr>
      <w:r>
        <w:rPr>
          <w:rFonts w:hint="eastAsia" w:ascii="仿宋" w:hAnsi="仿宋" w:eastAsia="仿宋" w:cs="仿宋"/>
          <w:szCs w:val="24"/>
        </w:rPr>
        <w:t>内部管理机制健全，具有较强的风险控制能力；</w:t>
      </w:r>
    </w:p>
    <w:p>
      <w:pPr>
        <w:pStyle w:val="22"/>
        <w:numPr>
          <w:ilvl w:val="0"/>
          <w:numId w:val="3"/>
        </w:numPr>
        <w:ind w:firstLine="463" w:firstLineChars="193"/>
        <w:rPr>
          <w:rFonts w:ascii="仿宋" w:hAnsi="仿宋" w:eastAsia="仿宋" w:cs="仿宋"/>
          <w:szCs w:val="24"/>
        </w:rPr>
      </w:pPr>
      <w:r>
        <w:rPr>
          <w:rFonts w:hint="eastAsia" w:ascii="仿宋" w:hAnsi="仿宋" w:eastAsia="仿宋" w:cs="仿宋"/>
          <w:szCs w:val="24"/>
        </w:rPr>
        <w:t>监管评级须达到一定标准，并纳入监管评级的银行，且人民银行上年度综合评价达B级及以上。</w:t>
      </w:r>
    </w:p>
    <w:p>
      <w:pPr>
        <w:rPr>
          <w:rFonts w:ascii="仿宋" w:hAnsi="仿宋" w:cs="仿宋"/>
          <w:b/>
          <w:color w:val="000000"/>
        </w:rPr>
      </w:pPr>
      <w:r>
        <w:rPr>
          <w:rFonts w:hint="eastAsia" w:ascii="仿宋" w:hAnsi="仿宋" w:cs="仿宋"/>
          <w:b/>
          <w:color w:val="000000"/>
        </w:rPr>
        <w:t>五</w:t>
      </w:r>
      <w:r>
        <w:rPr>
          <w:rFonts w:hint="eastAsia" w:ascii="仿宋" w:hAnsi="仿宋" w:cs="仿宋"/>
          <w:color w:val="000000"/>
        </w:rPr>
        <w:t>、</w:t>
      </w:r>
      <w:r>
        <w:rPr>
          <w:rFonts w:hint="eastAsia" w:ascii="仿宋" w:hAnsi="仿宋" w:cs="仿宋"/>
          <w:b/>
          <w:color w:val="000000"/>
        </w:rPr>
        <w:t>招标文件获取时间、方式及地址</w:t>
      </w:r>
      <w:r>
        <w:rPr>
          <w:rFonts w:hint="eastAsia" w:ascii="仿宋" w:hAnsi="仿宋" w:cs="仿宋"/>
          <w:color w:val="000000"/>
        </w:rPr>
        <w:t>：</w:t>
      </w:r>
    </w:p>
    <w:p>
      <w:pPr>
        <w:ind w:firstLine="420"/>
        <w:rPr>
          <w:rFonts w:ascii="仿宋" w:hAnsi="仿宋" w:cs="仿宋"/>
          <w:color w:val="000000"/>
        </w:rPr>
      </w:pPr>
      <w:r>
        <w:rPr>
          <w:rFonts w:hint="eastAsia" w:ascii="仿宋" w:hAnsi="仿宋" w:cs="仿宋"/>
          <w:color w:val="000000"/>
        </w:rPr>
        <w:t>1、获取时间：</w:t>
      </w:r>
      <w:r>
        <w:rPr>
          <w:rFonts w:hint="eastAsia" w:ascii="仿宋" w:hAnsi="仿宋" w:cs="仿宋"/>
          <w:b/>
          <w:bCs/>
          <w:color w:val="0000FF"/>
          <w:u w:val="single"/>
        </w:rPr>
        <w:t>202</w:t>
      </w:r>
      <w:r>
        <w:rPr>
          <w:rFonts w:hint="eastAsia" w:ascii="仿宋" w:hAnsi="仿宋" w:cs="仿宋"/>
          <w:b/>
          <w:bCs/>
          <w:color w:val="0000FF"/>
          <w:u w:val="single"/>
          <w:lang w:val="en-US" w:eastAsia="zh-CN"/>
        </w:rPr>
        <w:t>4</w:t>
      </w:r>
      <w:r>
        <w:rPr>
          <w:rFonts w:hint="eastAsia" w:ascii="仿宋" w:hAnsi="仿宋" w:cs="仿宋"/>
          <w:b/>
          <w:bCs/>
          <w:color w:val="0000FF"/>
          <w:u w:val="single"/>
        </w:rPr>
        <w:t>-</w:t>
      </w:r>
      <w:r>
        <w:rPr>
          <w:rFonts w:hint="eastAsia" w:ascii="仿宋" w:hAnsi="仿宋" w:cs="仿宋"/>
          <w:b/>
          <w:bCs/>
          <w:color w:val="0000FF"/>
          <w:u w:val="single"/>
          <w:lang w:val="en-US" w:eastAsia="zh-CN"/>
        </w:rPr>
        <w:t>2</w:t>
      </w:r>
      <w:r>
        <w:rPr>
          <w:rFonts w:hint="eastAsia" w:ascii="仿宋" w:hAnsi="仿宋" w:cs="仿宋"/>
          <w:b/>
          <w:bCs/>
          <w:color w:val="0000FF"/>
          <w:u w:val="single"/>
        </w:rPr>
        <w:t>-</w:t>
      </w:r>
      <w:r>
        <w:rPr>
          <w:rFonts w:hint="eastAsia" w:ascii="仿宋" w:hAnsi="仿宋" w:cs="仿宋"/>
          <w:b/>
          <w:bCs/>
          <w:color w:val="0000FF"/>
          <w:u w:val="single"/>
          <w:lang w:val="en-US" w:eastAsia="zh-CN"/>
        </w:rPr>
        <w:t>4</w:t>
      </w:r>
      <w:r>
        <w:rPr>
          <w:rFonts w:hint="eastAsia" w:ascii="仿宋" w:hAnsi="仿宋" w:cs="仿宋"/>
          <w:b/>
          <w:bCs/>
          <w:color w:val="0000FF"/>
          <w:u w:val="single"/>
        </w:rPr>
        <w:t xml:space="preserve"> 至202</w:t>
      </w:r>
      <w:r>
        <w:rPr>
          <w:rFonts w:hint="eastAsia" w:ascii="仿宋" w:hAnsi="仿宋" w:cs="仿宋"/>
          <w:b/>
          <w:bCs/>
          <w:color w:val="0000FF"/>
          <w:u w:val="single"/>
          <w:lang w:val="en-US" w:eastAsia="zh-CN"/>
        </w:rPr>
        <w:t>4</w:t>
      </w:r>
      <w:r>
        <w:rPr>
          <w:rFonts w:hint="eastAsia" w:ascii="仿宋" w:hAnsi="仿宋" w:cs="仿宋"/>
          <w:b/>
          <w:bCs/>
          <w:color w:val="0000FF"/>
          <w:u w:val="single"/>
        </w:rPr>
        <w:t>-</w:t>
      </w:r>
      <w:r>
        <w:rPr>
          <w:rFonts w:ascii="仿宋" w:hAnsi="仿宋" w:cs="仿宋"/>
          <w:b/>
          <w:bCs/>
          <w:color w:val="0000FF"/>
          <w:u w:val="single"/>
        </w:rPr>
        <w:t>2</w:t>
      </w:r>
      <w:r>
        <w:rPr>
          <w:rFonts w:hint="eastAsia" w:ascii="仿宋" w:hAnsi="仿宋" w:cs="仿宋"/>
          <w:b/>
          <w:bCs/>
          <w:color w:val="0000FF"/>
          <w:u w:val="single"/>
        </w:rPr>
        <w:t>-</w:t>
      </w:r>
      <w:r>
        <w:rPr>
          <w:rFonts w:hint="eastAsia" w:ascii="仿宋" w:hAnsi="仿宋" w:cs="仿宋"/>
          <w:b/>
          <w:bCs/>
          <w:color w:val="0000FF"/>
          <w:u w:val="single"/>
          <w:lang w:val="en-US" w:eastAsia="zh-CN"/>
        </w:rPr>
        <w:t>20</w:t>
      </w:r>
      <w:r>
        <w:rPr>
          <w:rFonts w:hint="eastAsia" w:ascii="仿宋" w:hAnsi="仿宋" w:cs="仿宋"/>
          <w:color w:val="000000"/>
        </w:rPr>
        <w:t xml:space="preserve">  （双休日及法定节假日除外）</w:t>
      </w:r>
    </w:p>
    <w:p>
      <w:pPr>
        <w:ind w:firstLine="420"/>
        <w:rPr>
          <w:rFonts w:ascii="仿宋" w:hAnsi="仿宋" w:cs="仿宋"/>
          <w:color w:val="000000"/>
        </w:rPr>
      </w:pPr>
      <w:r>
        <w:rPr>
          <w:rFonts w:hint="eastAsia" w:ascii="仿宋" w:hAnsi="仿宋" w:cs="仿宋"/>
          <w:color w:val="000000"/>
        </w:rPr>
        <w:t>上午：9:00-11:30，下午：14:00-17:30</w:t>
      </w:r>
    </w:p>
    <w:p>
      <w:pPr>
        <w:ind w:firstLine="420"/>
        <w:rPr>
          <w:rFonts w:ascii="仿宋" w:hAnsi="仿宋" w:cs="仿宋"/>
          <w:color w:val="000000"/>
        </w:rPr>
      </w:pPr>
      <w:r>
        <w:rPr>
          <w:rFonts w:hint="eastAsia" w:ascii="仿宋" w:hAnsi="仿宋" w:cs="仿宋"/>
          <w:color w:val="000000"/>
        </w:rPr>
        <w:t>2、获取地址：政采云（www.zcygov.cn）</w:t>
      </w:r>
    </w:p>
    <w:p>
      <w:pPr>
        <w:ind w:firstLine="480" w:firstLineChars="200"/>
        <w:rPr>
          <w:rFonts w:ascii="仿宋" w:hAnsi="仿宋" w:cs="仿宋"/>
          <w:color w:val="000000"/>
        </w:rPr>
      </w:pPr>
      <w:r>
        <w:rPr>
          <w:rFonts w:hint="eastAsia" w:ascii="仿宋" w:hAnsi="仿宋" w:cs="仿宋"/>
          <w:color w:val="000000"/>
        </w:rPr>
        <w:t>3、获取文件方式：政采云网站下载</w:t>
      </w:r>
    </w:p>
    <w:p>
      <w:pPr>
        <w:rPr>
          <w:rFonts w:ascii="仿宋" w:hAnsi="仿宋" w:cs="仿宋"/>
          <w:b/>
          <w:color w:val="0000FF"/>
        </w:rPr>
      </w:pPr>
      <w:r>
        <w:rPr>
          <w:rFonts w:hint="eastAsia" w:ascii="仿宋" w:hAnsi="仿宋" w:cs="仿宋"/>
          <w:b/>
          <w:color w:val="000000"/>
        </w:rPr>
        <w:t>六、投标截止时间：</w:t>
      </w:r>
      <w:r>
        <w:rPr>
          <w:rFonts w:hint="eastAsia" w:ascii="仿宋" w:hAnsi="仿宋" w:cs="仿宋"/>
          <w:b/>
          <w:bCs/>
          <w:color w:val="0000FF"/>
          <w:u w:val="single"/>
        </w:rPr>
        <w:t>202</w:t>
      </w:r>
      <w:r>
        <w:rPr>
          <w:rFonts w:hint="eastAsia" w:ascii="仿宋" w:hAnsi="仿宋" w:cs="仿宋"/>
          <w:b/>
          <w:bCs/>
          <w:color w:val="0000FF"/>
          <w:u w:val="single"/>
          <w:lang w:val="en-US" w:eastAsia="zh-CN"/>
        </w:rPr>
        <w:t>4</w:t>
      </w:r>
      <w:r>
        <w:rPr>
          <w:rFonts w:hint="eastAsia" w:ascii="仿宋" w:hAnsi="仿宋" w:cs="仿宋"/>
          <w:b/>
          <w:bCs/>
          <w:color w:val="0000FF"/>
          <w:u w:val="single"/>
        </w:rPr>
        <w:t>-</w:t>
      </w:r>
      <w:r>
        <w:rPr>
          <w:rFonts w:hint="eastAsia" w:ascii="仿宋" w:hAnsi="仿宋" w:cs="仿宋"/>
          <w:b/>
          <w:bCs/>
          <w:color w:val="0000FF"/>
          <w:u w:val="single"/>
          <w:lang w:val="en-US" w:eastAsia="zh-CN"/>
        </w:rPr>
        <w:t>2</w:t>
      </w:r>
      <w:r>
        <w:rPr>
          <w:rFonts w:hint="eastAsia" w:ascii="仿宋" w:hAnsi="仿宋" w:cs="仿宋"/>
          <w:b/>
          <w:bCs/>
          <w:color w:val="0000FF"/>
          <w:u w:val="single"/>
        </w:rPr>
        <w:t>-</w:t>
      </w:r>
      <w:r>
        <w:rPr>
          <w:rFonts w:hint="eastAsia" w:ascii="仿宋" w:hAnsi="仿宋" w:cs="仿宋"/>
          <w:b/>
          <w:bCs/>
          <w:color w:val="0000FF"/>
          <w:u w:val="single"/>
          <w:lang w:val="en-US" w:eastAsia="zh-CN"/>
        </w:rPr>
        <w:t>20</w:t>
      </w:r>
      <w:r>
        <w:rPr>
          <w:rFonts w:hint="eastAsia" w:ascii="仿宋" w:hAnsi="仿宋" w:cs="仿宋"/>
          <w:b/>
          <w:bCs/>
          <w:color w:val="0000FF"/>
          <w:u w:val="single"/>
        </w:rPr>
        <w:t>，14:30</w:t>
      </w:r>
    </w:p>
    <w:p>
      <w:pPr>
        <w:rPr>
          <w:rFonts w:ascii="仿宋" w:hAnsi="仿宋" w:cs="仿宋"/>
          <w:b/>
          <w:bCs/>
          <w:color w:val="0000FF"/>
          <w:u w:val="single"/>
        </w:rPr>
      </w:pPr>
      <w:r>
        <w:rPr>
          <w:rFonts w:hint="eastAsia" w:ascii="仿宋" w:hAnsi="仿宋" w:cs="仿宋"/>
          <w:b/>
        </w:rPr>
        <w:t>七</w:t>
      </w:r>
      <w:r>
        <w:rPr>
          <w:rFonts w:hint="eastAsia" w:ascii="仿宋" w:hAnsi="仿宋" w:cs="仿宋"/>
        </w:rPr>
        <w:t>、</w:t>
      </w:r>
      <w:r>
        <w:rPr>
          <w:rFonts w:hint="eastAsia" w:ascii="仿宋" w:hAnsi="仿宋" w:cs="仿宋"/>
          <w:b/>
        </w:rPr>
        <w:t>投标地址：</w:t>
      </w:r>
      <w:r>
        <w:rPr>
          <w:rFonts w:hint="eastAsia" w:ascii="仿宋" w:hAnsi="仿宋" w:cs="仿宋"/>
          <w:b/>
          <w:bCs/>
          <w:color w:val="0000FF"/>
          <w:u w:val="single"/>
        </w:rPr>
        <w:t>政采云（www.zcygov.cn） </w:t>
      </w:r>
    </w:p>
    <w:p>
      <w:pPr>
        <w:rPr>
          <w:rFonts w:ascii="仿宋" w:hAnsi="仿宋" w:cs="仿宋"/>
          <w:b/>
          <w:u w:val="single"/>
        </w:rPr>
      </w:pPr>
      <w:r>
        <w:rPr>
          <w:rFonts w:hint="eastAsia" w:ascii="仿宋" w:hAnsi="仿宋" w:cs="仿宋"/>
          <w:b/>
          <w:color w:val="000000"/>
        </w:rPr>
        <w:t>八、开标时</w:t>
      </w:r>
      <w:r>
        <w:rPr>
          <w:rFonts w:hint="eastAsia" w:ascii="仿宋" w:hAnsi="仿宋" w:cs="仿宋"/>
          <w:b/>
        </w:rPr>
        <w:t>间：</w:t>
      </w:r>
      <w:r>
        <w:rPr>
          <w:rFonts w:hint="eastAsia" w:ascii="仿宋" w:hAnsi="仿宋" w:cs="仿宋"/>
          <w:b/>
          <w:bCs/>
          <w:color w:val="0000FF"/>
          <w:u w:val="single"/>
        </w:rPr>
        <w:t>202</w:t>
      </w:r>
      <w:r>
        <w:rPr>
          <w:rFonts w:hint="eastAsia" w:ascii="仿宋" w:hAnsi="仿宋" w:cs="仿宋"/>
          <w:b/>
          <w:bCs/>
          <w:color w:val="0000FF"/>
          <w:u w:val="single"/>
          <w:lang w:val="en-US" w:eastAsia="zh-CN"/>
        </w:rPr>
        <w:t>4</w:t>
      </w:r>
      <w:r>
        <w:rPr>
          <w:rFonts w:hint="eastAsia" w:ascii="仿宋" w:hAnsi="仿宋" w:cs="仿宋"/>
          <w:b/>
          <w:bCs/>
          <w:color w:val="0000FF"/>
          <w:u w:val="single"/>
        </w:rPr>
        <w:t>-</w:t>
      </w:r>
      <w:r>
        <w:rPr>
          <w:rFonts w:hint="eastAsia" w:ascii="仿宋" w:hAnsi="仿宋" w:cs="仿宋"/>
          <w:b/>
          <w:bCs/>
          <w:color w:val="0000FF"/>
          <w:u w:val="single"/>
          <w:lang w:val="en-US" w:eastAsia="zh-CN"/>
        </w:rPr>
        <w:t>2</w:t>
      </w:r>
      <w:r>
        <w:rPr>
          <w:rFonts w:hint="eastAsia" w:ascii="仿宋" w:hAnsi="仿宋" w:cs="仿宋"/>
          <w:b/>
          <w:bCs/>
          <w:color w:val="0000FF"/>
          <w:u w:val="single"/>
        </w:rPr>
        <w:t>-</w:t>
      </w:r>
      <w:r>
        <w:rPr>
          <w:rFonts w:hint="eastAsia" w:ascii="仿宋" w:hAnsi="仿宋" w:cs="仿宋"/>
          <w:b/>
          <w:bCs/>
          <w:color w:val="0000FF"/>
          <w:u w:val="single"/>
          <w:lang w:val="en-US" w:eastAsia="zh-CN"/>
        </w:rPr>
        <w:t>20</w:t>
      </w:r>
      <w:r>
        <w:rPr>
          <w:rFonts w:hint="eastAsia" w:ascii="仿宋" w:hAnsi="仿宋" w:cs="仿宋"/>
          <w:b/>
          <w:bCs/>
          <w:color w:val="0000FF"/>
          <w:u w:val="single"/>
        </w:rPr>
        <w:t>，14:30</w:t>
      </w:r>
    </w:p>
    <w:p>
      <w:pPr>
        <w:rPr>
          <w:rFonts w:ascii="仿宋" w:hAnsi="仿宋" w:cs="Arial"/>
          <w:b/>
          <w:color w:val="0000FF"/>
          <w:u w:val="single"/>
        </w:rPr>
      </w:pPr>
      <w:r>
        <w:rPr>
          <w:rFonts w:hint="eastAsia" w:ascii="仿宋" w:hAnsi="仿宋" w:cs="仿宋"/>
          <w:b/>
        </w:rPr>
        <w:t>九、开标地址：</w:t>
      </w:r>
      <w:r>
        <w:rPr>
          <w:rFonts w:hint="eastAsia" w:ascii="仿宋" w:hAnsi="仿宋" w:cs="仿宋"/>
          <w:b/>
          <w:bCs/>
          <w:color w:val="0000FF"/>
          <w:u w:val="single"/>
        </w:rPr>
        <w:t>政采云（www.zcygov.cn） </w:t>
      </w:r>
    </w:p>
    <w:p>
      <w:pPr>
        <w:rPr>
          <w:rFonts w:ascii="仿宋" w:hAnsi="仿宋" w:cs="仿宋"/>
          <w:b/>
          <w:color w:val="000000"/>
        </w:rPr>
      </w:pPr>
      <w:r>
        <w:rPr>
          <w:rFonts w:hint="eastAsia" w:ascii="仿宋" w:hAnsi="仿宋" w:cs="仿宋"/>
          <w:b/>
          <w:color w:val="000000"/>
        </w:rPr>
        <w:t>十</w:t>
      </w:r>
      <w:r>
        <w:rPr>
          <w:rFonts w:hint="eastAsia" w:ascii="仿宋" w:hAnsi="仿宋" w:cs="仿宋"/>
          <w:color w:val="000000"/>
        </w:rPr>
        <w:t>、</w:t>
      </w:r>
      <w:r>
        <w:rPr>
          <w:rFonts w:hint="eastAsia" w:ascii="仿宋" w:hAnsi="仿宋" w:cs="仿宋"/>
          <w:b/>
          <w:color w:val="000000"/>
        </w:rPr>
        <w:t>其他事项：</w:t>
      </w:r>
    </w:p>
    <w:p>
      <w:pPr>
        <w:ind w:firstLine="463" w:firstLineChars="193"/>
        <w:rPr>
          <w:rFonts w:ascii="仿宋" w:hAnsi="仿宋" w:cs="仿宋"/>
          <w:color w:val="000000"/>
        </w:rPr>
      </w:pPr>
      <w:r>
        <w:rPr>
          <w:rFonts w:hint="eastAsia" w:ascii="仿宋" w:hAnsi="仿宋" w:cs="仿宋"/>
          <w:color w:val="000000"/>
        </w:rPr>
        <w:t>1、本公告发布媒体：浙江政府采购网、苍南县人民政府门户网站。</w:t>
      </w:r>
    </w:p>
    <w:p>
      <w:pPr>
        <w:rPr>
          <w:rFonts w:ascii="仿宋" w:hAnsi="仿宋" w:cs="仿宋"/>
          <w:b/>
          <w:color w:val="000000"/>
        </w:rPr>
      </w:pPr>
      <w:r>
        <w:rPr>
          <w:rFonts w:hint="eastAsia" w:ascii="仿宋" w:hAnsi="仿宋" w:cs="仿宋"/>
          <w:b/>
          <w:color w:val="000000"/>
        </w:rPr>
        <w:t>十一、联系方式：</w:t>
      </w:r>
    </w:p>
    <w:p>
      <w:pPr>
        <w:ind w:left="485" w:leftChars="202"/>
        <w:rPr>
          <w:rFonts w:ascii="仿宋" w:hAnsi="仿宋" w:cs="仿宋"/>
          <w:color w:val="000000"/>
        </w:rPr>
      </w:pPr>
      <w:r>
        <w:rPr>
          <w:rFonts w:hint="eastAsia" w:ascii="仿宋" w:hAnsi="仿宋" w:cs="仿宋"/>
          <w:color w:val="000000"/>
        </w:rPr>
        <w:t>1、招标人名称：苍南县人民法院</w:t>
      </w:r>
    </w:p>
    <w:p>
      <w:pPr>
        <w:ind w:left="485" w:leftChars="202"/>
        <w:rPr>
          <w:rFonts w:ascii="仿宋" w:hAnsi="仿宋" w:cs="仿宋"/>
          <w:color w:val="000000"/>
        </w:rPr>
      </w:pPr>
      <w:r>
        <w:rPr>
          <w:rFonts w:hint="eastAsia" w:ascii="仿宋" w:hAnsi="仿宋" w:cs="仿宋"/>
          <w:color w:val="000000"/>
        </w:rPr>
        <w:t>联系人：陈女士     联系电话：0577-64712608</w:t>
      </w:r>
      <w:r>
        <w:rPr>
          <w:rFonts w:ascii="Calibri" w:hAnsi="Calibri" w:cs="Calibri"/>
          <w:color w:val="000000"/>
        </w:rPr>
        <w:t> </w:t>
      </w:r>
    </w:p>
    <w:p>
      <w:pPr>
        <w:ind w:left="485" w:leftChars="202"/>
        <w:rPr>
          <w:rFonts w:ascii="仿宋" w:hAnsi="仿宋" w:cs="仿宋"/>
          <w:color w:val="000000"/>
        </w:rPr>
      </w:pPr>
      <w:r>
        <w:rPr>
          <w:rFonts w:hint="eastAsia" w:ascii="仿宋" w:hAnsi="仿宋" w:cs="仿宋"/>
          <w:color w:val="000000"/>
        </w:rPr>
        <w:t>地址：苍南县灵溪镇玉苍路</w:t>
      </w:r>
    </w:p>
    <w:p>
      <w:pPr>
        <w:ind w:left="485" w:leftChars="202"/>
        <w:rPr>
          <w:rFonts w:ascii="仿宋" w:hAnsi="仿宋" w:cs="仿宋"/>
          <w:color w:val="000000"/>
        </w:rPr>
      </w:pPr>
      <w:r>
        <w:rPr>
          <w:rFonts w:hint="eastAsia" w:ascii="仿宋" w:hAnsi="仿宋" w:cs="仿宋"/>
          <w:color w:val="000000"/>
        </w:rPr>
        <w:t>2、招标代理机构名称：杭州华旗招标代理有限公司</w:t>
      </w:r>
    </w:p>
    <w:p>
      <w:pPr>
        <w:ind w:left="485" w:leftChars="202"/>
        <w:rPr>
          <w:rFonts w:ascii="仿宋" w:hAnsi="仿宋" w:cs="仿宋"/>
          <w:color w:val="000000"/>
        </w:rPr>
      </w:pPr>
      <w:r>
        <w:rPr>
          <w:rFonts w:hint="eastAsia" w:ascii="仿宋" w:hAnsi="仿宋" w:cs="仿宋"/>
          <w:color w:val="000000"/>
        </w:rPr>
        <w:t xml:space="preserve">联系人：陈维文     </w:t>
      </w:r>
    </w:p>
    <w:p>
      <w:pPr>
        <w:ind w:left="485" w:leftChars="202"/>
        <w:rPr>
          <w:rFonts w:ascii="仿宋" w:hAnsi="仿宋" w:cs="仿宋"/>
          <w:color w:val="000000"/>
        </w:rPr>
      </w:pPr>
      <w:r>
        <w:rPr>
          <w:rFonts w:hint="eastAsia" w:ascii="仿宋" w:hAnsi="仿宋" w:cs="仿宋"/>
          <w:color w:val="000000"/>
        </w:rPr>
        <w:t>联系电话：</w:t>
      </w:r>
      <w:r>
        <w:rPr>
          <w:rFonts w:ascii="仿宋" w:hAnsi="仿宋" w:cs="仿宋"/>
          <w:color w:val="000000"/>
        </w:rPr>
        <w:t>13738772079</w:t>
      </w:r>
    </w:p>
    <w:p>
      <w:pPr>
        <w:ind w:left="485" w:leftChars="202"/>
        <w:rPr>
          <w:rFonts w:ascii="仿宋" w:hAnsi="仿宋" w:cs="仿宋"/>
          <w:color w:val="000000"/>
        </w:rPr>
      </w:pPr>
      <w:r>
        <w:rPr>
          <w:rFonts w:hint="eastAsia" w:ascii="仿宋" w:hAnsi="仿宋" w:cs="仿宋"/>
          <w:color w:val="000000"/>
        </w:rPr>
        <w:t>地址：苍南县灵溪镇上江小区13栋5号</w:t>
      </w:r>
    </w:p>
    <w:p>
      <w:pPr>
        <w:ind w:left="485" w:leftChars="202"/>
        <w:rPr>
          <w:rFonts w:ascii="仿宋" w:hAnsi="仿宋" w:cs="仿宋"/>
          <w:color w:val="000000"/>
        </w:rPr>
      </w:pPr>
    </w:p>
    <w:p>
      <w:pPr>
        <w:pStyle w:val="37"/>
        <w:numPr>
          <w:ilvl w:val="0"/>
          <w:numId w:val="4"/>
        </w:numPr>
      </w:pPr>
      <w:r>
        <w:rPr>
          <w:rFonts w:hint="eastAsia"/>
        </w:rPr>
        <w:br w:type="page"/>
      </w:r>
      <w:bookmarkEnd w:id="9"/>
      <w:bookmarkEnd w:id="10"/>
      <w:bookmarkEnd w:id="11"/>
      <w:bookmarkEnd w:id="12"/>
      <w:bookmarkEnd w:id="13"/>
      <w:r>
        <w:rPr>
          <w:rFonts w:hint="eastAsia"/>
        </w:rPr>
        <w:t>招标要求</w:t>
      </w:r>
      <w:bookmarkEnd w:id="14"/>
      <w:bookmarkEnd w:id="15"/>
      <w:bookmarkEnd w:id="16"/>
      <w:bookmarkEnd w:id="17"/>
    </w:p>
    <w:p>
      <w:pPr>
        <w:widowControl/>
        <w:tabs>
          <w:tab w:val="left" w:pos="618"/>
        </w:tabs>
        <w:snapToGrid w:val="0"/>
        <w:rPr>
          <w:rFonts w:ascii="宋体" w:hAnsi="宋体" w:eastAsia="宋体" w:cs="宋体"/>
          <w:b/>
          <w:bCs/>
          <w:kern w:val="0"/>
          <w:sz w:val="32"/>
          <w:szCs w:val="32"/>
        </w:rPr>
      </w:pPr>
      <w:bookmarkStart w:id="18" w:name="_Toc16804"/>
      <w:bookmarkStart w:id="19" w:name="_Toc14104"/>
      <w:bookmarkStart w:id="20" w:name="_Toc14911"/>
      <w:bookmarkStart w:id="21" w:name="_Toc361840245"/>
      <w:bookmarkStart w:id="22" w:name="_Toc452032115"/>
      <w:bookmarkStart w:id="23" w:name="_Toc267320054"/>
      <w:r>
        <w:rPr>
          <w:rFonts w:hint="eastAsia" w:ascii="宋体" w:hAnsi="宋体" w:eastAsia="宋体" w:cs="宋体"/>
          <w:b/>
          <w:bCs/>
          <w:kern w:val="0"/>
          <w:sz w:val="32"/>
          <w:szCs w:val="32"/>
        </w:rPr>
        <w:t>一、说明</w:t>
      </w:r>
    </w:p>
    <w:p>
      <w:pPr>
        <w:widowControl/>
        <w:numPr>
          <w:ilvl w:val="1"/>
          <w:numId w:val="5"/>
        </w:numPr>
        <w:tabs>
          <w:tab w:val="left" w:pos="-105"/>
          <w:tab w:val="left" w:pos="210"/>
          <w:tab w:val="left" w:pos="420"/>
        </w:tabs>
        <w:snapToGrid w:val="0"/>
        <w:ind w:left="0" w:firstLine="0"/>
        <w:jc w:val="left"/>
        <w:rPr>
          <w:rFonts w:ascii="仿宋" w:hAnsi="仿宋" w:cs="仿宋"/>
          <w:lang w:bidi="ar"/>
        </w:rPr>
      </w:pPr>
      <w:r>
        <w:rPr>
          <w:rFonts w:hint="eastAsia" w:ascii="仿宋" w:hAnsi="仿宋" w:cs="仿宋"/>
          <w:lang w:bidi="ar"/>
        </w:rPr>
        <w:t>《关于防止领导干部在公款存放方面发生利益冲突和利益输送的办法》(浙委办发〔2015〕8号)、《浙江省财政厅关于印发浙江省省级行政事业单位公款竞争性存放管理办法的通知》（浙财预执〔2021〕7号）、《苍南县县级预算单位公款竞争性存放管理暂行办法》（苍政办〔2019〕7号）等规定、尽量满足资金的安全性并结合本项目的实际组织和实施，具体以本招标文件为准。</w:t>
      </w:r>
    </w:p>
    <w:p>
      <w:pPr>
        <w:widowControl/>
        <w:numPr>
          <w:ilvl w:val="1"/>
          <w:numId w:val="5"/>
        </w:numPr>
        <w:tabs>
          <w:tab w:val="left" w:pos="-105"/>
          <w:tab w:val="left" w:pos="210"/>
          <w:tab w:val="left" w:pos="420"/>
        </w:tabs>
        <w:snapToGrid w:val="0"/>
        <w:ind w:left="0" w:firstLine="0"/>
        <w:jc w:val="left"/>
        <w:rPr>
          <w:rFonts w:ascii="仿宋" w:hAnsi="仿宋" w:cs="仿宋"/>
          <w:bCs/>
          <w:kern w:val="28"/>
        </w:rPr>
      </w:pPr>
      <w:r>
        <w:rPr>
          <w:rFonts w:hint="eastAsia" w:ascii="仿宋" w:hAnsi="仿宋" w:cs="仿宋"/>
        </w:rPr>
        <w:t>资金来源</w:t>
      </w:r>
      <w:r>
        <w:rPr>
          <w:rFonts w:hint="eastAsia" w:ascii="仿宋" w:hAnsi="仿宋" w:cs="仿宋"/>
          <w:bCs/>
          <w:kern w:val="28"/>
        </w:rPr>
        <w:t>：执行款。</w:t>
      </w:r>
    </w:p>
    <w:p>
      <w:pPr>
        <w:widowControl/>
        <w:numPr>
          <w:ilvl w:val="1"/>
          <w:numId w:val="5"/>
        </w:numPr>
        <w:tabs>
          <w:tab w:val="left" w:pos="-105"/>
          <w:tab w:val="left" w:pos="210"/>
          <w:tab w:val="left" w:pos="420"/>
        </w:tabs>
        <w:snapToGrid w:val="0"/>
        <w:ind w:left="0" w:firstLine="0"/>
        <w:jc w:val="left"/>
        <w:rPr>
          <w:rFonts w:ascii="仿宋" w:hAnsi="仿宋" w:cs="仿宋"/>
          <w:bCs/>
          <w:kern w:val="28"/>
        </w:rPr>
      </w:pPr>
      <w:r>
        <w:rPr>
          <w:rFonts w:hint="eastAsia" w:ascii="仿宋" w:hAnsi="仿宋" w:cs="仿宋"/>
          <w:bCs/>
          <w:kern w:val="28"/>
        </w:rPr>
        <w:t>投标人应独立投标，不得联合投标或借用资质。</w:t>
      </w:r>
    </w:p>
    <w:p>
      <w:pPr>
        <w:widowControl/>
        <w:numPr>
          <w:ilvl w:val="1"/>
          <w:numId w:val="5"/>
        </w:numPr>
        <w:tabs>
          <w:tab w:val="left" w:pos="-105"/>
          <w:tab w:val="left" w:pos="210"/>
          <w:tab w:val="left" w:pos="420"/>
        </w:tabs>
        <w:snapToGrid w:val="0"/>
        <w:ind w:left="0" w:firstLine="0"/>
        <w:jc w:val="left"/>
        <w:rPr>
          <w:rFonts w:ascii="仿宋" w:hAnsi="仿宋" w:cs="仿宋"/>
          <w:bCs/>
          <w:kern w:val="28"/>
        </w:rPr>
      </w:pPr>
      <w:r>
        <w:rPr>
          <w:rFonts w:hint="eastAsia" w:ascii="仿宋" w:hAnsi="仿宋" w:cs="仿宋"/>
          <w:bCs/>
          <w:kern w:val="28"/>
        </w:rPr>
        <w:t>本次招标标的为</w:t>
      </w:r>
      <w:r>
        <w:rPr>
          <w:rFonts w:hint="eastAsia" w:ascii="仿宋" w:hAnsi="仿宋" w:cs="仿宋"/>
          <w:bCs/>
          <w:color w:val="000000"/>
          <w:lang w:eastAsia="zh-CN"/>
        </w:rPr>
        <w:t>苍南县人民法院2024年度公款竞争性存放项目</w:t>
      </w:r>
      <w:r>
        <w:rPr>
          <w:rFonts w:hint="eastAsia" w:ascii="仿宋" w:hAnsi="仿宋" w:cs="仿宋"/>
          <w:bCs/>
          <w:kern w:val="28"/>
        </w:rPr>
        <w:t>。</w:t>
      </w:r>
    </w:p>
    <w:p>
      <w:pPr>
        <w:widowControl/>
        <w:numPr>
          <w:ilvl w:val="1"/>
          <w:numId w:val="5"/>
        </w:numPr>
        <w:tabs>
          <w:tab w:val="left" w:pos="-105"/>
          <w:tab w:val="left" w:pos="210"/>
          <w:tab w:val="left" w:pos="420"/>
        </w:tabs>
        <w:snapToGrid w:val="0"/>
        <w:ind w:left="0" w:firstLine="0"/>
        <w:jc w:val="left"/>
        <w:rPr>
          <w:rFonts w:ascii="仿宋" w:hAnsi="仿宋" w:cs="仿宋"/>
          <w:bCs/>
          <w:kern w:val="28"/>
        </w:rPr>
      </w:pPr>
      <w:r>
        <w:rPr>
          <w:rFonts w:hint="eastAsia" w:ascii="仿宋" w:hAnsi="仿宋" w:cs="仿宋"/>
          <w:bCs/>
          <w:kern w:val="28"/>
        </w:rPr>
        <w:t xml:space="preserve">主要招标范围及内容包括： </w:t>
      </w:r>
      <w:r>
        <w:rPr>
          <w:rFonts w:hint="eastAsia" w:ascii="仿宋" w:hAnsi="仿宋" w:cs="仿宋"/>
          <w:bCs/>
          <w:kern w:val="28"/>
          <w:lang w:val="en-US" w:eastAsia="zh-CN"/>
        </w:rPr>
        <w:t>7</w:t>
      </w:r>
      <w:r>
        <w:rPr>
          <w:rFonts w:hint="eastAsia" w:ascii="仿宋" w:hAnsi="仿宋" w:cs="仿宋"/>
          <w:bCs/>
          <w:kern w:val="28"/>
        </w:rPr>
        <w:t>000 万元，分为二个标段：标段一：</w:t>
      </w:r>
      <w:r>
        <w:rPr>
          <w:rFonts w:hint="eastAsia" w:ascii="仿宋" w:hAnsi="仿宋" w:cs="仿宋"/>
          <w:bCs/>
          <w:kern w:val="28"/>
          <w:lang w:val="en-US" w:eastAsia="zh-CN"/>
        </w:rPr>
        <w:t>3</w:t>
      </w:r>
      <w:r>
        <w:rPr>
          <w:rFonts w:ascii="仿宋" w:hAnsi="仿宋" w:cs="仿宋"/>
          <w:bCs/>
          <w:kern w:val="28"/>
        </w:rPr>
        <w:t>5</w:t>
      </w:r>
      <w:r>
        <w:rPr>
          <w:rFonts w:hint="eastAsia" w:ascii="仿宋" w:hAnsi="仿宋" w:cs="仿宋"/>
          <w:bCs/>
          <w:kern w:val="28"/>
        </w:rPr>
        <w:t>00万元、标段二：</w:t>
      </w:r>
      <w:r>
        <w:rPr>
          <w:rFonts w:hint="eastAsia" w:ascii="仿宋" w:hAnsi="仿宋" w:cs="仿宋"/>
          <w:bCs/>
          <w:kern w:val="28"/>
          <w:lang w:val="en-US" w:eastAsia="zh-CN"/>
        </w:rPr>
        <w:t>3</w:t>
      </w:r>
      <w:r>
        <w:rPr>
          <w:rFonts w:ascii="仿宋" w:hAnsi="仿宋" w:cs="仿宋"/>
          <w:bCs/>
          <w:kern w:val="28"/>
        </w:rPr>
        <w:t>500</w:t>
      </w:r>
      <w:r>
        <w:rPr>
          <w:rFonts w:hint="eastAsia" w:ascii="仿宋" w:hAnsi="仿宋" w:cs="仿宋"/>
          <w:bCs/>
          <w:kern w:val="28"/>
        </w:rPr>
        <w:t xml:space="preserve"> 万元。</w:t>
      </w:r>
    </w:p>
    <w:p>
      <w:pPr>
        <w:widowControl/>
        <w:tabs>
          <w:tab w:val="left" w:pos="-105"/>
          <w:tab w:val="left" w:pos="210"/>
          <w:tab w:val="left" w:pos="420"/>
        </w:tabs>
        <w:snapToGrid w:val="0"/>
        <w:ind w:firstLine="482" w:firstLineChars="200"/>
        <w:jc w:val="left"/>
        <w:rPr>
          <w:rFonts w:ascii="仿宋" w:hAnsi="仿宋" w:cs="仿宋"/>
          <w:b/>
          <w:color w:val="000000" w:themeColor="text1"/>
          <w:kern w:val="28"/>
          <w14:textFill>
            <w14:solidFill>
              <w14:schemeClr w14:val="tx1"/>
            </w14:solidFill>
          </w14:textFill>
        </w:rPr>
      </w:pPr>
      <w:r>
        <w:rPr>
          <w:rFonts w:hint="eastAsia" w:ascii="仿宋" w:hAnsi="仿宋" w:cs="仿宋"/>
          <w:b/>
          <w:color w:val="000000" w:themeColor="text1"/>
          <w:kern w:val="28"/>
          <w14:textFill>
            <w14:solidFill>
              <w14:schemeClr w14:val="tx1"/>
            </w14:solidFill>
          </w14:textFill>
        </w:rPr>
        <w:t>注：</w:t>
      </w:r>
    </w:p>
    <w:p>
      <w:pPr>
        <w:widowControl/>
        <w:tabs>
          <w:tab w:val="left" w:pos="-105"/>
          <w:tab w:val="left" w:pos="210"/>
          <w:tab w:val="left" w:pos="420"/>
        </w:tabs>
        <w:snapToGrid w:val="0"/>
        <w:ind w:firstLine="482" w:firstLineChars="200"/>
        <w:jc w:val="left"/>
        <w:rPr>
          <w:rFonts w:ascii="仿宋" w:hAnsi="仿宋" w:cs="仿宋"/>
          <w:b/>
          <w:color w:val="000000" w:themeColor="text1"/>
          <w:kern w:val="28"/>
          <w14:textFill>
            <w14:solidFill>
              <w14:schemeClr w14:val="tx1"/>
            </w14:solidFill>
          </w14:textFill>
        </w:rPr>
      </w:pPr>
      <w:r>
        <w:rPr>
          <w:rFonts w:hint="eastAsia" w:ascii="仿宋" w:hAnsi="仿宋" w:cs="仿宋"/>
          <w:b/>
          <w:color w:val="000000" w:themeColor="text1"/>
          <w:kern w:val="28"/>
          <w14:textFill>
            <w14:solidFill>
              <w14:schemeClr w14:val="tx1"/>
            </w14:solidFill>
          </w14:textFill>
        </w:rPr>
        <w:t>①中标后资金具体存入时间以招标人指定的时间为准，中标人不得因存放金额增减、存入时间的变化而要求降低利率及服务内容。</w:t>
      </w:r>
    </w:p>
    <w:p>
      <w:pPr>
        <w:widowControl/>
        <w:tabs>
          <w:tab w:val="left" w:pos="-105"/>
          <w:tab w:val="left" w:pos="210"/>
          <w:tab w:val="left" w:pos="420"/>
        </w:tabs>
        <w:snapToGrid w:val="0"/>
        <w:ind w:firstLine="482" w:firstLineChars="200"/>
        <w:jc w:val="left"/>
        <w:rPr>
          <w:rFonts w:ascii="仿宋" w:hAnsi="仿宋" w:cs="仿宋"/>
          <w:b/>
          <w:color w:val="000000" w:themeColor="text1"/>
          <w:kern w:val="28"/>
          <w14:textFill>
            <w14:solidFill>
              <w14:schemeClr w14:val="tx1"/>
            </w14:solidFill>
          </w14:textFill>
        </w:rPr>
      </w:pPr>
      <w:r>
        <w:rPr>
          <w:rFonts w:hint="eastAsia" w:ascii="仿宋" w:hAnsi="仿宋" w:cs="仿宋"/>
          <w:b/>
          <w:color w:val="000000" w:themeColor="text1"/>
          <w:kern w:val="28"/>
          <w14:textFill>
            <w14:solidFill>
              <w14:schemeClr w14:val="tx1"/>
            </w14:solidFill>
          </w14:textFill>
        </w:rPr>
        <w:t>②存放时间是以划转入账时间之日起定存一年。</w:t>
      </w:r>
    </w:p>
    <w:p>
      <w:pPr>
        <w:widowControl/>
        <w:tabs>
          <w:tab w:val="left" w:pos="-105"/>
          <w:tab w:val="left" w:pos="210"/>
          <w:tab w:val="left" w:pos="420"/>
        </w:tabs>
        <w:snapToGrid w:val="0"/>
        <w:ind w:firstLine="482" w:firstLineChars="200"/>
        <w:jc w:val="left"/>
        <w:rPr>
          <w:rFonts w:ascii="仿宋" w:hAnsi="仿宋" w:cs="仿宋"/>
          <w:b/>
          <w:color w:val="000000" w:themeColor="text1"/>
          <w:kern w:val="28"/>
          <w14:textFill>
            <w14:solidFill>
              <w14:schemeClr w14:val="tx1"/>
            </w14:solidFill>
          </w14:textFill>
        </w:rPr>
      </w:pPr>
      <w:r>
        <w:rPr>
          <w:rFonts w:hint="eastAsia" w:ascii="仿宋" w:hAnsi="仿宋" w:cs="仿宋"/>
          <w:b/>
          <w:color w:val="000000" w:themeColor="text1"/>
          <w:kern w:val="28"/>
          <w14:textFill>
            <w14:solidFill>
              <w14:schemeClr w14:val="tx1"/>
            </w14:solidFill>
          </w14:textFill>
        </w:rPr>
        <w:t>③招标人可以根据实际需求将每个标段的中标金额划分成多个存单存入乙方指定办理定期存款的分支机构。</w:t>
      </w:r>
    </w:p>
    <w:p>
      <w:pPr>
        <w:widowControl/>
        <w:tabs>
          <w:tab w:val="left" w:pos="618"/>
        </w:tabs>
        <w:snapToGrid w:val="0"/>
        <w:rPr>
          <w:rFonts w:ascii="宋体" w:hAnsi="宋体" w:eastAsia="宋体" w:cs="宋体"/>
          <w:b/>
          <w:bCs/>
          <w:kern w:val="0"/>
          <w:sz w:val="32"/>
          <w:szCs w:val="32"/>
        </w:rPr>
      </w:pPr>
      <w:r>
        <w:rPr>
          <w:rFonts w:hint="eastAsia" w:ascii="宋体" w:hAnsi="宋体" w:eastAsia="宋体" w:cs="宋体"/>
          <w:b/>
          <w:bCs/>
          <w:kern w:val="0"/>
          <w:sz w:val="32"/>
          <w:szCs w:val="32"/>
        </w:rPr>
        <w:t>二、定义及解释</w:t>
      </w:r>
    </w:p>
    <w:p>
      <w:pPr>
        <w:widowControl/>
        <w:numPr>
          <w:ilvl w:val="1"/>
          <w:numId w:val="5"/>
        </w:numPr>
        <w:tabs>
          <w:tab w:val="left" w:pos="210"/>
          <w:tab w:val="left" w:pos="525"/>
        </w:tabs>
        <w:snapToGrid w:val="0"/>
        <w:ind w:left="0" w:firstLine="0"/>
        <w:rPr>
          <w:rFonts w:ascii="宋体" w:hAnsi="宋体" w:cs="宋体"/>
        </w:rPr>
      </w:pPr>
      <w:r>
        <w:rPr>
          <w:rFonts w:hint="eastAsia" w:ascii="宋体" w:hAnsi="宋体" w:cs="宋体"/>
        </w:rPr>
        <w:t>招标人（招标人）：系指按有关规定，提出招标项目、进行招标的苍南县人民法院。</w:t>
      </w:r>
    </w:p>
    <w:p>
      <w:pPr>
        <w:widowControl/>
        <w:numPr>
          <w:ilvl w:val="1"/>
          <w:numId w:val="5"/>
        </w:numPr>
        <w:tabs>
          <w:tab w:val="left" w:pos="0"/>
          <w:tab w:val="left" w:pos="105"/>
          <w:tab w:val="left" w:pos="525"/>
        </w:tabs>
        <w:snapToGrid w:val="0"/>
        <w:ind w:left="0" w:firstLine="0"/>
        <w:rPr>
          <w:rFonts w:ascii="宋体" w:hAnsi="宋体" w:cs="宋体"/>
        </w:rPr>
      </w:pPr>
      <w:r>
        <w:rPr>
          <w:rFonts w:hint="eastAsia" w:ascii="宋体" w:hAnsi="宋体" w:cs="宋体"/>
        </w:rPr>
        <w:t>招标代理机构：系指依法受招标人委托，组织本次招标的杭州华旗招标代理有限公司。</w:t>
      </w:r>
    </w:p>
    <w:p>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rPr>
        <w:t>投标人：投标人是指响应本次招标并符合本招标公告投标资格要求的相应机构。</w:t>
      </w:r>
    </w:p>
    <w:p>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rPr>
        <w:t>中标人：系指在本次招标中中标的投标人。</w:t>
      </w:r>
    </w:p>
    <w:p>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rPr>
        <w:t>评标委员会：组建的专门负责招标评审工作的临时性机构。</w:t>
      </w:r>
    </w:p>
    <w:p>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rPr>
        <w:t>日期：指公历日；时间：指北京时间。</w:t>
      </w:r>
    </w:p>
    <w:p>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rPr>
        <w:t>合同：指由招标所产生的合同或合约文件。</w:t>
      </w:r>
    </w:p>
    <w:p>
      <w:pPr>
        <w:widowControl/>
        <w:numPr>
          <w:ilvl w:val="1"/>
          <w:numId w:val="5"/>
        </w:numPr>
        <w:tabs>
          <w:tab w:val="left" w:pos="0"/>
          <w:tab w:val="left" w:pos="105"/>
          <w:tab w:val="left" w:pos="525"/>
        </w:tabs>
        <w:snapToGrid w:val="0"/>
        <w:ind w:left="0" w:firstLine="0"/>
        <w:rPr>
          <w:rFonts w:ascii="宋体" w:hAnsi="宋体" w:cs="宋体"/>
        </w:rPr>
      </w:pPr>
      <w:r>
        <w:rPr>
          <w:rFonts w:hint="eastAsia" w:ascii="宋体" w:hAnsi="宋体" w:cs="宋体"/>
        </w:rPr>
        <w:t>招标文件中的标题或题名仅起引导作用，而不应视为对招标文件内容的理解和解释。</w:t>
      </w:r>
    </w:p>
    <w:p>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spacing w:val="-10"/>
        </w:rPr>
        <w:t>“书面形式”是指任何手写的、打印的或印刷的文件，包括电报和传真发送。</w:t>
      </w:r>
    </w:p>
    <w:p>
      <w:pPr>
        <w:widowControl/>
        <w:tabs>
          <w:tab w:val="left" w:pos="618"/>
        </w:tabs>
        <w:snapToGrid w:val="0"/>
        <w:rPr>
          <w:rFonts w:ascii="宋体" w:hAnsi="宋体" w:eastAsia="宋体" w:cs="宋体"/>
          <w:b/>
          <w:bCs/>
          <w:kern w:val="0"/>
          <w:sz w:val="32"/>
          <w:szCs w:val="32"/>
        </w:rPr>
      </w:pPr>
      <w:r>
        <w:rPr>
          <w:rFonts w:hint="eastAsia" w:ascii="宋体" w:hAnsi="宋体" w:eastAsia="宋体" w:cs="宋体"/>
          <w:b/>
          <w:bCs/>
          <w:kern w:val="0"/>
          <w:sz w:val="32"/>
          <w:szCs w:val="32"/>
        </w:rPr>
        <w:t>三、其他</w:t>
      </w:r>
      <w:bookmarkEnd w:id="18"/>
      <w:bookmarkEnd w:id="19"/>
      <w:bookmarkEnd w:id="20"/>
      <w:bookmarkEnd w:id="21"/>
      <w:bookmarkEnd w:id="22"/>
      <w:bookmarkEnd w:id="23"/>
    </w:p>
    <w:p>
      <w:pPr>
        <w:ind w:firstLine="463" w:firstLineChars="193"/>
        <w:rPr>
          <w:rFonts w:ascii="Arial" w:hAnsi="Arial" w:cs="Arial"/>
        </w:rPr>
      </w:pPr>
      <w:r>
        <w:rPr>
          <w:rFonts w:ascii="Arial" w:hAnsi="Arial" w:cs="Arial"/>
        </w:rPr>
        <w:t>1</w:t>
      </w:r>
      <w:r>
        <w:rPr>
          <w:rFonts w:ascii="Arial" w:hAnsi="新宋体" w:cs="Arial"/>
        </w:rPr>
        <w:t>、投标银行必须在投标文件中对服务内容明确承诺，承诺内容必须达到本需求及招标文件其他条款的要求。</w:t>
      </w:r>
    </w:p>
    <w:p>
      <w:pPr>
        <w:ind w:firstLine="463" w:firstLineChars="193"/>
        <w:rPr>
          <w:rFonts w:ascii="Arial" w:hAnsi="Arial" w:cs="Arial"/>
        </w:rPr>
      </w:pPr>
      <w:r>
        <w:rPr>
          <w:rFonts w:ascii="Arial" w:hAnsi="新宋体" w:cs="Arial"/>
        </w:rPr>
        <w:t>注：如中标后中标银行不能履行其投标文件中的承诺，招标单位可报请监管部门同意后，取消其中标资格，</w:t>
      </w:r>
      <w:r>
        <w:rPr>
          <w:rFonts w:hint="eastAsia" w:ascii="Arial" w:hAnsi="新宋体" w:cs="Arial"/>
        </w:rPr>
        <w:t>重新组织招标</w:t>
      </w:r>
      <w:r>
        <w:rPr>
          <w:rFonts w:ascii="Arial" w:hAnsi="新宋体" w:cs="Arial"/>
        </w:rPr>
        <w:t>。</w:t>
      </w:r>
    </w:p>
    <w:p>
      <w:pPr>
        <w:ind w:firstLine="465" w:firstLineChars="193"/>
        <w:rPr>
          <w:rFonts w:ascii="Arial" w:hAnsi="Arial" w:cs="Arial"/>
          <w:b/>
        </w:rPr>
      </w:pPr>
      <w:r>
        <w:rPr>
          <w:rFonts w:ascii="Arial" w:hAnsi="Arial" w:cs="Arial"/>
          <w:b/>
        </w:rPr>
        <w:t>2</w:t>
      </w:r>
      <w:r>
        <w:rPr>
          <w:rFonts w:ascii="Arial" w:hAnsi="新宋体" w:cs="Arial"/>
          <w:b/>
        </w:rPr>
        <w:t>、中标银行出现以下情形之一的，招标单位有权提前收回存放公款（即协议终止条件）：</w:t>
      </w:r>
    </w:p>
    <w:p>
      <w:pPr>
        <w:ind w:firstLine="463" w:firstLineChars="193"/>
        <w:rPr>
          <w:rFonts w:ascii="Arial" w:hAnsi="新宋体" w:cs="Arial"/>
        </w:rPr>
      </w:pPr>
      <w:r>
        <w:rPr>
          <w:rFonts w:ascii="Arial" w:hAnsi="新宋体" w:cs="Arial"/>
        </w:rPr>
        <w:t>（</w:t>
      </w:r>
      <w:r>
        <w:rPr>
          <w:rFonts w:hint="eastAsia" w:ascii="Arial" w:hAnsi="新宋体" w:cs="Arial"/>
        </w:rPr>
        <w:t>1</w:t>
      </w:r>
      <w:r>
        <w:rPr>
          <w:rFonts w:ascii="Arial" w:hAnsi="新宋体" w:cs="Arial"/>
        </w:rPr>
        <w:t>）未</w:t>
      </w:r>
      <w:r>
        <w:rPr>
          <w:rFonts w:hint="eastAsia" w:ascii="Arial" w:hAnsi="新宋体" w:cs="Arial"/>
        </w:rPr>
        <w:t>按</w:t>
      </w:r>
      <w:r>
        <w:rPr>
          <w:rFonts w:ascii="Arial" w:hAnsi="新宋体" w:cs="Arial"/>
        </w:rPr>
        <w:t>规定及时汇划</w:t>
      </w:r>
      <w:r>
        <w:rPr>
          <w:rFonts w:hint="eastAsia" w:ascii="Arial" w:hAnsi="新宋体" w:cs="Arial"/>
        </w:rPr>
        <w:t>利息</w:t>
      </w:r>
      <w:r>
        <w:rPr>
          <w:rFonts w:ascii="Arial" w:hAnsi="新宋体" w:cs="Arial"/>
        </w:rPr>
        <w:t>的；</w:t>
      </w:r>
    </w:p>
    <w:p>
      <w:pPr>
        <w:ind w:firstLine="463" w:firstLineChars="193"/>
        <w:rPr>
          <w:rFonts w:ascii="Arial" w:hAnsi="新宋体" w:cs="Arial"/>
        </w:rPr>
      </w:pPr>
      <w:r>
        <w:rPr>
          <w:rFonts w:ascii="Arial" w:hAnsi="新宋体" w:cs="Arial"/>
        </w:rPr>
        <w:t>（</w:t>
      </w:r>
      <w:r>
        <w:rPr>
          <w:rFonts w:hint="eastAsia" w:ascii="Arial" w:hAnsi="新宋体" w:cs="Arial"/>
        </w:rPr>
        <w:t>2</w:t>
      </w:r>
      <w:r>
        <w:rPr>
          <w:rFonts w:ascii="Arial" w:hAnsi="新宋体" w:cs="Arial"/>
        </w:rPr>
        <w:t>）出现资金安全事故和重大违法违规，导致财务恶化或引起信用危机的；</w:t>
      </w:r>
    </w:p>
    <w:p>
      <w:pPr>
        <w:ind w:firstLine="463" w:firstLineChars="193"/>
        <w:rPr>
          <w:rFonts w:ascii="Arial" w:hAnsi="新宋体" w:cs="Arial"/>
        </w:rPr>
      </w:pPr>
      <w:r>
        <w:rPr>
          <w:rFonts w:ascii="Arial" w:hAnsi="新宋体" w:cs="Arial"/>
        </w:rPr>
        <w:t>（</w:t>
      </w:r>
      <w:r>
        <w:rPr>
          <w:rFonts w:hint="eastAsia" w:ascii="Arial" w:hAnsi="新宋体" w:cs="Arial"/>
        </w:rPr>
        <w:t>3</w:t>
      </w:r>
      <w:r>
        <w:rPr>
          <w:rFonts w:ascii="Arial" w:hAnsi="新宋体" w:cs="Arial"/>
        </w:rPr>
        <w:t>）监管评级降低,监管部门认为存在较大运营风险的；</w:t>
      </w:r>
    </w:p>
    <w:p>
      <w:pPr>
        <w:ind w:firstLine="463" w:firstLineChars="193"/>
        <w:rPr>
          <w:rFonts w:ascii="Arial" w:hAnsi="新宋体" w:cs="Arial"/>
        </w:rPr>
      </w:pPr>
      <w:r>
        <w:rPr>
          <w:rFonts w:ascii="Arial" w:hAnsi="新宋体" w:cs="Arial"/>
        </w:rPr>
        <w:t>（</w:t>
      </w:r>
      <w:r>
        <w:rPr>
          <w:rFonts w:hint="eastAsia" w:ascii="Arial" w:hAnsi="新宋体" w:cs="Arial"/>
        </w:rPr>
        <w:t>4</w:t>
      </w:r>
      <w:r>
        <w:rPr>
          <w:rFonts w:ascii="Arial" w:hAnsi="新宋体" w:cs="Arial"/>
        </w:rPr>
        <w:t>）未遵守廉政承诺或者在资金存放中存在其他利益输送行为的；</w:t>
      </w:r>
    </w:p>
    <w:p>
      <w:pPr>
        <w:ind w:firstLine="463" w:firstLineChars="193"/>
        <w:rPr>
          <w:rFonts w:ascii="Arial" w:hAnsi="新宋体" w:cs="Arial"/>
        </w:rPr>
      </w:pPr>
      <w:r>
        <w:rPr>
          <w:rFonts w:ascii="Arial" w:hAnsi="新宋体" w:cs="Arial"/>
        </w:rPr>
        <w:t>（</w:t>
      </w:r>
      <w:r>
        <w:rPr>
          <w:rFonts w:hint="eastAsia" w:ascii="Arial" w:hAnsi="新宋体" w:cs="Arial"/>
        </w:rPr>
        <w:t>5</w:t>
      </w:r>
      <w:r>
        <w:rPr>
          <w:rFonts w:ascii="Arial" w:hAnsi="新宋体" w:cs="Arial"/>
        </w:rPr>
        <w:t>）未按照中标存款协议履行相应的责任和义务的；</w:t>
      </w:r>
    </w:p>
    <w:p>
      <w:pPr>
        <w:ind w:firstLine="463" w:firstLineChars="193"/>
        <w:rPr>
          <w:rFonts w:ascii="Arial" w:hAnsi="新宋体" w:cs="Arial"/>
        </w:rPr>
      </w:pPr>
      <w:r>
        <w:rPr>
          <w:rFonts w:ascii="Arial" w:hAnsi="新宋体" w:cs="Arial"/>
        </w:rPr>
        <w:t>（</w:t>
      </w:r>
      <w:r>
        <w:rPr>
          <w:rFonts w:hint="eastAsia" w:ascii="Arial" w:hAnsi="新宋体" w:cs="Arial"/>
        </w:rPr>
        <w:t>6</w:t>
      </w:r>
      <w:r>
        <w:rPr>
          <w:rFonts w:ascii="Arial" w:hAnsi="新宋体" w:cs="Arial"/>
        </w:rPr>
        <w:t>）存在弄虚作假等严重不正当竞争行为的；</w:t>
      </w:r>
    </w:p>
    <w:p>
      <w:pPr>
        <w:ind w:firstLine="463" w:firstLineChars="193"/>
      </w:pPr>
      <w:r>
        <w:rPr>
          <w:rFonts w:ascii="Arial" w:hAnsi="新宋体" w:cs="Arial"/>
        </w:rPr>
        <w:t>（</w:t>
      </w:r>
      <w:r>
        <w:rPr>
          <w:rFonts w:hint="eastAsia" w:ascii="Arial" w:hAnsi="新宋体" w:cs="Arial"/>
        </w:rPr>
        <w:t>7</w:t>
      </w:r>
      <w:r>
        <w:rPr>
          <w:rFonts w:ascii="Arial" w:hAnsi="新宋体" w:cs="Arial"/>
        </w:rPr>
        <w:t>）可能危及资金安全的其他情况。</w:t>
      </w:r>
    </w:p>
    <w:p/>
    <w:p>
      <w:pPr>
        <w:pStyle w:val="37"/>
      </w:pPr>
      <w:bookmarkStart w:id="24" w:name="_Toc440162785"/>
      <w:bookmarkStart w:id="25" w:name="_Toc446950602"/>
      <w:bookmarkStart w:id="26" w:name="_Toc13673"/>
      <w:bookmarkStart w:id="27" w:name="_Toc18468"/>
      <w:bookmarkStart w:id="28" w:name="_Toc25735"/>
      <w:bookmarkStart w:id="29" w:name="_Toc424164153"/>
      <w:bookmarkStart w:id="30" w:name="_Toc16691"/>
      <w:bookmarkStart w:id="31" w:name="_Toc6241"/>
      <w:bookmarkStart w:id="32" w:name="_Toc452032116"/>
      <w:r>
        <w:rPr>
          <w:rFonts w:hint="eastAsia"/>
        </w:rPr>
        <w:br w:type="page"/>
      </w:r>
      <w:r>
        <w:rPr>
          <w:rFonts w:hint="eastAsia"/>
        </w:rPr>
        <w:t>第三章</w:t>
      </w:r>
      <w:r>
        <w:t xml:space="preserve"> </w:t>
      </w:r>
      <w:r>
        <w:rPr>
          <w:rFonts w:hint="eastAsia"/>
        </w:rPr>
        <w:t>投标须知</w:t>
      </w:r>
      <w:bookmarkEnd w:id="24"/>
      <w:bookmarkEnd w:id="25"/>
      <w:bookmarkEnd w:id="26"/>
      <w:bookmarkEnd w:id="27"/>
      <w:bookmarkEnd w:id="28"/>
      <w:bookmarkEnd w:id="29"/>
      <w:bookmarkEnd w:id="30"/>
      <w:bookmarkEnd w:id="31"/>
      <w:bookmarkEnd w:id="32"/>
    </w:p>
    <w:p>
      <w:pPr>
        <w:spacing w:after="240" w:afterLines="100" w:line="400" w:lineRule="exact"/>
        <w:jc w:val="center"/>
        <w:rPr>
          <w:rFonts w:ascii="Arial" w:hAnsi="Arial" w:cs="Arial"/>
          <w:b/>
          <w:color w:val="000000"/>
          <w:kern w:val="0"/>
        </w:rPr>
      </w:pPr>
      <w:r>
        <w:rPr>
          <w:rFonts w:hint="eastAsia" w:ascii="华文中宋" w:hAnsi="华文中宋" w:eastAsia="华文中宋" w:cs="Arial"/>
          <w:b/>
          <w:color w:val="000000"/>
          <w:kern w:val="0"/>
          <w:sz w:val="28"/>
        </w:rPr>
        <w:t>投标须知前附表</w:t>
      </w:r>
    </w:p>
    <w:tbl>
      <w:tblPr>
        <w:tblStyle w:val="39"/>
        <w:tblW w:w="9199" w:type="dxa"/>
        <w:tblInd w:w="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565"/>
        <w:gridCol w:w="69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675" w:type="dxa"/>
            <w:vAlign w:val="center"/>
          </w:tcPr>
          <w:p>
            <w:pPr>
              <w:spacing w:line="276" w:lineRule="auto"/>
              <w:jc w:val="center"/>
              <w:rPr>
                <w:rFonts w:ascii="仿宋" w:hAnsi="仿宋" w:cs="仿宋"/>
                <w:b/>
                <w:color w:val="000000"/>
                <w:w w:val="90"/>
              </w:rPr>
            </w:pPr>
            <w:r>
              <w:rPr>
                <w:rFonts w:hint="eastAsia" w:ascii="仿宋" w:hAnsi="仿宋" w:cs="仿宋"/>
                <w:b/>
                <w:color w:val="000000"/>
                <w:w w:val="90"/>
              </w:rPr>
              <w:t>序号</w:t>
            </w:r>
          </w:p>
        </w:tc>
        <w:tc>
          <w:tcPr>
            <w:tcW w:w="1565" w:type="dxa"/>
            <w:vAlign w:val="center"/>
          </w:tcPr>
          <w:p>
            <w:pPr>
              <w:spacing w:line="276" w:lineRule="auto"/>
              <w:jc w:val="center"/>
              <w:rPr>
                <w:rFonts w:ascii="仿宋" w:hAnsi="仿宋" w:cs="仿宋"/>
                <w:b/>
                <w:color w:val="000000"/>
                <w:w w:val="90"/>
              </w:rPr>
            </w:pPr>
            <w:r>
              <w:rPr>
                <w:rFonts w:hint="eastAsia" w:ascii="仿宋" w:hAnsi="仿宋" w:cs="仿宋"/>
                <w:b/>
                <w:color w:val="000000"/>
                <w:w w:val="90"/>
              </w:rPr>
              <w:t>内容</w:t>
            </w:r>
          </w:p>
        </w:tc>
        <w:tc>
          <w:tcPr>
            <w:tcW w:w="6959" w:type="dxa"/>
            <w:vAlign w:val="center"/>
          </w:tcPr>
          <w:p>
            <w:pPr>
              <w:spacing w:line="276" w:lineRule="auto"/>
              <w:jc w:val="center"/>
              <w:rPr>
                <w:rFonts w:ascii="仿宋" w:hAnsi="仿宋" w:cs="仿宋"/>
                <w:b/>
                <w:color w:val="000000"/>
                <w:w w:val="90"/>
              </w:rPr>
            </w:pPr>
            <w:r>
              <w:rPr>
                <w:rFonts w:hint="eastAsia" w:ascii="仿宋" w:hAnsi="仿宋" w:cs="仿宋"/>
                <w:b/>
                <w:color w:val="000000"/>
                <w:w w:val="90"/>
              </w:rPr>
              <w:t>说明或要求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1</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项目名称</w:t>
            </w:r>
          </w:p>
        </w:tc>
        <w:tc>
          <w:tcPr>
            <w:tcW w:w="6959" w:type="dxa"/>
            <w:vAlign w:val="center"/>
          </w:tcPr>
          <w:p>
            <w:pPr>
              <w:spacing w:line="276" w:lineRule="auto"/>
              <w:rPr>
                <w:rFonts w:hint="eastAsia" w:ascii="仿宋" w:hAnsi="仿宋" w:eastAsia="仿宋" w:cs="仿宋"/>
                <w:color w:val="000000"/>
                <w:w w:val="90"/>
                <w:lang w:eastAsia="zh-CN"/>
              </w:rPr>
            </w:pPr>
            <w:r>
              <w:rPr>
                <w:rFonts w:hint="eastAsia" w:ascii="仿宋" w:hAnsi="仿宋" w:cs="仿宋"/>
                <w:color w:val="000000"/>
                <w:w w:val="90"/>
                <w:lang w:eastAsia="zh-CN"/>
              </w:rPr>
              <w:t>苍南县人民法院2024年度公款竞争性存放项目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2</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项目编号</w:t>
            </w:r>
          </w:p>
        </w:tc>
        <w:tc>
          <w:tcPr>
            <w:tcW w:w="6959" w:type="dxa"/>
            <w:vAlign w:val="center"/>
          </w:tcPr>
          <w:p>
            <w:pPr>
              <w:spacing w:line="276" w:lineRule="auto"/>
              <w:rPr>
                <w:rFonts w:hint="eastAsia" w:ascii="仿宋" w:hAnsi="仿宋" w:eastAsia="仿宋" w:cs="仿宋"/>
                <w:color w:val="000000"/>
                <w:w w:val="90"/>
                <w:lang w:eastAsia="zh-CN"/>
              </w:rPr>
            </w:pPr>
            <w:r>
              <w:rPr>
                <w:rFonts w:hint="eastAsia" w:ascii="仿宋" w:hAnsi="仿宋" w:cs="仿宋"/>
                <w:color w:val="000000"/>
                <w:w w:val="90"/>
                <w:lang w:eastAsia="zh-CN"/>
              </w:rPr>
              <w:t>苍产告字[2024]04号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3</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招标内容</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详见《第一章 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4</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合格投标银行资格要求</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详见《第一章 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5</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招标人</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名称：苍南县人民法院</w:t>
            </w:r>
          </w:p>
          <w:p>
            <w:pPr>
              <w:spacing w:line="276" w:lineRule="auto"/>
              <w:rPr>
                <w:rFonts w:ascii="仿宋" w:hAnsi="仿宋" w:cs="仿宋"/>
                <w:color w:val="000000"/>
                <w:w w:val="90"/>
              </w:rPr>
            </w:pPr>
            <w:r>
              <w:rPr>
                <w:rFonts w:hint="eastAsia" w:ascii="仿宋" w:hAnsi="仿宋" w:cs="仿宋"/>
                <w:color w:val="000000"/>
                <w:w w:val="90"/>
              </w:rPr>
              <w:t>联系人：陈女士   联系电话：0577-64712608</w:t>
            </w:r>
            <w:r>
              <w:rPr>
                <w:rFonts w:ascii="Calibri" w:hAnsi="Calibri" w:cs="Calibri"/>
                <w:color w:val="000000"/>
                <w:w w:val="90"/>
              </w:rPr>
              <w:t> </w:t>
            </w:r>
          </w:p>
          <w:p>
            <w:pPr>
              <w:spacing w:line="276" w:lineRule="auto"/>
              <w:rPr>
                <w:rFonts w:ascii="仿宋" w:hAnsi="仿宋" w:cs="仿宋"/>
                <w:color w:val="000000"/>
                <w:w w:val="90"/>
              </w:rPr>
            </w:pPr>
            <w:r>
              <w:rPr>
                <w:rFonts w:hint="eastAsia" w:ascii="仿宋" w:hAnsi="仿宋" w:cs="仿宋"/>
                <w:color w:val="000000"/>
                <w:w w:val="90"/>
              </w:rPr>
              <w:t>地址：苍南县灵溪镇玉苍路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b/>
                <w:color w:val="000000"/>
                <w:w w:val="90"/>
              </w:rPr>
            </w:pPr>
            <w:r>
              <w:rPr>
                <w:rFonts w:hint="eastAsia" w:ascii="仿宋" w:hAnsi="仿宋" w:cs="仿宋"/>
                <w:color w:val="000000"/>
                <w:w w:val="90"/>
              </w:rPr>
              <w:t>6</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代理机构</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名称：杭州华旗招标代理有限公司</w:t>
            </w:r>
          </w:p>
          <w:p>
            <w:pPr>
              <w:spacing w:line="276" w:lineRule="auto"/>
              <w:rPr>
                <w:rFonts w:ascii="仿宋" w:hAnsi="仿宋" w:cs="仿宋"/>
                <w:color w:val="000000"/>
                <w:w w:val="90"/>
              </w:rPr>
            </w:pPr>
            <w:r>
              <w:rPr>
                <w:rFonts w:hint="eastAsia" w:ascii="仿宋" w:hAnsi="仿宋" w:cs="仿宋"/>
                <w:color w:val="000000"/>
                <w:w w:val="90"/>
              </w:rPr>
              <w:t>联系人：陈维文</w:t>
            </w:r>
          </w:p>
          <w:p>
            <w:pPr>
              <w:spacing w:line="276" w:lineRule="auto"/>
              <w:rPr>
                <w:rFonts w:ascii="仿宋" w:hAnsi="仿宋" w:cs="仿宋"/>
                <w:color w:val="000000"/>
                <w:w w:val="90"/>
              </w:rPr>
            </w:pPr>
            <w:r>
              <w:rPr>
                <w:rFonts w:hint="eastAsia" w:ascii="仿宋" w:hAnsi="仿宋" w:cs="仿宋"/>
                <w:color w:val="000000"/>
                <w:w w:val="90"/>
              </w:rPr>
              <w:t>联系电话：</w:t>
            </w:r>
            <w:r>
              <w:rPr>
                <w:rFonts w:ascii="仿宋" w:hAnsi="仿宋" w:cs="仿宋"/>
                <w:color w:val="000000"/>
                <w:w w:val="90"/>
              </w:rPr>
              <w:t>13738772079</w:t>
            </w:r>
          </w:p>
          <w:p>
            <w:pPr>
              <w:spacing w:line="276" w:lineRule="auto"/>
              <w:rPr>
                <w:rFonts w:ascii="仿宋" w:hAnsi="仿宋" w:cs="仿宋"/>
                <w:color w:val="000000"/>
                <w:w w:val="90"/>
              </w:rPr>
            </w:pPr>
            <w:r>
              <w:rPr>
                <w:rFonts w:hint="eastAsia" w:ascii="仿宋" w:hAnsi="仿宋" w:cs="仿宋"/>
                <w:color w:val="000000"/>
                <w:w w:val="90"/>
              </w:rPr>
              <w:t>地址：苍南县灵溪镇上江小区13栋5号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7</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联合体投标</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8</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分包转包</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9</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标前答疑会</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不召开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10</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现场勘查</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11</w:t>
            </w:r>
          </w:p>
        </w:tc>
        <w:tc>
          <w:tcPr>
            <w:tcW w:w="1565" w:type="dxa"/>
            <w:vAlign w:val="center"/>
          </w:tcPr>
          <w:p>
            <w:pPr>
              <w:spacing w:line="276" w:lineRule="auto"/>
              <w:jc w:val="center"/>
              <w:rPr>
                <w:rFonts w:ascii="仿宋" w:hAnsi="仿宋" w:cs="仿宋"/>
                <w:bCs/>
                <w:color w:val="000000"/>
                <w:w w:val="90"/>
              </w:rPr>
            </w:pPr>
            <w:r>
              <w:rPr>
                <w:rFonts w:hint="eastAsia" w:ascii="仿宋" w:hAnsi="仿宋" w:cs="仿宋"/>
                <w:bCs/>
                <w:color w:val="000000"/>
                <w:w w:val="90"/>
              </w:rPr>
              <w:t>报价</w:t>
            </w:r>
          </w:p>
        </w:tc>
        <w:tc>
          <w:tcPr>
            <w:tcW w:w="6959" w:type="dxa"/>
            <w:vAlign w:val="center"/>
          </w:tcPr>
          <w:p>
            <w:pPr>
              <w:spacing w:line="276" w:lineRule="auto"/>
              <w:rPr>
                <w:rFonts w:ascii="仿宋" w:hAnsi="仿宋" w:cs="仿宋"/>
                <w:bCs/>
                <w:color w:val="000000"/>
                <w:w w:val="90"/>
              </w:rPr>
            </w:pPr>
            <w:r>
              <w:rPr>
                <w:rFonts w:hint="eastAsia" w:ascii="仿宋" w:hAnsi="仿宋" w:cs="仿宋"/>
                <w:bCs/>
                <w:color w:val="000000"/>
                <w:w w:val="90"/>
              </w:rPr>
              <w:t>在央行定期存款基准利率基础上加上一定基点，四舍五入保留三位小数。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13</w:t>
            </w:r>
          </w:p>
        </w:tc>
        <w:tc>
          <w:tcPr>
            <w:tcW w:w="1565" w:type="dxa"/>
            <w:vAlign w:val="center"/>
          </w:tcPr>
          <w:p>
            <w:pPr>
              <w:spacing w:line="276" w:lineRule="auto"/>
              <w:jc w:val="center"/>
              <w:rPr>
                <w:rFonts w:ascii="仿宋" w:hAnsi="仿宋" w:cs="仿宋"/>
                <w:bCs/>
                <w:color w:val="000000"/>
                <w:w w:val="90"/>
              </w:rPr>
            </w:pPr>
            <w:r>
              <w:rPr>
                <w:rFonts w:hint="eastAsia" w:ascii="仿宋" w:hAnsi="仿宋" w:cs="仿宋"/>
                <w:bCs/>
                <w:color w:val="000000"/>
                <w:w w:val="90"/>
              </w:rPr>
              <w:t>《招标文件》询疑截止时间</w:t>
            </w:r>
          </w:p>
        </w:tc>
        <w:tc>
          <w:tcPr>
            <w:tcW w:w="6959" w:type="dxa"/>
            <w:vAlign w:val="center"/>
          </w:tcPr>
          <w:p>
            <w:pPr>
              <w:spacing w:line="276" w:lineRule="auto"/>
              <w:rPr>
                <w:rFonts w:ascii="仿宋" w:hAnsi="仿宋" w:cs="仿宋"/>
                <w:bCs/>
                <w:color w:val="000000"/>
                <w:w w:val="90"/>
              </w:rPr>
            </w:pPr>
            <w:r>
              <w:rPr>
                <w:rFonts w:hint="eastAsia" w:ascii="仿宋" w:hAnsi="仿宋" w:cs="仿宋"/>
                <w:bCs/>
                <w:color w:val="000000"/>
                <w:w w:val="90"/>
              </w:rPr>
              <w:t>供应商如对招标文件</w:t>
            </w:r>
            <w:r>
              <w:rPr>
                <w:rFonts w:hint="eastAsia" w:ascii="仿宋" w:hAnsi="仿宋" w:cs="仿宋"/>
                <w:bCs/>
                <w:color w:val="000000" w:themeColor="text1"/>
                <w:w w:val="90"/>
                <w14:textFill>
                  <w14:solidFill>
                    <w14:schemeClr w14:val="tx1"/>
                  </w14:solidFill>
                </w14:textFill>
              </w:rPr>
              <w:t>有疑问，应在</w:t>
            </w:r>
            <w:r>
              <w:rPr>
                <w:rFonts w:hint="eastAsia" w:ascii="仿宋" w:hAnsi="仿宋" w:cs="仿宋"/>
                <w:bCs/>
                <w:color w:val="000000" w:themeColor="text1"/>
                <w:w w:val="90"/>
                <w:u w:val="single"/>
                <w14:textFill>
                  <w14:solidFill>
                    <w14:schemeClr w14:val="tx1"/>
                  </w14:solidFill>
                </w14:textFill>
              </w:rPr>
              <w:t>202</w:t>
            </w:r>
            <w:r>
              <w:rPr>
                <w:rFonts w:hint="eastAsia" w:ascii="仿宋" w:hAnsi="仿宋" w:cs="仿宋"/>
                <w:bCs/>
                <w:color w:val="000000" w:themeColor="text1"/>
                <w:w w:val="90"/>
                <w:u w:val="single"/>
                <w:lang w:val="en-US" w:eastAsia="zh-CN"/>
                <w14:textFill>
                  <w14:solidFill>
                    <w14:schemeClr w14:val="tx1"/>
                  </w14:solidFill>
                </w14:textFill>
              </w:rPr>
              <w:t>4</w:t>
            </w:r>
            <w:r>
              <w:rPr>
                <w:rFonts w:hint="eastAsia" w:ascii="仿宋" w:hAnsi="仿宋" w:cs="仿宋"/>
                <w:bCs/>
                <w:color w:val="000000" w:themeColor="text1"/>
                <w:w w:val="90"/>
                <w:u w:val="single"/>
                <w14:textFill>
                  <w14:solidFill>
                    <w14:schemeClr w14:val="tx1"/>
                  </w14:solidFill>
                </w14:textFill>
              </w:rPr>
              <w:t>年</w:t>
            </w:r>
            <w:r>
              <w:rPr>
                <w:rFonts w:hint="eastAsia" w:ascii="仿宋" w:hAnsi="仿宋" w:cs="仿宋"/>
                <w:bCs/>
                <w:color w:val="000000" w:themeColor="text1"/>
                <w:w w:val="90"/>
                <w:u w:val="single"/>
                <w:lang w:val="en-US" w:eastAsia="zh-CN"/>
                <w14:textFill>
                  <w14:solidFill>
                    <w14:schemeClr w14:val="tx1"/>
                  </w14:solidFill>
                </w14:textFill>
              </w:rPr>
              <w:t>2</w:t>
            </w:r>
            <w:r>
              <w:rPr>
                <w:rFonts w:hint="eastAsia" w:ascii="仿宋" w:hAnsi="仿宋" w:cs="仿宋"/>
                <w:bCs/>
                <w:color w:val="000000" w:themeColor="text1"/>
                <w:w w:val="90"/>
                <w:u w:val="single"/>
                <w14:textFill>
                  <w14:solidFill>
                    <w14:schemeClr w14:val="tx1"/>
                  </w14:solidFill>
                </w14:textFill>
              </w:rPr>
              <w:t>月</w:t>
            </w:r>
            <w:r>
              <w:rPr>
                <w:rFonts w:hint="eastAsia" w:ascii="仿宋" w:hAnsi="仿宋" w:cs="仿宋"/>
                <w:bCs/>
                <w:color w:val="000000" w:themeColor="text1"/>
                <w:w w:val="90"/>
                <w:u w:val="single"/>
                <w:lang w:val="en-US" w:eastAsia="zh-CN"/>
                <w14:textFill>
                  <w14:solidFill>
                    <w14:schemeClr w14:val="tx1"/>
                  </w14:solidFill>
                </w14:textFill>
              </w:rPr>
              <w:t>9</w:t>
            </w:r>
            <w:r>
              <w:rPr>
                <w:rFonts w:hint="eastAsia" w:ascii="仿宋" w:hAnsi="仿宋" w:cs="仿宋"/>
                <w:bCs/>
                <w:color w:val="000000" w:themeColor="text1"/>
                <w:w w:val="90"/>
                <w:u w:val="single"/>
                <w14:textFill>
                  <w14:solidFill>
                    <w14:schemeClr w14:val="tx1"/>
                  </w14:solidFill>
                </w14:textFill>
              </w:rPr>
              <w:t>日17时</w:t>
            </w:r>
            <w:r>
              <w:rPr>
                <w:rFonts w:hint="eastAsia" w:ascii="仿宋" w:hAnsi="仿宋" w:cs="仿宋"/>
                <w:bCs/>
                <w:color w:val="000000" w:themeColor="text1"/>
                <w:w w:val="90"/>
                <w14:textFill>
                  <w14:solidFill>
                    <w14:schemeClr w14:val="tx1"/>
                  </w14:solidFill>
                </w14:textFill>
              </w:rPr>
              <w:t>前以书面形式向招标组织机构提出询问函（包括信函、传真、扫描件，下同），询问函接收邮箱：</w:t>
            </w:r>
            <w:r>
              <w:rPr>
                <w:rFonts w:ascii="仿宋" w:hAnsi="仿宋" w:cs="仿宋"/>
                <w:bCs/>
                <w:color w:val="000000" w:themeColor="text1"/>
                <w:w w:val="90"/>
                <w14:textFill>
                  <w14:solidFill>
                    <w14:schemeClr w14:val="tx1"/>
                  </w14:solidFill>
                </w14:textFill>
              </w:rPr>
              <w:t>171951585</w:t>
            </w:r>
            <w:r>
              <w:rPr>
                <w:rFonts w:hint="eastAsia" w:ascii="仿宋" w:hAnsi="仿宋" w:cs="仿宋"/>
                <w:bCs/>
                <w:color w:val="000000" w:themeColor="text1"/>
                <w:w w:val="90"/>
                <w14:textFill>
                  <w14:solidFill>
                    <w14:schemeClr w14:val="tx1"/>
                  </w14:solidFill>
                </w14:textFill>
              </w:rPr>
              <w:t>@qq.com。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14</w:t>
            </w:r>
          </w:p>
        </w:tc>
        <w:tc>
          <w:tcPr>
            <w:tcW w:w="1565" w:type="dxa"/>
            <w:vAlign w:val="center"/>
          </w:tcPr>
          <w:p>
            <w:pPr>
              <w:spacing w:line="276" w:lineRule="auto"/>
              <w:jc w:val="center"/>
              <w:rPr>
                <w:rFonts w:ascii="仿宋" w:hAnsi="仿宋" w:cs="仿宋"/>
                <w:color w:val="000000"/>
                <w:w w:val="90"/>
              </w:rPr>
            </w:pPr>
            <w:r>
              <w:rPr>
                <w:rFonts w:hint="eastAsia" w:ascii="仿宋" w:hAnsi="仿宋" w:cs="仿宋"/>
                <w:b/>
                <w:color w:val="000000"/>
                <w:w w:val="90"/>
              </w:rPr>
              <w:t>投标截止时间</w:t>
            </w:r>
          </w:p>
        </w:tc>
        <w:tc>
          <w:tcPr>
            <w:tcW w:w="6959" w:type="dxa"/>
            <w:vAlign w:val="center"/>
          </w:tcPr>
          <w:p>
            <w:pPr>
              <w:spacing w:line="276" w:lineRule="auto"/>
              <w:rPr>
                <w:rFonts w:ascii="仿宋" w:hAnsi="仿宋" w:cs="仿宋"/>
                <w:color w:val="000000"/>
                <w:w w:val="90"/>
              </w:rPr>
            </w:pPr>
            <w:r>
              <w:rPr>
                <w:rFonts w:hint="eastAsia" w:ascii="仿宋" w:hAnsi="仿宋" w:cs="仿宋"/>
                <w:b/>
                <w:color w:val="000000"/>
                <w:w w:val="90"/>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15</w:t>
            </w:r>
          </w:p>
        </w:tc>
        <w:tc>
          <w:tcPr>
            <w:tcW w:w="1565" w:type="dxa"/>
            <w:vAlign w:val="center"/>
          </w:tcPr>
          <w:p>
            <w:pPr>
              <w:spacing w:line="276" w:lineRule="auto"/>
              <w:jc w:val="center"/>
              <w:rPr>
                <w:rFonts w:ascii="仿宋" w:hAnsi="仿宋" w:cs="仿宋"/>
                <w:b/>
                <w:color w:val="000000"/>
                <w:w w:val="90"/>
              </w:rPr>
            </w:pPr>
            <w:r>
              <w:rPr>
                <w:rFonts w:hint="eastAsia" w:ascii="仿宋" w:hAnsi="仿宋" w:cs="仿宋"/>
                <w:b/>
                <w:color w:val="000000"/>
                <w:w w:val="90"/>
              </w:rPr>
              <w:t>投标文件递交地址</w:t>
            </w:r>
          </w:p>
        </w:tc>
        <w:tc>
          <w:tcPr>
            <w:tcW w:w="6959" w:type="dxa"/>
            <w:vAlign w:val="center"/>
          </w:tcPr>
          <w:p>
            <w:pPr>
              <w:spacing w:line="276" w:lineRule="auto"/>
              <w:rPr>
                <w:rFonts w:ascii="仿宋" w:hAnsi="仿宋" w:cs="仿宋"/>
                <w:b/>
                <w:color w:val="000000"/>
                <w:w w:val="90"/>
              </w:rPr>
            </w:pPr>
            <w:r>
              <w:rPr>
                <w:rFonts w:hint="eastAsia" w:ascii="仿宋" w:hAnsi="仿宋" w:cs="仿宋"/>
                <w:b/>
                <w:color w:val="000000"/>
                <w:w w:val="90"/>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17</w:t>
            </w:r>
          </w:p>
        </w:tc>
        <w:tc>
          <w:tcPr>
            <w:tcW w:w="1565" w:type="dxa"/>
            <w:vAlign w:val="center"/>
          </w:tcPr>
          <w:p>
            <w:pPr>
              <w:spacing w:line="276" w:lineRule="auto"/>
              <w:jc w:val="center"/>
              <w:rPr>
                <w:rFonts w:ascii="仿宋" w:hAnsi="仿宋" w:cs="仿宋"/>
                <w:b/>
                <w:color w:val="000000"/>
                <w:w w:val="90"/>
              </w:rPr>
            </w:pPr>
            <w:r>
              <w:rPr>
                <w:rFonts w:hint="eastAsia" w:ascii="仿宋" w:hAnsi="仿宋" w:cs="仿宋"/>
                <w:b/>
                <w:color w:val="000000"/>
                <w:w w:val="90"/>
              </w:rPr>
              <w:t>开标时间及地址</w:t>
            </w:r>
          </w:p>
        </w:tc>
        <w:tc>
          <w:tcPr>
            <w:tcW w:w="6959" w:type="dxa"/>
            <w:vAlign w:val="center"/>
          </w:tcPr>
          <w:p>
            <w:pPr>
              <w:spacing w:line="276" w:lineRule="auto"/>
              <w:rPr>
                <w:rFonts w:ascii="仿宋" w:hAnsi="仿宋" w:cs="仿宋"/>
                <w:b/>
                <w:color w:val="000000"/>
                <w:w w:val="90"/>
              </w:rPr>
            </w:pPr>
            <w:r>
              <w:rPr>
                <w:rFonts w:hint="eastAsia" w:ascii="仿宋" w:hAnsi="仿宋" w:cs="仿宋"/>
                <w:b/>
                <w:color w:val="000000"/>
                <w:w w:val="90"/>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18</w:t>
            </w:r>
          </w:p>
        </w:tc>
        <w:tc>
          <w:tcPr>
            <w:tcW w:w="1565" w:type="dxa"/>
            <w:vAlign w:val="center"/>
          </w:tcPr>
          <w:p>
            <w:pPr>
              <w:spacing w:line="276" w:lineRule="auto"/>
              <w:jc w:val="center"/>
              <w:rPr>
                <w:rFonts w:ascii="仿宋" w:hAnsi="仿宋" w:cs="仿宋"/>
                <w:b/>
                <w:color w:val="000000"/>
                <w:w w:val="90"/>
              </w:rPr>
            </w:pPr>
            <w:r>
              <w:rPr>
                <w:rFonts w:hint="eastAsia" w:ascii="仿宋" w:hAnsi="仿宋" w:cs="仿宋"/>
                <w:color w:val="000000"/>
                <w:w w:val="90"/>
              </w:rPr>
              <w:t>评审办法</w:t>
            </w:r>
          </w:p>
        </w:tc>
        <w:tc>
          <w:tcPr>
            <w:tcW w:w="6959" w:type="dxa"/>
            <w:vAlign w:val="center"/>
          </w:tcPr>
          <w:p>
            <w:pPr>
              <w:spacing w:line="276" w:lineRule="auto"/>
              <w:rPr>
                <w:rFonts w:ascii="仿宋" w:hAnsi="仿宋" w:cs="仿宋"/>
                <w:b/>
                <w:color w:val="000000"/>
                <w:w w:val="90"/>
              </w:rPr>
            </w:pPr>
            <w:r>
              <w:rPr>
                <w:rFonts w:hint="eastAsia" w:ascii="仿宋" w:hAnsi="仿宋" w:cs="仿宋"/>
                <w:color w:val="000000"/>
                <w:w w:val="90"/>
              </w:rPr>
              <w:t>详见《第四章 评审办法及评分标准》。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19</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中标公告</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招标人将在评审结束之日起7个工作日内确定中标（成交）单位，自中标（成交）单位确定之日起2个工作日内发出中标（成交）通知书，并发布中标公告。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20</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合同签订</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中标（成交）通知书发出后30天内，中标（成交）单位应持中标（成交）通知书完成与招标人的合同签订。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21</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投标文件有效期</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u w:val="single"/>
              </w:rPr>
              <w:t>自投标文件提交截止之日起90天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22</w:t>
            </w:r>
          </w:p>
        </w:tc>
        <w:tc>
          <w:tcPr>
            <w:tcW w:w="1565" w:type="dxa"/>
            <w:vAlign w:val="center"/>
          </w:tcPr>
          <w:p>
            <w:pPr>
              <w:spacing w:line="276" w:lineRule="auto"/>
              <w:rPr>
                <w:rFonts w:ascii="仿宋" w:hAnsi="仿宋" w:cs="仿宋"/>
                <w:color w:val="000000"/>
                <w:w w:val="90"/>
              </w:rPr>
            </w:pPr>
            <w:r>
              <w:rPr>
                <w:rFonts w:hint="eastAsia" w:ascii="仿宋" w:hAnsi="仿宋" w:cs="仿宋"/>
                <w:color w:val="000000"/>
                <w:w w:val="90"/>
              </w:rPr>
              <w:t>招标代理服务费</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各标段中标人在领取中标通知书同时向招标代理机构支付招标代理服务费，参照原国家计委《招标代理服务收费管理暂行办法》（[2002]1980号）的服务类收费标准计取；按</w:t>
            </w:r>
            <w:r>
              <w:rPr>
                <w:rFonts w:hint="eastAsia" w:ascii="仿宋" w:hAnsi="仿宋" w:cs="仿宋"/>
                <w:color w:val="000000"/>
                <w:w w:val="90"/>
                <w:lang w:val="en-US" w:eastAsia="zh-CN"/>
              </w:rPr>
              <w:t>每个标段1</w:t>
            </w:r>
            <w:r>
              <w:rPr>
                <w:rFonts w:ascii="仿宋" w:hAnsi="仿宋" w:cs="仿宋"/>
                <w:color w:val="000000"/>
                <w:w w:val="90"/>
              </w:rPr>
              <w:t>0</w:t>
            </w:r>
            <w:r>
              <w:rPr>
                <w:rFonts w:hint="eastAsia" w:ascii="仿宋" w:hAnsi="仿宋" w:cs="仿宋"/>
                <w:color w:val="000000"/>
                <w:w w:val="90"/>
              </w:rPr>
              <w:t>000元计取,此部分费用自行考虑。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23</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供应商代表出席开标大会注意事项</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投标银行应派其法定代表人或法定代表人授权代表参加开标大会，否则事后不得对招标相关人员、开标过程和开标结果提出异议。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24</w:t>
            </w:r>
          </w:p>
        </w:tc>
        <w:tc>
          <w:tcPr>
            <w:tcW w:w="1565" w:type="dxa"/>
            <w:vAlign w:val="center"/>
          </w:tcPr>
          <w:p>
            <w:pPr>
              <w:spacing w:line="276" w:lineRule="auto"/>
              <w:jc w:val="center"/>
              <w:rPr>
                <w:rFonts w:ascii="仿宋" w:hAnsi="仿宋" w:cs="仿宋"/>
                <w:b/>
                <w:color w:val="000000"/>
                <w:w w:val="90"/>
              </w:rPr>
            </w:pPr>
            <w:r>
              <w:rPr>
                <w:rFonts w:hint="eastAsia" w:ascii="仿宋" w:hAnsi="仿宋" w:cs="仿宋"/>
                <w:color w:val="000000"/>
                <w:w w:val="90"/>
              </w:rPr>
              <w:t>重要提醒</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（1）投标银行在编制投标文件时应作出符合客观事实的真实响应，任何的“虚假响应”或者“虚假应标”均将被视为“提供虚假材料”行为，并按照“提供虚假材料”进行处理。</w:t>
            </w:r>
          </w:p>
          <w:p>
            <w:pPr>
              <w:spacing w:line="276" w:lineRule="auto"/>
              <w:rPr>
                <w:rFonts w:ascii="仿宋" w:hAnsi="仿宋" w:cs="仿宋"/>
                <w:b/>
                <w:color w:val="000000"/>
                <w:w w:val="90"/>
              </w:rPr>
            </w:pPr>
            <w:r>
              <w:rPr>
                <w:rFonts w:hint="eastAsia" w:ascii="仿宋" w:hAnsi="仿宋" w:cs="仿宋"/>
                <w:color w:val="000000"/>
                <w:w w:val="90"/>
              </w:rPr>
              <w:t>（2）招标文件中标注“▲”的技术或商务条款均为实质性要求条款，不满足实质性要求条款的投标无效。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pPr>
              <w:spacing w:line="276" w:lineRule="auto"/>
              <w:jc w:val="center"/>
              <w:rPr>
                <w:rFonts w:ascii="仿宋" w:hAnsi="仿宋" w:cs="仿宋"/>
                <w:color w:val="000000"/>
                <w:w w:val="90"/>
              </w:rPr>
            </w:pPr>
            <w:r>
              <w:rPr>
                <w:rFonts w:hint="eastAsia" w:ascii="仿宋" w:hAnsi="仿宋" w:cs="仿宋"/>
                <w:color w:val="000000"/>
                <w:w w:val="90"/>
              </w:rPr>
              <w:t>25</w:t>
            </w:r>
          </w:p>
        </w:tc>
        <w:tc>
          <w:tcPr>
            <w:tcW w:w="1565" w:type="dxa"/>
            <w:vAlign w:val="center"/>
          </w:tcPr>
          <w:p>
            <w:pPr>
              <w:spacing w:line="276" w:lineRule="auto"/>
              <w:jc w:val="center"/>
              <w:rPr>
                <w:rFonts w:ascii="仿宋" w:hAnsi="仿宋" w:cs="仿宋"/>
                <w:color w:val="000000"/>
                <w:w w:val="90"/>
              </w:rPr>
            </w:pPr>
            <w:r>
              <w:rPr>
                <w:rFonts w:hint="eastAsia" w:ascii="仿宋" w:hAnsi="仿宋" w:cs="仿宋"/>
                <w:color w:val="000000"/>
                <w:w w:val="90"/>
              </w:rPr>
              <w:t>解释</w:t>
            </w:r>
          </w:p>
        </w:tc>
        <w:tc>
          <w:tcPr>
            <w:tcW w:w="6959" w:type="dxa"/>
            <w:vAlign w:val="center"/>
          </w:tcPr>
          <w:p>
            <w:pPr>
              <w:spacing w:line="276" w:lineRule="auto"/>
              <w:rPr>
                <w:rFonts w:ascii="仿宋" w:hAnsi="仿宋" w:cs="仿宋"/>
                <w:color w:val="000000"/>
                <w:w w:val="90"/>
              </w:rPr>
            </w:pPr>
            <w:r>
              <w:rPr>
                <w:rFonts w:hint="eastAsia" w:ascii="仿宋" w:hAnsi="仿宋" w:cs="仿宋"/>
                <w:color w:val="000000"/>
                <w:w w:val="90"/>
              </w:rPr>
              <w:t>本《招标文件》电子稿与纸质版本具有同等效力，如发现不一致，请投标银行在规定的提疑时间前向招标组织机构提出，招标文件的解释权属于招标人及招标组织机构所有。</w:t>
            </w:r>
          </w:p>
        </w:tc>
      </w:tr>
    </w:tbl>
    <w:p>
      <w:bookmarkStart w:id="33" w:name="_Toc424164154"/>
    </w:p>
    <w:p/>
    <w:p/>
    <w:p>
      <w:pPr>
        <w:pStyle w:val="3"/>
      </w:pPr>
      <w:r>
        <w:br w:type="page"/>
      </w:r>
      <w:bookmarkStart w:id="34" w:name="_Toc452032117"/>
      <w:bookmarkStart w:id="35" w:name="_Toc115"/>
      <w:bookmarkStart w:id="36" w:name="_Toc13057"/>
      <w:bookmarkStart w:id="37" w:name="_Toc446950603"/>
      <w:bookmarkStart w:id="38" w:name="_Toc440162786"/>
      <w:bookmarkStart w:id="39" w:name="_Toc23788"/>
      <w:bookmarkStart w:id="40" w:name="_Toc29702"/>
      <w:bookmarkStart w:id="41" w:name="_Toc32637"/>
      <w:r>
        <w:rPr>
          <w:rFonts w:hint="eastAsia"/>
        </w:rPr>
        <w:t>一、总则</w:t>
      </w:r>
      <w:bookmarkEnd w:id="33"/>
      <w:bookmarkEnd w:id="34"/>
      <w:bookmarkEnd w:id="35"/>
      <w:bookmarkEnd w:id="36"/>
      <w:bookmarkEnd w:id="37"/>
      <w:bookmarkEnd w:id="38"/>
      <w:bookmarkEnd w:id="39"/>
      <w:bookmarkEnd w:id="40"/>
      <w:bookmarkEnd w:id="41"/>
    </w:p>
    <w:p>
      <w:pPr>
        <w:jc w:val="left"/>
        <w:rPr>
          <w:rFonts w:ascii="仿宋" w:hAnsi="仿宋" w:cs="仿宋"/>
          <w:b/>
          <w:color w:val="000000"/>
          <w:kern w:val="0"/>
        </w:rPr>
      </w:pPr>
      <w:r>
        <w:rPr>
          <w:rFonts w:hint="eastAsia" w:ascii="仿宋" w:hAnsi="仿宋" w:cs="仿宋"/>
          <w:b/>
          <w:color w:val="000000"/>
          <w:kern w:val="0"/>
        </w:rPr>
        <w:t>1、实施依据及适用范围</w:t>
      </w:r>
    </w:p>
    <w:p>
      <w:pPr>
        <w:ind w:firstLine="460" w:firstLineChars="192"/>
        <w:rPr>
          <w:rFonts w:ascii="仿宋" w:hAnsi="仿宋" w:cs="仿宋"/>
          <w:color w:val="000000"/>
        </w:rPr>
      </w:pPr>
      <w:r>
        <w:rPr>
          <w:rFonts w:hint="eastAsia" w:ascii="仿宋" w:hAnsi="仿宋" w:cs="仿宋"/>
          <w:color w:val="000000"/>
          <w:kern w:val="0"/>
        </w:rPr>
        <w:t>1.1实施依据：本次招标工作是根据《浙江省财政厅关于印发浙江省省级行政事业单位公款竞争性存放管理办法的通知》（浙财预执〔2021〕7号）、《苍南县县级预算单位公款竞争性存放管理暂行办法》（苍政办〔2019〕7号）有关规定组织和实施。</w:t>
      </w:r>
    </w:p>
    <w:p>
      <w:pPr>
        <w:ind w:firstLine="460" w:firstLineChars="192"/>
        <w:rPr>
          <w:rFonts w:ascii="仿宋" w:hAnsi="仿宋" w:cs="仿宋"/>
          <w:color w:val="000000"/>
          <w:kern w:val="0"/>
        </w:rPr>
      </w:pPr>
      <w:r>
        <w:rPr>
          <w:rFonts w:hint="eastAsia" w:ascii="仿宋" w:hAnsi="仿宋" w:cs="仿宋"/>
          <w:color w:val="000000"/>
          <w:kern w:val="0"/>
        </w:rPr>
        <w:t>1.2本《招标文件》适用于</w:t>
      </w:r>
      <w:r>
        <w:rPr>
          <w:rFonts w:hint="eastAsia" w:ascii="仿宋" w:hAnsi="仿宋" w:cs="仿宋"/>
          <w:b/>
          <w:color w:val="000000"/>
          <w:kern w:val="0"/>
          <w:u w:val="single"/>
          <w:lang w:eastAsia="zh-CN"/>
        </w:rPr>
        <w:t>苍南县人民法院2024年度公款竞争性存放项目</w:t>
      </w:r>
      <w:r>
        <w:rPr>
          <w:rFonts w:hint="eastAsia" w:ascii="仿宋" w:hAnsi="仿宋" w:cs="仿宋"/>
          <w:color w:val="000000"/>
          <w:kern w:val="0"/>
        </w:rPr>
        <w:t>的招标、评标、定标、验收、合同履约等（法律、法规另有规定的，从其规定）。</w:t>
      </w:r>
    </w:p>
    <w:p>
      <w:pPr>
        <w:rPr>
          <w:rFonts w:ascii="仿宋" w:hAnsi="仿宋" w:cs="仿宋"/>
          <w:b/>
          <w:color w:val="000000"/>
          <w:kern w:val="0"/>
        </w:rPr>
      </w:pPr>
      <w:r>
        <w:rPr>
          <w:rFonts w:hint="eastAsia" w:ascii="仿宋" w:hAnsi="仿宋" w:cs="仿宋"/>
          <w:b/>
          <w:color w:val="000000"/>
          <w:kern w:val="0"/>
        </w:rPr>
        <w:t>2、定义</w:t>
      </w:r>
    </w:p>
    <w:p>
      <w:pPr>
        <w:ind w:firstLine="456" w:firstLineChars="190"/>
        <w:rPr>
          <w:rFonts w:ascii="仿宋" w:hAnsi="仿宋" w:cs="仿宋"/>
          <w:color w:val="000000"/>
          <w:kern w:val="0"/>
        </w:rPr>
      </w:pPr>
      <w:r>
        <w:rPr>
          <w:rFonts w:hint="eastAsia" w:ascii="仿宋" w:hAnsi="仿宋" w:cs="仿宋"/>
          <w:color w:val="000000"/>
          <w:kern w:val="0"/>
        </w:rPr>
        <w:t>2.1“招标人”系指提出本次招标的“</w:t>
      </w:r>
      <w:r>
        <w:rPr>
          <w:rFonts w:hint="eastAsia" w:ascii="仿宋" w:hAnsi="仿宋" w:cs="仿宋"/>
          <w:b/>
          <w:color w:val="000000"/>
          <w:kern w:val="0"/>
        </w:rPr>
        <w:t>苍南县人民法院”，即合同中的“甲方”</w:t>
      </w:r>
      <w:r>
        <w:rPr>
          <w:rFonts w:hint="eastAsia" w:ascii="仿宋" w:hAnsi="仿宋" w:cs="仿宋"/>
          <w:color w:val="000000"/>
          <w:kern w:val="0"/>
        </w:rPr>
        <w:t>；</w:t>
      </w:r>
    </w:p>
    <w:p>
      <w:pPr>
        <w:ind w:firstLine="456" w:firstLineChars="190"/>
        <w:rPr>
          <w:rFonts w:ascii="仿宋" w:hAnsi="仿宋" w:cs="仿宋"/>
          <w:color w:val="000000"/>
          <w:kern w:val="0"/>
        </w:rPr>
      </w:pPr>
      <w:r>
        <w:rPr>
          <w:rFonts w:hint="eastAsia" w:ascii="仿宋" w:hAnsi="仿宋" w:cs="仿宋"/>
          <w:color w:val="000000"/>
          <w:kern w:val="0"/>
        </w:rPr>
        <w:t>2.2“招标组织机构（或招标代理机构）”均系指受招标人委托组织本次招标活动的</w:t>
      </w:r>
      <w:r>
        <w:rPr>
          <w:rFonts w:hint="eastAsia" w:ascii="仿宋" w:hAnsi="仿宋" w:cs="仿宋"/>
          <w:b/>
          <w:color w:val="000000"/>
          <w:kern w:val="0"/>
        </w:rPr>
        <w:t>“杭州华旗招标代理有限公司”；</w:t>
      </w:r>
    </w:p>
    <w:p>
      <w:pPr>
        <w:ind w:firstLine="456" w:firstLineChars="190"/>
        <w:rPr>
          <w:rFonts w:ascii="仿宋" w:hAnsi="仿宋" w:cs="仿宋"/>
          <w:color w:val="000000"/>
          <w:kern w:val="0"/>
        </w:rPr>
      </w:pPr>
      <w:r>
        <w:rPr>
          <w:rFonts w:hint="eastAsia" w:ascii="仿宋" w:hAnsi="仿宋" w:cs="仿宋"/>
          <w:color w:val="000000"/>
          <w:kern w:val="0"/>
        </w:rPr>
        <w:t>2.3“投标银行”系指在规定的时间和地点向招标人提交投标响应文件的供应商。</w:t>
      </w:r>
    </w:p>
    <w:p>
      <w:pPr>
        <w:ind w:firstLine="456" w:firstLineChars="190"/>
        <w:rPr>
          <w:rFonts w:ascii="仿宋" w:hAnsi="仿宋" w:cs="仿宋"/>
          <w:color w:val="000000"/>
        </w:rPr>
      </w:pPr>
      <w:r>
        <w:rPr>
          <w:rFonts w:hint="eastAsia" w:ascii="仿宋" w:hAnsi="仿宋" w:cs="仿宋"/>
          <w:color w:val="000000"/>
          <w:kern w:val="0"/>
        </w:rPr>
        <w:t>2.4“投标银行代表”</w:t>
      </w:r>
      <w:r>
        <w:rPr>
          <w:rFonts w:hint="eastAsia" w:ascii="仿宋" w:hAnsi="仿宋" w:cs="仿宋"/>
          <w:color w:val="000000"/>
        </w:rPr>
        <w:t>是指参加本项目投标活动的投标银行的法定代表人或法定代表人授权代表。</w:t>
      </w:r>
    </w:p>
    <w:p>
      <w:pPr>
        <w:ind w:firstLine="456" w:firstLineChars="190"/>
        <w:rPr>
          <w:rFonts w:ascii="仿宋" w:hAnsi="仿宋" w:cs="仿宋"/>
          <w:color w:val="000000"/>
          <w:kern w:val="0"/>
        </w:rPr>
      </w:pPr>
      <w:r>
        <w:rPr>
          <w:rFonts w:hint="eastAsia" w:ascii="仿宋" w:hAnsi="仿宋" w:cs="仿宋"/>
          <w:color w:val="000000"/>
          <w:kern w:val="0"/>
        </w:rPr>
        <w:t>2.5“中标（成交）供应商”系指经评审小组推荐并经招标人确认的中标成交单位，</w:t>
      </w:r>
      <w:r>
        <w:rPr>
          <w:rFonts w:hint="eastAsia" w:ascii="仿宋" w:hAnsi="仿宋" w:cs="仿宋"/>
          <w:b/>
          <w:color w:val="000000"/>
          <w:kern w:val="0"/>
        </w:rPr>
        <w:t>即合同中的“乙方”</w:t>
      </w:r>
      <w:r>
        <w:rPr>
          <w:rFonts w:hint="eastAsia" w:ascii="仿宋" w:hAnsi="仿宋" w:cs="仿宋"/>
          <w:color w:val="000000"/>
          <w:kern w:val="0"/>
        </w:rPr>
        <w:t>；</w:t>
      </w:r>
    </w:p>
    <w:p>
      <w:pPr>
        <w:ind w:firstLine="456" w:firstLineChars="190"/>
        <w:rPr>
          <w:rFonts w:ascii="仿宋" w:hAnsi="仿宋" w:cs="仿宋"/>
          <w:color w:val="000000"/>
          <w:kern w:val="0"/>
        </w:rPr>
      </w:pPr>
      <w:r>
        <w:rPr>
          <w:rFonts w:hint="eastAsia" w:ascii="仿宋" w:hAnsi="仿宋" w:cs="仿宋"/>
          <w:color w:val="000000"/>
          <w:kern w:val="0"/>
        </w:rPr>
        <w:t>2.6“产品”系指投标银行按《招标文件》规定向招标人提供的存款存放服务。</w:t>
      </w:r>
    </w:p>
    <w:p>
      <w:pPr>
        <w:ind w:firstLine="456" w:firstLineChars="190"/>
        <w:rPr>
          <w:rFonts w:ascii="仿宋" w:hAnsi="仿宋" w:cs="仿宋"/>
          <w:color w:val="000000"/>
          <w:kern w:val="0"/>
        </w:rPr>
      </w:pPr>
      <w:r>
        <w:rPr>
          <w:rFonts w:hint="eastAsia" w:ascii="仿宋" w:hAnsi="仿宋" w:cs="仿宋"/>
          <w:color w:val="000000"/>
          <w:kern w:val="0"/>
        </w:rPr>
        <w:t>2.7“书面形式”系指加盖有单位公章的信函、传真、电子扫描件等。</w:t>
      </w:r>
    </w:p>
    <w:p>
      <w:pPr>
        <w:ind w:firstLine="456" w:firstLineChars="190"/>
        <w:rPr>
          <w:rFonts w:ascii="仿宋" w:hAnsi="仿宋" w:cs="仿宋"/>
          <w:color w:val="000000"/>
          <w:kern w:val="0"/>
        </w:rPr>
      </w:pPr>
      <w:r>
        <w:rPr>
          <w:rFonts w:hint="eastAsia" w:ascii="仿宋" w:hAnsi="仿宋" w:cs="仿宋"/>
          <w:color w:val="000000"/>
          <w:kern w:val="0"/>
        </w:rPr>
        <w:t>2.8“个人有效身份证明”系指公安部门出具的“有效居民身份证”或“护照”或“驾驶证”。</w:t>
      </w:r>
    </w:p>
    <w:p>
      <w:pPr>
        <w:rPr>
          <w:rFonts w:ascii="仿宋" w:hAnsi="仿宋" w:cs="仿宋"/>
          <w:b/>
          <w:color w:val="000000"/>
          <w:kern w:val="0"/>
        </w:rPr>
      </w:pPr>
      <w:r>
        <w:rPr>
          <w:rFonts w:hint="eastAsia" w:ascii="仿宋" w:hAnsi="仿宋" w:cs="仿宋"/>
          <w:b/>
          <w:color w:val="000000"/>
          <w:kern w:val="0"/>
        </w:rPr>
        <w:t>3、招标方式和招标组织类型</w:t>
      </w:r>
    </w:p>
    <w:p>
      <w:pPr>
        <w:ind w:firstLine="460" w:firstLineChars="192"/>
        <w:rPr>
          <w:rFonts w:ascii="仿宋" w:hAnsi="仿宋" w:cs="仿宋"/>
          <w:color w:val="000000"/>
          <w:kern w:val="0"/>
        </w:rPr>
      </w:pPr>
      <w:r>
        <w:rPr>
          <w:rFonts w:hint="eastAsia" w:ascii="仿宋" w:hAnsi="仿宋" w:cs="仿宋"/>
          <w:color w:val="000000"/>
          <w:kern w:val="0"/>
        </w:rPr>
        <w:t>3.1招标组织类型：</w:t>
      </w:r>
      <w:r>
        <w:rPr>
          <w:rFonts w:hint="eastAsia" w:ascii="仿宋" w:hAnsi="仿宋" w:cs="仿宋"/>
          <w:b/>
          <w:color w:val="000000"/>
          <w:kern w:val="0"/>
        </w:rPr>
        <w:t>委托代理。</w:t>
      </w:r>
    </w:p>
    <w:p>
      <w:pPr>
        <w:rPr>
          <w:rFonts w:ascii="仿宋" w:hAnsi="仿宋" w:cs="仿宋"/>
          <w:b/>
          <w:color w:val="000000"/>
          <w:kern w:val="0"/>
        </w:rPr>
      </w:pPr>
      <w:r>
        <w:rPr>
          <w:rFonts w:hint="eastAsia" w:ascii="仿宋" w:hAnsi="仿宋" w:cs="仿宋"/>
          <w:b/>
          <w:color w:val="000000"/>
          <w:kern w:val="0"/>
        </w:rPr>
        <w:t>4、投标委托</w:t>
      </w:r>
    </w:p>
    <w:p>
      <w:pPr>
        <w:ind w:firstLine="463" w:firstLineChars="192"/>
        <w:rPr>
          <w:rFonts w:ascii="仿宋" w:hAnsi="仿宋" w:cs="仿宋"/>
          <w:b/>
          <w:color w:val="000000"/>
          <w:kern w:val="0"/>
        </w:rPr>
      </w:pPr>
      <w:r>
        <w:rPr>
          <w:rFonts w:hint="eastAsia" w:ascii="仿宋" w:hAnsi="仿宋" w:cs="仿宋"/>
          <w:b/>
          <w:color w:val="000000"/>
          <w:kern w:val="0"/>
        </w:rPr>
        <w:t>投标银行的法定代表人可以授权其单位的其他在职员工全权处理本次投标事项，但其授权代表必须持有法定代表人出具的授权委托书，法定代表人</w:t>
      </w:r>
      <w:r>
        <w:rPr>
          <w:rFonts w:hint="eastAsia" w:ascii="仿宋" w:hAnsi="仿宋" w:cs="仿宋"/>
          <w:b/>
          <w:color w:val="000000"/>
        </w:rPr>
        <w:t>授权委托书必须经法定代表人签字（或盖章），否则视为无效授权（等同未提供）。</w:t>
      </w:r>
    </w:p>
    <w:p>
      <w:pPr>
        <w:rPr>
          <w:rFonts w:ascii="仿宋" w:hAnsi="仿宋" w:cs="仿宋"/>
          <w:b/>
          <w:color w:val="000000"/>
          <w:kern w:val="0"/>
        </w:rPr>
      </w:pPr>
      <w:r>
        <w:rPr>
          <w:rFonts w:hint="eastAsia" w:ascii="仿宋" w:hAnsi="仿宋" w:cs="仿宋"/>
          <w:b/>
          <w:color w:val="000000"/>
          <w:kern w:val="0"/>
        </w:rPr>
        <w:t>5、投标费用</w:t>
      </w:r>
    </w:p>
    <w:p>
      <w:pPr>
        <w:ind w:firstLine="460" w:firstLineChars="192"/>
        <w:rPr>
          <w:rFonts w:ascii="仿宋" w:hAnsi="仿宋" w:cs="仿宋"/>
          <w:color w:val="000000"/>
          <w:kern w:val="0"/>
        </w:rPr>
      </w:pPr>
      <w:r>
        <w:rPr>
          <w:rFonts w:hint="eastAsia" w:ascii="仿宋" w:hAnsi="仿宋" w:cs="仿宋"/>
          <w:color w:val="000000"/>
          <w:kern w:val="0"/>
        </w:rPr>
        <w:t>不论投标结果如何，投标银行均应自行承担所有与投标有关的全部费用，招标组织机构概不负责。</w:t>
      </w:r>
    </w:p>
    <w:p>
      <w:pPr>
        <w:ind w:firstLine="426"/>
        <w:rPr>
          <w:rFonts w:ascii="仿宋" w:hAnsi="仿宋" w:cs="仿宋"/>
          <w:b/>
          <w:color w:val="000000"/>
          <w:kern w:val="0"/>
        </w:rPr>
      </w:pPr>
      <w:r>
        <w:rPr>
          <w:rFonts w:hint="eastAsia" w:ascii="仿宋" w:hAnsi="仿宋" w:cs="仿宋"/>
          <w:b/>
          <w:color w:val="000000"/>
          <w:kern w:val="0"/>
        </w:rPr>
        <w:t>6、联合体投标：不接受。</w:t>
      </w:r>
    </w:p>
    <w:p>
      <w:pPr>
        <w:ind w:firstLine="446"/>
        <w:rPr>
          <w:rFonts w:ascii="仿宋" w:hAnsi="仿宋" w:cs="仿宋"/>
          <w:color w:val="000000"/>
          <w:kern w:val="0"/>
        </w:rPr>
      </w:pPr>
      <w:r>
        <w:rPr>
          <w:rFonts w:hint="eastAsia" w:ascii="仿宋" w:hAnsi="仿宋" w:cs="仿宋"/>
          <w:b/>
          <w:color w:val="000000"/>
          <w:kern w:val="0"/>
        </w:rPr>
        <w:t>7、关联供应商投标限制：隶属于同一法定代表人的银行机构不得同时参加本次项目同一合同项下的投标。</w:t>
      </w:r>
    </w:p>
    <w:p>
      <w:pPr>
        <w:rPr>
          <w:rFonts w:ascii="仿宋" w:hAnsi="仿宋" w:cs="仿宋"/>
          <w:b/>
          <w:color w:val="000000"/>
          <w:kern w:val="0"/>
        </w:rPr>
      </w:pPr>
      <w:r>
        <w:rPr>
          <w:rFonts w:hint="eastAsia" w:ascii="仿宋" w:hAnsi="仿宋" w:cs="仿宋"/>
          <w:b/>
          <w:color w:val="000000"/>
          <w:kern w:val="0"/>
        </w:rPr>
        <w:t>8、转包、分包：不允许。</w:t>
      </w:r>
    </w:p>
    <w:p>
      <w:pPr>
        <w:rPr>
          <w:rFonts w:ascii="仿宋" w:hAnsi="仿宋" w:cs="仿宋"/>
          <w:b/>
          <w:color w:val="000000"/>
          <w:kern w:val="0"/>
        </w:rPr>
      </w:pPr>
      <w:r>
        <w:rPr>
          <w:rFonts w:hint="eastAsia" w:ascii="仿宋" w:hAnsi="仿宋" w:cs="仿宋"/>
          <w:b/>
          <w:color w:val="000000"/>
          <w:kern w:val="0"/>
        </w:rPr>
        <w:t>9、特别说明：</w:t>
      </w:r>
    </w:p>
    <w:p>
      <w:pPr>
        <w:ind w:left="-36" w:leftChars="-15" w:firstLine="496" w:firstLineChars="207"/>
        <w:rPr>
          <w:rFonts w:ascii="仿宋" w:hAnsi="仿宋" w:cs="仿宋"/>
          <w:color w:val="000000"/>
          <w:kern w:val="0"/>
        </w:rPr>
      </w:pPr>
      <w:r>
        <w:rPr>
          <w:rFonts w:hint="eastAsia" w:ascii="仿宋" w:hAnsi="仿宋" w:cs="仿宋"/>
          <w:color w:val="000000"/>
          <w:kern w:val="0"/>
        </w:rPr>
        <w:t>9.1除采用最低评标价法的项目外，直接或者间接受招标人控制的当事人，或者与招标人受共同上级控制的当事人，为本次招标进行设计或编制规范和其他文件的当事人，或者直接或间接地与为本次招标进行设计或编制规范、其他文件的个人、企业、招标代理机构或其附属机构有关联关系的当事人，不得参加本项目投标。</w:t>
      </w:r>
    </w:p>
    <w:p>
      <w:pPr>
        <w:ind w:firstLine="460" w:firstLineChars="192"/>
        <w:rPr>
          <w:rFonts w:ascii="仿宋" w:hAnsi="仿宋" w:cs="仿宋"/>
          <w:color w:val="000000"/>
          <w:kern w:val="0"/>
        </w:rPr>
      </w:pPr>
      <w:r>
        <w:rPr>
          <w:rFonts w:hint="eastAsia" w:ascii="仿宋" w:hAnsi="仿宋" w:cs="仿宋"/>
          <w:color w:val="000000"/>
          <w:kern w:val="0"/>
        </w:rPr>
        <w:t>9.2投标银行投标所使用的资格、信誉、荣誉、投标银行业绩与企业认证必须为本法定代表人所拥有。</w:t>
      </w:r>
    </w:p>
    <w:p>
      <w:pPr>
        <w:ind w:firstLine="460" w:firstLineChars="192"/>
        <w:rPr>
          <w:rFonts w:ascii="仿宋" w:hAnsi="仿宋" w:cs="仿宋"/>
          <w:color w:val="000000"/>
          <w:kern w:val="0"/>
        </w:rPr>
      </w:pPr>
      <w:r>
        <w:rPr>
          <w:rFonts w:hint="eastAsia" w:ascii="仿宋" w:hAnsi="仿宋" w:cs="仿宋"/>
          <w:color w:val="000000"/>
          <w:kern w:val="0"/>
        </w:rPr>
        <w:t>9.3投标银行在投标活动中提供任何虚假材料或从事其他违法活动的，其投标无效，并报监管部门查处；中标后发现的，须依照相关规定双倍赔偿给招标人。且民事赔偿并不免除违法投标银行的行政与刑事责任。</w:t>
      </w:r>
    </w:p>
    <w:p>
      <w:pPr>
        <w:ind w:firstLine="460" w:firstLineChars="192"/>
        <w:rPr>
          <w:rFonts w:ascii="仿宋" w:hAnsi="仿宋" w:cs="仿宋"/>
          <w:color w:val="000000"/>
          <w:kern w:val="0"/>
        </w:rPr>
      </w:pPr>
      <w:r>
        <w:rPr>
          <w:rFonts w:hint="eastAsia" w:ascii="仿宋" w:hAnsi="仿宋" w:cs="仿宋"/>
          <w:color w:val="000000"/>
          <w:kern w:val="0"/>
        </w:rPr>
        <w:t>9.4投标银行应仔细阅读《招标文件》的所有内容，按照《招标文件》的要求提交《投标文件》。《投标文件》应对《招标文件》的要求作出实质性响应，并对所提供的全部资料的真实性承担法律责任。</w:t>
      </w:r>
    </w:p>
    <w:p>
      <w:pPr>
        <w:rPr>
          <w:rFonts w:ascii="仿宋" w:hAnsi="仿宋" w:cs="仿宋"/>
          <w:b/>
          <w:color w:val="000000"/>
          <w:kern w:val="0"/>
        </w:rPr>
      </w:pPr>
      <w:r>
        <w:rPr>
          <w:rFonts w:hint="eastAsia" w:ascii="仿宋" w:hAnsi="仿宋" w:cs="仿宋"/>
          <w:b/>
          <w:color w:val="000000"/>
          <w:kern w:val="0"/>
        </w:rPr>
        <w:t>10、质疑和投诉</w:t>
      </w:r>
    </w:p>
    <w:p>
      <w:pPr>
        <w:ind w:firstLine="460" w:firstLineChars="192"/>
        <w:rPr>
          <w:rFonts w:ascii="仿宋" w:hAnsi="仿宋" w:cs="仿宋"/>
          <w:color w:val="000000"/>
          <w:kern w:val="0"/>
        </w:rPr>
      </w:pPr>
      <w:r>
        <w:rPr>
          <w:rFonts w:hint="eastAsia" w:ascii="仿宋" w:hAnsi="仿宋" w:cs="仿宋"/>
          <w:color w:val="000000"/>
          <w:kern w:val="0"/>
        </w:rPr>
        <w:t>10.1</w:t>
      </w:r>
      <w:r>
        <w:rPr>
          <w:rFonts w:hint="eastAsia" w:ascii="仿宋" w:hAnsi="仿宋" w:cs="仿宋"/>
          <w:color w:val="000000"/>
        </w:rPr>
        <w:t>如发现招标文件存在含糊不清、相互矛盾、多种含义以及歧视性不公正条款或违法违规等内容时，请在规定的提疑截止时间前提出，逾期不接收。投标银行对招标组织机构的质疑答复不满意或者招标组织机构未在规定时间内作出答复的，可以在答复期满后十五个工作日内向监管部门投诉。</w:t>
      </w:r>
    </w:p>
    <w:p>
      <w:pPr>
        <w:pStyle w:val="90"/>
        <w:spacing w:line="360" w:lineRule="auto"/>
        <w:ind w:firstLine="482"/>
        <w:rPr>
          <w:rFonts w:ascii="仿宋" w:hAnsi="仿宋" w:eastAsia="仿宋" w:cs="仿宋"/>
          <w:b/>
          <w:color w:val="000000"/>
        </w:rPr>
      </w:pPr>
      <w:r>
        <w:rPr>
          <w:rFonts w:hint="eastAsia" w:ascii="仿宋" w:hAnsi="仿宋" w:eastAsia="仿宋" w:cs="仿宋"/>
          <w:b/>
          <w:color w:val="000000"/>
        </w:rPr>
        <w:t>10.1.1质疑书须包括以下内容：</w:t>
      </w:r>
    </w:p>
    <w:p>
      <w:pPr>
        <w:pStyle w:val="90"/>
        <w:spacing w:line="360" w:lineRule="auto"/>
        <w:ind w:firstLine="480"/>
        <w:rPr>
          <w:rFonts w:ascii="仿宋" w:hAnsi="仿宋" w:eastAsia="仿宋" w:cs="仿宋"/>
          <w:color w:val="000000"/>
        </w:rPr>
      </w:pPr>
      <w:r>
        <w:rPr>
          <w:rFonts w:hint="eastAsia" w:ascii="仿宋" w:hAnsi="仿宋" w:eastAsia="仿宋" w:cs="仿宋"/>
          <w:color w:val="000000"/>
        </w:rPr>
        <w:t>（一）质疑人的名称、地址、邮政编码、联系人、联系电话、法定代表人签字或盖章；</w:t>
      </w:r>
    </w:p>
    <w:p>
      <w:pPr>
        <w:pStyle w:val="90"/>
        <w:spacing w:line="360" w:lineRule="auto"/>
        <w:ind w:firstLine="480"/>
        <w:rPr>
          <w:rFonts w:ascii="仿宋" w:hAnsi="仿宋" w:eastAsia="仿宋" w:cs="仿宋"/>
          <w:color w:val="000000"/>
        </w:rPr>
      </w:pPr>
      <w:r>
        <w:rPr>
          <w:rFonts w:hint="eastAsia" w:ascii="仿宋" w:hAnsi="仿宋" w:eastAsia="仿宋" w:cs="仿宋"/>
          <w:color w:val="000000"/>
        </w:rPr>
        <w:t>（二）被质疑招标项目名称、编号及招标内容；</w:t>
      </w:r>
    </w:p>
    <w:p>
      <w:pPr>
        <w:pStyle w:val="90"/>
        <w:spacing w:line="360" w:lineRule="auto"/>
        <w:ind w:firstLine="480"/>
        <w:rPr>
          <w:rFonts w:ascii="仿宋" w:hAnsi="仿宋" w:eastAsia="仿宋" w:cs="仿宋"/>
          <w:color w:val="000000"/>
        </w:rPr>
      </w:pPr>
      <w:r>
        <w:rPr>
          <w:rFonts w:hint="eastAsia" w:ascii="仿宋" w:hAnsi="仿宋" w:eastAsia="仿宋" w:cs="仿宋"/>
          <w:color w:val="000000"/>
        </w:rPr>
        <w:t>（三）具体的质疑事项及事实依据；</w:t>
      </w:r>
    </w:p>
    <w:p>
      <w:pPr>
        <w:pStyle w:val="90"/>
        <w:spacing w:line="360" w:lineRule="auto"/>
        <w:ind w:firstLine="480"/>
        <w:rPr>
          <w:rFonts w:ascii="仿宋" w:hAnsi="仿宋" w:eastAsia="仿宋" w:cs="仿宋"/>
          <w:color w:val="000000"/>
        </w:rPr>
      </w:pPr>
      <w:r>
        <w:rPr>
          <w:rFonts w:hint="eastAsia" w:ascii="仿宋" w:hAnsi="仿宋" w:eastAsia="仿宋" w:cs="仿宋"/>
          <w:color w:val="000000"/>
        </w:rPr>
        <w:t>（四）认为自己合法权益受到损害或可能受到损害的相关证据材料；</w:t>
      </w:r>
    </w:p>
    <w:p>
      <w:pPr>
        <w:ind w:firstLine="460" w:firstLineChars="192"/>
        <w:rPr>
          <w:rFonts w:ascii="仿宋" w:hAnsi="仿宋" w:cs="仿宋"/>
          <w:color w:val="000000"/>
          <w:kern w:val="0"/>
        </w:rPr>
      </w:pPr>
      <w:r>
        <w:rPr>
          <w:rFonts w:hint="eastAsia" w:ascii="仿宋" w:hAnsi="仿宋" w:cs="仿宋"/>
          <w:color w:val="000000"/>
        </w:rPr>
        <w:t>（五）提出质疑的日期。</w:t>
      </w:r>
    </w:p>
    <w:p>
      <w:pPr>
        <w:ind w:firstLine="460" w:firstLineChars="192"/>
        <w:rPr>
          <w:rFonts w:ascii="仿宋" w:hAnsi="仿宋" w:cs="仿宋"/>
          <w:color w:val="000000"/>
          <w:kern w:val="0"/>
        </w:rPr>
      </w:pPr>
      <w:r>
        <w:rPr>
          <w:rFonts w:hint="eastAsia" w:ascii="仿宋" w:hAnsi="仿宋" w:cs="仿宋"/>
          <w:color w:val="000000"/>
          <w:kern w:val="0"/>
        </w:rPr>
        <w:t>10.2投标银行认可招标组织机构在质疑答复程序中启用的调查和重新评审等程序，在该程序操作过程未明显违反法律禁止性规定时，不得再提出异议。</w:t>
      </w:r>
    </w:p>
    <w:p>
      <w:pPr>
        <w:ind w:firstLine="460" w:firstLineChars="192"/>
        <w:rPr>
          <w:rFonts w:ascii="仿宋" w:hAnsi="仿宋" w:cs="仿宋"/>
          <w:color w:val="000000"/>
          <w:kern w:val="0"/>
        </w:rPr>
      </w:pPr>
      <w:r>
        <w:rPr>
          <w:rFonts w:hint="eastAsia" w:ascii="仿宋" w:hAnsi="仿宋" w:cs="仿宋"/>
          <w:color w:val="000000"/>
          <w:kern w:val="0"/>
        </w:rPr>
        <w:t>10.3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pPr>
        <w:pStyle w:val="3"/>
      </w:pPr>
      <w:bookmarkStart w:id="42" w:name="_Toc424164155"/>
      <w:bookmarkStart w:id="43" w:name="_Toc446950604"/>
      <w:bookmarkStart w:id="44" w:name="_Toc452032118"/>
      <w:bookmarkStart w:id="45" w:name="_Toc29347"/>
      <w:bookmarkStart w:id="46" w:name="_Toc28380"/>
      <w:bookmarkStart w:id="47" w:name="_Toc18923"/>
      <w:bookmarkStart w:id="48" w:name="_Toc12657"/>
      <w:bookmarkStart w:id="49" w:name="_Toc440162787"/>
      <w:bookmarkStart w:id="50" w:name="_Toc6997"/>
      <w:r>
        <w:rPr>
          <w:rFonts w:hint="eastAsia"/>
        </w:rPr>
        <w:t>二、《招标文件》</w:t>
      </w:r>
      <w:bookmarkEnd w:id="42"/>
      <w:r>
        <w:rPr>
          <w:rFonts w:hint="eastAsia"/>
        </w:rPr>
        <w:t>组成与说明</w:t>
      </w:r>
      <w:bookmarkEnd w:id="43"/>
      <w:bookmarkEnd w:id="44"/>
      <w:bookmarkEnd w:id="45"/>
      <w:bookmarkEnd w:id="46"/>
      <w:bookmarkEnd w:id="47"/>
      <w:bookmarkEnd w:id="48"/>
      <w:bookmarkEnd w:id="49"/>
      <w:bookmarkEnd w:id="50"/>
    </w:p>
    <w:p>
      <w:pPr>
        <w:rPr>
          <w:rFonts w:ascii="仿宋" w:hAnsi="仿宋" w:cs="仿宋"/>
          <w:b/>
          <w:color w:val="000000"/>
          <w:kern w:val="0"/>
        </w:rPr>
      </w:pPr>
      <w:r>
        <w:rPr>
          <w:rFonts w:hint="eastAsia" w:ascii="仿宋" w:hAnsi="仿宋" w:cs="仿宋"/>
          <w:b/>
          <w:color w:val="000000"/>
          <w:kern w:val="0"/>
        </w:rPr>
        <w:t>11、《招标文件》的组成</w:t>
      </w:r>
    </w:p>
    <w:p>
      <w:pPr>
        <w:ind w:firstLine="463" w:firstLineChars="193"/>
        <w:rPr>
          <w:rFonts w:ascii="仿宋" w:hAnsi="仿宋" w:cs="仿宋"/>
          <w:color w:val="000000"/>
          <w:kern w:val="0"/>
        </w:rPr>
      </w:pPr>
      <w:r>
        <w:rPr>
          <w:rFonts w:hint="eastAsia" w:ascii="仿宋" w:hAnsi="仿宋" w:cs="仿宋"/>
          <w:color w:val="000000"/>
          <w:kern w:val="0"/>
        </w:rPr>
        <w:t>第一章 招标公告</w:t>
      </w:r>
    </w:p>
    <w:p>
      <w:pPr>
        <w:ind w:firstLine="463" w:firstLineChars="193"/>
        <w:rPr>
          <w:rFonts w:ascii="仿宋" w:hAnsi="仿宋" w:cs="仿宋"/>
          <w:color w:val="000000"/>
          <w:kern w:val="0"/>
        </w:rPr>
      </w:pPr>
      <w:r>
        <w:rPr>
          <w:rFonts w:hint="eastAsia" w:ascii="仿宋" w:hAnsi="仿宋" w:cs="仿宋"/>
          <w:color w:val="000000"/>
          <w:kern w:val="0"/>
        </w:rPr>
        <w:t>第二章 招标要求</w:t>
      </w:r>
    </w:p>
    <w:p>
      <w:pPr>
        <w:ind w:firstLine="463" w:firstLineChars="193"/>
        <w:rPr>
          <w:rFonts w:ascii="仿宋" w:hAnsi="仿宋" w:cs="仿宋"/>
          <w:color w:val="000000"/>
          <w:kern w:val="0"/>
        </w:rPr>
      </w:pPr>
      <w:r>
        <w:rPr>
          <w:rFonts w:hint="eastAsia" w:ascii="仿宋" w:hAnsi="仿宋" w:cs="仿宋"/>
          <w:color w:val="000000"/>
          <w:kern w:val="0"/>
        </w:rPr>
        <w:t>第三章 投标须知</w:t>
      </w:r>
    </w:p>
    <w:p>
      <w:pPr>
        <w:ind w:firstLine="463" w:firstLineChars="193"/>
        <w:rPr>
          <w:rFonts w:ascii="仿宋" w:hAnsi="仿宋" w:cs="仿宋"/>
          <w:color w:val="000000"/>
          <w:kern w:val="0"/>
        </w:rPr>
      </w:pPr>
      <w:r>
        <w:rPr>
          <w:rFonts w:hint="eastAsia" w:ascii="仿宋" w:hAnsi="仿宋" w:cs="仿宋"/>
          <w:color w:val="000000"/>
          <w:kern w:val="0"/>
        </w:rPr>
        <w:t>第四章 评审办法及标准</w:t>
      </w:r>
    </w:p>
    <w:p>
      <w:pPr>
        <w:ind w:firstLine="463" w:firstLineChars="193"/>
        <w:rPr>
          <w:rFonts w:ascii="仿宋" w:hAnsi="仿宋" w:cs="仿宋"/>
          <w:color w:val="000000"/>
          <w:kern w:val="0"/>
        </w:rPr>
      </w:pPr>
      <w:r>
        <w:rPr>
          <w:rFonts w:hint="eastAsia" w:ascii="仿宋" w:hAnsi="仿宋" w:cs="仿宋"/>
          <w:color w:val="000000"/>
          <w:kern w:val="0"/>
        </w:rPr>
        <w:t>第五章 合同主要条款</w:t>
      </w:r>
    </w:p>
    <w:p>
      <w:pPr>
        <w:ind w:firstLine="463" w:firstLineChars="193"/>
        <w:rPr>
          <w:rFonts w:ascii="仿宋" w:hAnsi="仿宋" w:cs="仿宋"/>
          <w:color w:val="000000"/>
          <w:kern w:val="0"/>
        </w:rPr>
      </w:pPr>
      <w:r>
        <w:rPr>
          <w:rFonts w:hint="eastAsia" w:ascii="仿宋" w:hAnsi="仿宋" w:cs="仿宋"/>
          <w:color w:val="000000"/>
          <w:kern w:val="0"/>
        </w:rPr>
        <w:t>第六章 投标文件格式</w:t>
      </w:r>
    </w:p>
    <w:p>
      <w:pPr>
        <w:rPr>
          <w:rFonts w:ascii="仿宋" w:hAnsi="仿宋" w:cs="仿宋"/>
          <w:b/>
          <w:color w:val="000000"/>
          <w:kern w:val="0"/>
        </w:rPr>
      </w:pPr>
      <w:r>
        <w:rPr>
          <w:rFonts w:hint="eastAsia" w:ascii="仿宋" w:hAnsi="仿宋" w:cs="仿宋"/>
          <w:b/>
          <w:color w:val="000000"/>
          <w:kern w:val="0"/>
        </w:rPr>
        <w:t>12、投标银行的风险</w:t>
      </w:r>
    </w:p>
    <w:p>
      <w:pPr>
        <w:ind w:firstLine="480" w:firstLineChars="200"/>
        <w:rPr>
          <w:rFonts w:ascii="仿宋" w:hAnsi="仿宋" w:cs="仿宋"/>
          <w:color w:val="000000"/>
          <w:kern w:val="0"/>
        </w:rPr>
      </w:pPr>
      <w:r>
        <w:rPr>
          <w:rFonts w:hint="eastAsia" w:ascii="仿宋" w:hAnsi="仿宋" w:cs="仿宋"/>
          <w:color w:val="000000"/>
          <w:kern w:val="0"/>
        </w:rPr>
        <w:t>投标银行没有按照《招标文件》要求提供全部资料，或者没有仔细阅读《招标文件》，或者投标银行没有对《招标文件》在各方面的要求作出实质性响应是投标银行的风险，由此造成的一切后果由投标银行自行承担。</w:t>
      </w:r>
    </w:p>
    <w:p>
      <w:pPr>
        <w:rPr>
          <w:rFonts w:ascii="仿宋" w:hAnsi="仿宋" w:cs="仿宋"/>
          <w:b/>
          <w:color w:val="000000"/>
          <w:kern w:val="0"/>
        </w:rPr>
      </w:pPr>
      <w:r>
        <w:rPr>
          <w:rFonts w:hint="eastAsia" w:ascii="仿宋" w:hAnsi="仿宋" w:cs="仿宋"/>
          <w:b/>
          <w:color w:val="000000"/>
          <w:kern w:val="0"/>
        </w:rPr>
        <w:t>13、《招标文件》的澄清与修改</w:t>
      </w:r>
    </w:p>
    <w:p>
      <w:pPr>
        <w:ind w:left="1" w:firstLine="463" w:firstLineChars="192"/>
        <w:rPr>
          <w:rFonts w:ascii="仿宋" w:hAnsi="仿宋" w:cs="仿宋"/>
          <w:b/>
          <w:color w:val="000000"/>
          <w:kern w:val="0"/>
        </w:rPr>
      </w:pPr>
      <w:r>
        <w:rPr>
          <w:rFonts w:hint="eastAsia" w:ascii="仿宋" w:hAnsi="仿宋" w:cs="仿宋"/>
          <w:b/>
          <w:color w:val="000000"/>
          <w:kern w:val="0"/>
        </w:rPr>
        <w:t>13.1投标银行应认真阅读《招标文件》，发现其中有误或前后矛盾或有要求不合理要求的，投标银行应按投标银行须知前附表中规定的“招标文件提疑截止时间”前以书面形式向招标组织机构发出“询问”，否则造成的一切后果由投标银行自行承担，招标组织机构概不负责。</w:t>
      </w:r>
    </w:p>
    <w:p>
      <w:pPr>
        <w:ind w:left="1" w:firstLine="460" w:firstLineChars="192"/>
        <w:rPr>
          <w:rFonts w:ascii="仿宋" w:hAnsi="仿宋" w:cs="仿宋"/>
          <w:color w:val="000000"/>
          <w:kern w:val="0"/>
        </w:rPr>
      </w:pPr>
      <w:r>
        <w:rPr>
          <w:rFonts w:hint="eastAsia" w:ascii="仿宋" w:hAnsi="仿宋" w:cs="仿宋"/>
          <w:color w:val="000000"/>
          <w:kern w:val="0"/>
        </w:rPr>
        <w:t>13.2招标组织机构将以书面形式答复投标银行询问的问题，并将不包含问题来源的答复书面通知所有登记购买《招标文件》的供应商；除书面答复以外的其他澄清方式及澄清内容均无效。</w:t>
      </w:r>
    </w:p>
    <w:p>
      <w:pPr>
        <w:ind w:left="1" w:firstLine="460" w:firstLineChars="192"/>
        <w:rPr>
          <w:rFonts w:ascii="仿宋" w:hAnsi="仿宋" w:cs="仿宋"/>
          <w:color w:val="000000"/>
          <w:kern w:val="0"/>
        </w:rPr>
      </w:pPr>
      <w:r>
        <w:rPr>
          <w:rFonts w:hint="eastAsia" w:ascii="仿宋" w:hAnsi="仿宋" w:cs="仿宋"/>
          <w:color w:val="000000"/>
          <w:kern w:val="0"/>
        </w:rPr>
        <w:t>13.3招标组织机构对已发出的《招标文件》进行必要澄清、答复、修改或补充的，将在《招标文件》要求提交《投标文件》截止时间三日前，在指定媒体上发布更正公告，并以书面形式通知所有登记购买《招标文件》的供应商。</w:t>
      </w:r>
    </w:p>
    <w:p>
      <w:pPr>
        <w:ind w:left="1" w:firstLine="460" w:firstLineChars="192"/>
        <w:rPr>
          <w:rFonts w:ascii="仿宋" w:hAnsi="仿宋" w:cs="仿宋"/>
          <w:color w:val="000000"/>
          <w:kern w:val="0"/>
        </w:rPr>
      </w:pPr>
      <w:r>
        <w:rPr>
          <w:rFonts w:hint="eastAsia" w:ascii="仿宋" w:hAnsi="仿宋" w:cs="仿宋"/>
          <w:color w:val="000000"/>
          <w:kern w:val="0"/>
        </w:rPr>
        <w:t>13.4补充（或更正）文件发出后，投标银行如认为补充（或更正）事项影响到投标文件的编制，需要延长投标截止时间和开标时间的，必须在收到补充（或更正）文件后24小时内将意见及理由以书面形式向招标代理机构提出。</w:t>
      </w:r>
    </w:p>
    <w:p>
      <w:pPr>
        <w:ind w:left="1" w:firstLine="460" w:firstLineChars="192"/>
        <w:rPr>
          <w:rFonts w:ascii="仿宋" w:hAnsi="仿宋" w:cs="仿宋"/>
          <w:color w:val="000000"/>
          <w:kern w:val="0"/>
        </w:rPr>
      </w:pPr>
      <w:r>
        <w:rPr>
          <w:rFonts w:hint="eastAsia" w:ascii="仿宋" w:hAnsi="仿宋" w:cs="仿宋"/>
          <w:color w:val="000000"/>
          <w:kern w:val="0"/>
        </w:rPr>
        <w:t>13.5《招标文件》澄清、答复、修改、补充的内容为《招标文件》的组成部分。当《招标文件》与《招标文件》的答复、澄清、修改、补充通知就同一内容的表述不一致时，以最后发出的书面文件为准。</w:t>
      </w:r>
    </w:p>
    <w:p>
      <w:pPr>
        <w:ind w:left="1" w:firstLine="460" w:firstLineChars="192"/>
        <w:rPr>
          <w:rFonts w:ascii="仿宋" w:hAnsi="仿宋" w:cs="仿宋"/>
          <w:color w:val="000000"/>
          <w:kern w:val="0"/>
        </w:rPr>
      </w:pPr>
      <w:r>
        <w:rPr>
          <w:rFonts w:hint="eastAsia" w:ascii="仿宋" w:hAnsi="仿宋" w:cs="仿宋"/>
          <w:color w:val="000000"/>
          <w:kern w:val="0"/>
        </w:rPr>
        <w:t>13.6《招标文件》的澄清、答复、修改或补充均通过招标组织机构以法定形式发布。</w:t>
      </w:r>
    </w:p>
    <w:p>
      <w:pPr>
        <w:pStyle w:val="3"/>
      </w:pPr>
      <w:bookmarkStart w:id="51" w:name="_Toc452032119"/>
      <w:bookmarkStart w:id="52" w:name="_Toc371"/>
      <w:bookmarkStart w:id="53" w:name="_Toc424164156"/>
      <w:bookmarkStart w:id="54" w:name="_Toc446950605"/>
      <w:bookmarkStart w:id="55" w:name="_Toc440162788"/>
      <w:bookmarkStart w:id="56" w:name="_Toc13455"/>
      <w:bookmarkStart w:id="57" w:name="_Toc21526"/>
      <w:bookmarkStart w:id="58" w:name="_Toc6703"/>
      <w:bookmarkStart w:id="59" w:name="_Toc28150"/>
      <w:r>
        <w:rPr>
          <w:rFonts w:hint="eastAsia"/>
        </w:rPr>
        <w:t>三、《投标文件》的编制</w:t>
      </w:r>
      <w:bookmarkEnd w:id="51"/>
      <w:bookmarkEnd w:id="52"/>
      <w:bookmarkEnd w:id="53"/>
      <w:bookmarkEnd w:id="54"/>
      <w:bookmarkEnd w:id="55"/>
      <w:bookmarkEnd w:id="56"/>
      <w:bookmarkEnd w:id="57"/>
      <w:bookmarkEnd w:id="58"/>
      <w:bookmarkEnd w:id="59"/>
    </w:p>
    <w:p>
      <w:pPr>
        <w:rPr>
          <w:rFonts w:ascii="仿宋" w:hAnsi="仿宋" w:cs="仿宋"/>
          <w:b/>
          <w:color w:val="000000"/>
          <w:kern w:val="0"/>
        </w:rPr>
      </w:pPr>
      <w:r>
        <w:rPr>
          <w:rFonts w:hint="eastAsia" w:ascii="仿宋" w:hAnsi="仿宋" w:cs="仿宋"/>
          <w:b/>
          <w:color w:val="000000"/>
          <w:kern w:val="0"/>
        </w:rPr>
        <w:t>14、《投标文件》的组成</w:t>
      </w:r>
    </w:p>
    <w:p>
      <w:pPr>
        <w:ind w:firstLine="463" w:firstLineChars="192"/>
        <w:rPr>
          <w:rFonts w:ascii="仿宋" w:hAnsi="仿宋" w:cs="仿宋"/>
          <w:color w:val="000000"/>
          <w:kern w:val="0"/>
        </w:rPr>
      </w:pPr>
      <w:r>
        <w:rPr>
          <w:rFonts w:hint="eastAsia" w:ascii="仿宋" w:hAnsi="仿宋" w:cs="仿宋"/>
          <w:b/>
          <w:color w:val="000000"/>
          <w:kern w:val="0"/>
        </w:rPr>
        <w:t>投标文件由以下内容组成（投标银行应按以下清单提供相关资料，否则一切风险和责任由投标银行自行承担）：</w:t>
      </w:r>
    </w:p>
    <w:p>
      <w:pPr>
        <w:ind w:firstLine="463" w:firstLineChars="192"/>
        <w:rPr>
          <w:rFonts w:ascii="仿宋" w:hAnsi="仿宋" w:cs="仿宋"/>
          <w:color w:val="000000"/>
          <w:kern w:val="0"/>
        </w:rPr>
      </w:pPr>
      <w:r>
        <w:rPr>
          <w:rFonts w:hint="eastAsia" w:ascii="仿宋" w:hAnsi="仿宋" w:cs="仿宋"/>
          <w:b/>
          <w:color w:val="000000"/>
          <w:kern w:val="0"/>
        </w:rPr>
        <w:t>（1）“投标文件”封面</w:t>
      </w:r>
      <w:r>
        <w:rPr>
          <w:rFonts w:hint="eastAsia" w:ascii="仿宋" w:hAnsi="仿宋" w:cs="仿宋"/>
          <w:color w:val="000000"/>
          <w:kern w:val="0"/>
        </w:rPr>
        <w:t>【格式见第六章】；</w:t>
      </w:r>
    </w:p>
    <w:p>
      <w:pPr>
        <w:ind w:firstLine="463" w:firstLineChars="192"/>
        <w:rPr>
          <w:rFonts w:ascii="仿宋" w:hAnsi="仿宋" w:cs="仿宋"/>
          <w:color w:val="000000"/>
          <w:kern w:val="0"/>
        </w:rPr>
      </w:pPr>
      <w:r>
        <w:rPr>
          <w:rFonts w:hint="eastAsia" w:ascii="仿宋" w:hAnsi="仿宋" w:cs="仿宋"/>
          <w:b/>
          <w:color w:val="000000"/>
          <w:kern w:val="0"/>
        </w:rPr>
        <w:t>（2）“投标文件”目录</w:t>
      </w:r>
      <w:r>
        <w:rPr>
          <w:rFonts w:hint="eastAsia" w:ascii="仿宋" w:hAnsi="仿宋" w:cs="仿宋"/>
          <w:color w:val="000000"/>
          <w:kern w:val="0"/>
        </w:rPr>
        <w:t>（带页码，格式自拟）；</w:t>
      </w:r>
    </w:p>
    <w:p>
      <w:pPr>
        <w:ind w:firstLine="463" w:firstLineChars="192"/>
        <w:rPr>
          <w:rFonts w:ascii="仿宋" w:hAnsi="仿宋" w:cs="仿宋"/>
          <w:color w:val="000000"/>
          <w:kern w:val="0"/>
        </w:rPr>
      </w:pPr>
      <w:r>
        <w:rPr>
          <w:rFonts w:hint="eastAsia" w:ascii="仿宋" w:hAnsi="仿宋" w:cs="仿宋"/>
          <w:b/>
          <w:color w:val="000000"/>
          <w:kern w:val="0"/>
        </w:rPr>
        <w:t>（3）投标银行关于《投标文件》所有内容真实、可靠的承诺书</w:t>
      </w:r>
      <w:r>
        <w:rPr>
          <w:rFonts w:hint="eastAsia" w:ascii="仿宋" w:hAnsi="仿宋" w:cs="仿宋"/>
          <w:color w:val="000000"/>
          <w:kern w:val="0"/>
        </w:rPr>
        <w:t>【格式见第六章】；</w:t>
      </w:r>
    </w:p>
    <w:p>
      <w:pPr>
        <w:ind w:firstLine="463" w:firstLineChars="192"/>
        <w:rPr>
          <w:rFonts w:ascii="仿宋" w:hAnsi="仿宋" w:cs="仿宋"/>
          <w:color w:val="000000"/>
          <w:kern w:val="0"/>
        </w:rPr>
      </w:pPr>
      <w:r>
        <w:rPr>
          <w:rFonts w:hint="eastAsia" w:ascii="仿宋" w:hAnsi="仿宋" w:cs="仿宋"/>
          <w:b/>
          <w:color w:val="000000"/>
          <w:kern w:val="0"/>
        </w:rPr>
        <w:t>（4）《投标函》</w:t>
      </w:r>
      <w:r>
        <w:rPr>
          <w:rFonts w:hint="eastAsia" w:ascii="仿宋" w:hAnsi="仿宋" w:cs="仿宋"/>
          <w:color w:val="000000"/>
          <w:kern w:val="0"/>
        </w:rPr>
        <w:t>【格式见第六章】；</w:t>
      </w:r>
    </w:p>
    <w:p>
      <w:pPr>
        <w:ind w:firstLine="463" w:firstLineChars="192"/>
        <w:rPr>
          <w:rFonts w:ascii="仿宋" w:hAnsi="仿宋" w:cs="仿宋"/>
          <w:color w:val="000000"/>
          <w:kern w:val="0"/>
        </w:rPr>
      </w:pPr>
      <w:r>
        <w:rPr>
          <w:rFonts w:hint="eastAsia" w:ascii="仿宋" w:hAnsi="仿宋" w:cs="仿宋"/>
          <w:b/>
          <w:color w:val="000000"/>
          <w:kern w:val="0"/>
        </w:rPr>
        <w:t>（5）《法定代表人（或分支机构负责人）授权委托书》</w:t>
      </w:r>
      <w:r>
        <w:rPr>
          <w:rFonts w:hint="eastAsia" w:ascii="仿宋" w:hAnsi="仿宋" w:cs="仿宋"/>
          <w:color w:val="000000"/>
          <w:kern w:val="0"/>
        </w:rPr>
        <w:t>【格式见第六章】</w:t>
      </w:r>
      <w:r>
        <w:rPr>
          <w:rFonts w:hint="eastAsia" w:ascii="仿宋" w:hAnsi="仿宋" w:cs="仿宋"/>
          <w:b/>
          <w:color w:val="000000"/>
          <w:kern w:val="0"/>
        </w:rPr>
        <w:t>；</w:t>
      </w:r>
    </w:p>
    <w:p>
      <w:pPr>
        <w:ind w:firstLine="463" w:firstLineChars="192"/>
        <w:rPr>
          <w:rFonts w:ascii="仿宋" w:hAnsi="仿宋" w:cs="仿宋"/>
          <w:color w:val="000000"/>
          <w:kern w:val="0"/>
        </w:rPr>
      </w:pPr>
      <w:r>
        <w:rPr>
          <w:rFonts w:hint="eastAsia" w:ascii="仿宋" w:hAnsi="仿宋" w:cs="仿宋"/>
          <w:b/>
          <w:color w:val="000000"/>
          <w:kern w:val="0"/>
        </w:rPr>
        <w:t>（6）《开标一览表》</w:t>
      </w:r>
      <w:r>
        <w:rPr>
          <w:rFonts w:hint="eastAsia" w:ascii="仿宋" w:hAnsi="仿宋" w:cs="仿宋"/>
          <w:color w:val="000000"/>
          <w:kern w:val="0"/>
        </w:rPr>
        <w:t>【格式见第六章】；</w:t>
      </w:r>
    </w:p>
    <w:p>
      <w:pPr>
        <w:ind w:firstLine="463" w:firstLineChars="192"/>
        <w:rPr>
          <w:rFonts w:ascii="仿宋" w:hAnsi="仿宋" w:cs="仿宋"/>
          <w:b/>
          <w:color w:val="000000"/>
          <w:kern w:val="0"/>
        </w:rPr>
      </w:pPr>
      <w:r>
        <w:rPr>
          <w:rFonts w:hint="eastAsia" w:ascii="仿宋" w:hAnsi="仿宋" w:cs="仿宋"/>
          <w:b/>
          <w:color w:val="000000"/>
          <w:kern w:val="0"/>
        </w:rPr>
        <w:t>（7）投标银行资格证明文件（资格证明文件不全的投标无效）：</w:t>
      </w:r>
    </w:p>
    <w:p>
      <w:pPr>
        <w:ind w:firstLine="1082" w:firstLineChars="501"/>
        <w:rPr>
          <w:rFonts w:ascii="仿宋" w:hAnsi="仿宋" w:cs="仿宋"/>
          <w:color w:val="000000"/>
          <w:w w:val="90"/>
        </w:rPr>
      </w:pPr>
      <w:r>
        <w:rPr>
          <w:rFonts w:hint="eastAsia" w:ascii="仿宋" w:hAnsi="仿宋" w:cs="仿宋"/>
          <w:color w:val="000000"/>
          <w:w w:val="90"/>
        </w:rPr>
        <w:t>8-1、投标银行企业营业执照（复印件，加盖投标银行公章）。</w:t>
      </w:r>
    </w:p>
    <w:p>
      <w:pPr>
        <w:ind w:firstLine="1082" w:firstLineChars="501"/>
        <w:rPr>
          <w:rFonts w:ascii="仿宋" w:hAnsi="仿宋" w:cs="仿宋"/>
          <w:color w:val="000000"/>
          <w:w w:val="90"/>
        </w:rPr>
      </w:pPr>
      <w:r>
        <w:rPr>
          <w:rFonts w:hint="eastAsia" w:ascii="仿宋" w:hAnsi="仿宋" w:cs="仿宋"/>
          <w:color w:val="000000"/>
          <w:w w:val="90"/>
        </w:rPr>
        <w:t>9-2、《中华人民共和国金融许可证》（复印件，加盖投标银行公章）。</w:t>
      </w:r>
    </w:p>
    <w:p>
      <w:pPr>
        <w:ind w:firstLine="1082" w:firstLineChars="501"/>
        <w:rPr>
          <w:rFonts w:ascii="仿宋" w:hAnsi="仿宋" w:cs="仿宋"/>
          <w:color w:val="000000"/>
          <w:w w:val="90"/>
        </w:rPr>
      </w:pPr>
      <w:r>
        <w:rPr>
          <w:rFonts w:hint="eastAsia" w:ascii="仿宋" w:hAnsi="仿宋" w:cs="仿宋"/>
          <w:color w:val="000000"/>
          <w:w w:val="90"/>
        </w:rPr>
        <w:t>9-3、中国人民银行苍南县支行上年度综合评价（复印件，加盖投标银行公章）</w:t>
      </w:r>
    </w:p>
    <w:p>
      <w:pPr>
        <w:ind w:firstLine="1082" w:firstLineChars="501"/>
        <w:rPr>
          <w:rFonts w:ascii="仿宋" w:hAnsi="仿宋" w:cs="仿宋"/>
          <w:color w:val="000000"/>
          <w:w w:val="90"/>
        </w:rPr>
      </w:pPr>
      <w:r>
        <w:rPr>
          <w:rFonts w:hint="eastAsia" w:ascii="仿宋" w:hAnsi="仿宋" w:cs="仿宋"/>
          <w:color w:val="000000"/>
          <w:w w:val="90"/>
        </w:rPr>
        <w:t>9-4、近三年内未发生金融风险及重大违约违法违纪时间的书面声明。</w:t>
      </w:r>
    </w:p>
    <w:p>
      <w:pPr>
        <w:ind w:firstLine="1082" w:firstLineChars="501"/>
        <w:rPr>
          <w:rFonts w:ascii="仿宋" w:hAnsi="仿宋" w:cs="仿宋"/>
          <w:color w:val="000000"/>
          <w:w w:val="90"/>
        </w:rPr>
      </w:pPr>
      <w:r>
        <w:rPr>
          <w:rFonts w:hint="eastAsia" w:ascii="仿宋" w:hAnsi="仿宋" w:cs="仿宋"/>
          <w:color w:val="000000"/>
          <w:w w:val="90"/>
        </w:rPr>
        <w:t>9-5、关于财务稳健的书面声明。</w:t>
      </w:r>
    </w:p>
    <w:p>
      <w:pPr>
        <w:ind w:firstLine="1082" w:firstLineChars="501"/>
        <w:rPr>
          <w:rFonts w:ascii="仿宋" w:hAnsi="仿宋" w:cs="仿宋"/>
          <w:color w:val="000000"/>
          <w:w w:val="90"/>
        </w:rPr>
      </w:pPr>
      <w:r>
        <w:rPr>
          <w:rFonts w:hint="eastAsia" w:ascii="仿宋" w:hAnsi="仿宋" w:cs="仿宋"/>
          <w:color w:val="000000"/>
          <w:w w:val="90"/>
        </w:rPr>
        <w:t>9-6、合格投标银行资格要求中要求提供的其他材料（复印件，加盖投标银行公章）。</w:t>
      </w:r>
    </w:p>
    <w:p>
      <w:pPr>
        <w:ind w:firstLine="463" w:firstLineChars="192"/>
        <w:rPr>
          <w:rFonts w:ascii="仿宋" w:hAnsi="仿宋" w:cs="仿宋"/>
          <w:color w:val="000000"/>
          <w:w w:val="90"/>
        </w:rPr>
      </w:pPr>
      <w:r>
        <w:rPr>
          <w:rFonts w:hint="eastAsia" w:ascii="仿宋" w:hAnsi="仿宋" w:cs="仿宋"/>
          <w:b/>
          <w:color w:val="000000"/>
          <w:kern w:val="0"/>
        </w:rPr>
        <w:t>（10）投标银行情况介绍</w:t>
      </w:r>
      <w:r>
        <w:rPr>
          <w:rFonts w:hint="eastAsia" w:ascii="仿宋" w:hAnsi="仿宋" w:cs="仿宋"/>
          <w:color w:val="000000"/>
          <w:kern w:val="0"/>
        </w:rPr>
        <w:t>【格式自拟】</w:t>
      </w:r>
      <w:r>
        <w:rPr>
          <w:rFonts w:hint="eastAsia" w:ascii="仿宋" w:hAnsi="仿宋" w:cs="仿宋"/>
          <w:color w:val="000000"/>
          <w:w w:val="90"/>
        </w:rPr>
        <w:t>；</w:t>
      </w:r>
    </w:p>
    <w:p>
      <w:pPr>
        <w:ind w:firstLine="463" w:firstLineChars="192"/>
        <w:rPr>
          <w:rFonts w:ascii="仿宋" w:hAnsi="仿宋" w:cs="仿宋"/>
          <w:b/>
          <w:color w:val="000000"/>
          <w:w w:val="90"/>
        </w:rPr>
      </w:pPr>
      <w:r>
        <w:rPr>
          <w:rFonts w:hint="eastAsia" w:ascii="仿宋" w:hAnsi="仿宋" w:cs="仿宋"/>
          <w:b/>
          <w:color w:val="000000"/>
          <w:kern w:val="0"/>
        </w:rPr>
        <w:t>（11）</w:t>
      </w:r>
      <w:r>
        <w:rPr>
          <w:rFonts w:hint="eastAsia" w:ascii="仿宋" w:hAnsi="仿宋" w:cs="仿宋"/>
          <w:b/>
          <w:color w:val="000000"/>
          <w:w w:val="90"/>
        </w:rPr>
        <w:t>针对本项目的</w:t>
      </w:r>
      <w:r>
        <w:rPr>
          <w:rFonts w:hint="eastAsia" w:ascii="仿宋" w:hAnsi="仿宋" w:cs="仿宋"/>
          <w:b/>
          <w:color w:val="000000"/>
          <w:kern w:val="0"/>
        </w:rPr>
        <w:t>服务方案承诺</w:t>
      </w:r>
      <w:r>
        <w:rPr>
          <w:rFonts w:hint="eastAsia" w:ascii="仿宋" w:hAnsi="仿宋" w:cs="仿宋"/>
          <w:b/>
          <w:color w:val="000000"/>
          <w:w w:val="90"/>
        </w:rPr>
        <w:t>；</w:t>
      </w:r>
    </w:p>
    <w:p>
      <w:pPr>
        <w:ind w:firstLine="462" w:firstLineChars="213"/>
        <w:rPr>
          <w:rFonts w:ascii="仿宋" w:hAnsi="仿宋" w:cs="仿宋"/>
          <w:b/>
          <w:color w:val="000000"/>
          <w:kern w:val="0"/>
        </w:rPr>
      </w:pPr>
      <w:r>
        <w:rPr>
          <w:rFonts w:hint="eastAsia" w:ascii="仿宋" w:hAnsi="仿宋" w:cs="仿宋"/>
          <w:b/>
          <w:color w:val="000000"/>
          <w:w w:val="90"/>
        </w:rPr>
        <w:t>（12）针对本项目各项指标的说明材料</w:t>
      </w:r>
      <w:r>
        <w:rPr>
          <w:rFonts w:hint="eastAsia" w:ascii="仿宋" w:hAnsi="仿宋" w:cs="仿宋"/>
          <w:color w:val="000000"/>
          <w:w w:val="90"/>
        </w:rPr>
        <w:t>（包括经营状况指标、服务水平指标、经济发展贡献指标、收益水平指标）【格式见第六章】</w:t>
      </w:r>
      <w:r>
        <w:rPr>
          <w:rFonts w:hint="eastAsia" w:ascii="仿宋" w:hAnsi="仿宋" w:cs="仿宋"/>
          <w:b/>
          <w:color w:val="000000"/>
          <w:w w:val="90"/>
        </w:rPr>
        <w:t>；</w:t>
      </w:r>
    </w:p>
    <w:p>
      <w:pPr>
        <w:ind w:firstLine="463" w:firstLineChars="192"/>
        <w:rPr>
          <w:rFonts w:ascii="仿宋" w:hAnsi="仿宋" w:cs="仿宋"/>
          <w:color w:val="000000"/>
          <w:kern w:val="0"/>
        </w:rPr>
      </w:pPr>
      <w:r>
        <w:rPr>
          <w:rFonts w:hint="eastAsia" w:ascii="仿宋" w:hAnsi="仿宋" w:cs="仿宋"/>
          <w:b/>
          <w:color w:val="000000"/>
          <w:kern w:val="0"/>
        </w:rPr>
        <w:t>（13）优惠承诺</w:t>
      </w:r>
      <w:r>
        <w:rPr>
          <w:rFonts w:hint="eastAsia" w:ascii="仿宋" w:hAnsi="仿宋" w:cs="仿宋"/>
          <w:color w:val="000000"/>
          <w:kern w:val="0"/>
        </w:rPr>
        <w:t>【含偏离说明，格式见第六章】；</w:t>
      </w:r>
    </w:p>
    <w:p>
      <w:pPr>
        <w:ind w:firstLine="463" w:firstLineChars="192"/>
        <w:rPr>
          <w:rFonts w:ascii="仿宋" w:hAnsi="仿宋" w:cs="仿宋"/>
          <w:b/>
          <w:color w:val="000000"/>
          <w:kern w:val="0"/>
        </w:rPr>
      </w:pPr>
      <w:r>
        <w:rPr>
          <w:rFonts w:hint="eastAsia" w:ascii="仿宋" w:hAnsi="仿宋" w:cs="仿宋"/>
          <w:b/>
          <w:color w:val="000000"/>
          <w:kern w:val="0"/>
        </w:rPr>
        <w:t>（14）拟派服务团队成员组成情况</w:t>
      </w:r>
      <w:r>
        <w:rPr>
          <w:rFonts w:hint="eastAsia" w:ascii="仿宋" w:hAnsi="仿宋" w:cs="仿宋"/>
          <w:color w:val="000000"/>
          <w:kern w:val="0"/>
        </w:rPr>
        <w:t>【格式见第六章】</w:t>
      </w:r>
      <w:r>
        <w:rPr>
          <w:rFonts w:hint="eastAsia" w:ascii="仿宋" w:hAnsi="仿宋" w:cs="仿宋"/>
          <w:b/>
          <w:color w:val="000000"/>
          <w:kern w:val="0"/>
        </w:rPr>
        <w:t>；</w:t>
      </w:r>
    </w:p>
    <w:p>
      <w:pPr>
        <w:ind w:firstLine="460" w:firstLineChars="192"/>
        <w:rPr>
          <w:rFonts w:ascii="仿宋" w:hAnsi="仿宋" w:cs="仿宋"/>
          <w:color w:val="000000"/>
          <w:kern w:val="0"/>
        </w:rPr>
      </w:pPr>
      <w:r>
        <w:rPr>
          <w:rFonts w:hint="eastAsia" w:ascii="仿宋" w:hAnsi="仿宋" w:cs="仿宋"/>
          <w:color w:val="000000"/>
          <w:kern w:val="0"/>
        </w:rPr>
        <w:t>（15）《招标文件》中要求的或投标银行认为有必要提供的其他材料或说明。</w:t>
      </w:r>
    </w:p>
    <w:p>
      <w:pPr>
        <w:ind w:firstLine="463" w:firstLineChars="192"/>
        <w:rPr>
          <w:rFonts w:ascii="仿宋" w:hAnsi="仿宋" w:cs="仿宋"/>
          <w:color w:val="000000"/>
          <w:kern w:val="0"/>
        </w:rPr>
      </w:pPr>
      <w:r>
        <w:rPr>
          <w:rFonts w:hint="eastAsia" w:ascii="仿宋" w:hAnsi="仿宋" w:cs="仿宋"/>
          <w:b/>
          <w:color w:val="000000"/>
          <w:kern w:val="0"/>
        </w:rPr>
        <w:t>备注：（1）上述材料本《招标文件》有提供格式的，参照格式内容要求进行编制，内容或签章不齐的视同未提供。（2）《法定代表人授权委托书》必须由投标银行的法定代表人签字（或盖章）并加盖投标银行公章（其他需要签字的部分可由授权代表签字（或盖章）并加盖公章）；资格、许可证书、业绩证明材料复印件须加盖投标银行单位公章；签章不齐的视同未提供。</w:t>
      </w:r>
    </w:p>
    <w:p>
      <w:pPr>
        <w:rPr>
          <w:rFonts w:ascii="仿宋" w:hAnsi="仿宋" w:cs="仿宋"/>
          <w:b/>
          <w:color w:val="000000"/>
          <w:kern w:val="0"/>
        </w:rPr>
      </w:pPr>
      <w:r>
        <w:rPr>
          <w:rFonts w:hint="eastAsia" w:ascii="仿宋" w:hAnsi="仿宋" w:cs="仿宋"/>
          <w:b/>
          <w:color w:val="000000"/>
          <w:kern w:val="0"/>
        </w:rPr>
        <w:t>15、《投标文件》的语言及计量</w:t>
      </w:r>
    </w:p>
    <w:p>
      <w:pPr>
        <w:ind w:firstLine="460" w:firstLineChars="192"/>
        <w:rPr>
          <w:rFonts w:ascii="仿宋" w:hAnsi="仿宋" w:cs="仿宋"/>
          <w:color w:val="000000"/>
          <w:kern w:val="0"/>
        </w:rPr>
      </w:pPr>
      <w:r>
        <w:rPr>
          <w:rFonts w:hint="eastAsia" w:ascii="仿宋" w:hAnsi="仿宋" w:cs="仿宋"/>
          <w:color w:val="000000"/>
          <w:kern w:val="0"/>
        </w:rPr>
        <w:t>15.1《投标文件》以及投标银行与招标人就有关投标事宜的所有来往函电，均应以中文汉语书写。除签名、盖章、专用名称等特殊情形外，</w:t>
      </w:r>
      <w:r>
        <w:rPr>
          <w:rFonts w:hint="eastAsia" w:ascii="仿宋" w:hAnsi="仿宋" w:cs="仿宋"/>
          <w:b/>
          <w:color w:val="000000"/>
          <w:kern w:val="0"/>
        </w:rPr>
        <w:t>以中文汉语以外的文字表述的投标文件视同未提供。</w:t>
      </w:r>
    </w:p>
    <w:p>
      <w:pPr>
        <w:ind w:firstLine="460" w:firstLineChars="192"/>
        <w:rPr>
          <w:rFonts w:ascii="仿宋" w:hAnsi="仿宋" w:cs="仿宋"/>
          <w:b/>
          <w:color w:val="000000"/>
          <w:kern w:val="0"/>
        </w:rPr>
      </w:pPr>
      <w:r>
        <w:rPr>
          <w:rFonts w:hint="eastAsia" w:ascii="仿宋" w:hAnsi="仿宋" w:cs="仿宋"/>
          <w:color w:val="000000"/>
          <w:kern w:val="0"/>
        </w:rPr>
        <w:t>15.2投标计量单位，《招标文件》已有明确规定的，使用《招标文件》规定的计量单位；</w:t>
      </w:r>
      <w:r>
        <w:rPr>
          <w:rFonts w:hint="eastAsia" w:ascii="仿宋" w:hAnsi="仿宋" w:cs="仿宋"/>
          <w:b/>
          <w:color w:val="000000"/>
          <w:kern w:val="0"/>
        </w:rPr>
        <w:t>《招标文件》没有规定的，应采用中华人民共和国法定计量单位，否则视同未响应。</w:t>
      </w:r>
    </w:p>
    <w:p>
      <w:pPr>
        <w:rPr>
          <w:rFonts w:ascii="仿宋" w:hAnsi="仿宋" w:cs="仿宋"/>
          <w:b/>
          <w:color w:val="000000"/>
          <w:kern w:val="0"/>
        </w:rPr>
      </w:pPr>
      <w:r>
        <w:rPr>
          <w:rFonts w:hint="eastAsia" w:ascii="仿宋" w:hAnsi="仿宋" w:cs="仿宋"/>
          <w:b/>
          <w:color w:val="000000"/>
          <w:kern w:val="0"/>
        </w:rPr>
        <w:t>16、投标报价</w:t>
      </w:r>
    </w:p>
    <w:p>
      <w:pPr>
        <w:ind w:firstLine="463" w:firstLineChars="192"/>
        <w:rPr>
          <w:rFonts w:ascii="仿宋" w:hAnsi="仿宋" w:cs="仿宋"/>
          <w:b/>
          <w:color w:val="000000"/>
          <w:kern w:val="0"/>
        </w:rPr>
      </w:pPr>
      <w:r>
        <w:rPr>
          <w:rFonts w:hint="eastAsia" w:ascii="仿宋" w:hAnsi="仿宋" w:cs="仿宋"/>
          <w:b/>
          <w:color w:val="000000"/>
          <w:kern w:val="0"/>
        </w:rPr>
        <w:t>16.1投标报价应按《招标文件》中相关附表格式填写。</w:t>
      </w:r>
    </w:p>
    <w:p>
      <w:pPr>
        <w:ind w:firstLine="463" w:firstLineChars="192"/>
        <w:rPr>
          <w:rFonts w:ascii="仿宋" w:hAnsi="仿宋" w:cs="仿宋"/>
          <w:color w:val="000000"/>
          <w:kern w:val="0"/>
        </w:rPr>
      </w:pPr>
      <w:r>
        <w:rPr>
          <w:rFonts w:hint="eastAsia" w:ascii="仿宋" w:hAnsi="仿宋" w:cs="仿宋"/>
          <w:b/>
          <w:color w:val="000000"/>
          <w:kern w:val="0"/>
        </w:rPr>
        <w:t>16.2本次项目以符合国家利率政策的“定期存款利率”报价。</w:t>
      </w:r>
    </w:p>
    <w:p>
      <w:pPr>
        <w:ind w:firstLine="465" w:firstLineChars="193"/>
        <w:rPr>
          <w:rFonts w:ascii="仿宋" w:hAnsi="仿宋" w:cs="仿宋"/>
          <w:b/>
          <w:color w:val="000000"/>
          <w:kern w:val="0"/>
        </w:rPr>
      </w:pPr>
      <w:r>
        <w:rPr>
          <w:rFonts w:hint="eastAsia" w:ascii="仿宋" w:hAnsi="仿宋" w:cs="仿宋"/>
          <w:b/>
          <w:color w:val="000000"/>
          <w:kern w:val="0"/>
        </w:rPr>
        <w:t>16.3《投标文件》只允许有一个报价，有选择的报价将不予接受。</w:t>
      </w:r>
    </w:p>
    <w:p>
      <w:pPr>
        <w:rPr>
          <w:rFonts w:ascii="仿宋" w:hAnsi="仿宋" w:cs="仿宋"/>
          <w:b/>
          <w:color w:val="000000"/>
          <w:kern w:val="0"/>
        </w:rPr>
      </w:pPr>
      <w:r>
        <w:rPr>
          <w:rFonts w:hint="eastAsia" w:ascii="仿宋" w:hAnsi="仿宋" w:cs="仿宋"/>
          <w:b/>
          <w:color w:val="000000"/>
          <w:kern w:val="0"/>
        </w:rPr>
        <w:t>17、《投标文件》的有效期</w:t>
      </w:r>
    </w:p>
    <w:p>
      <w:pPr>
        <w:ind w:firstLine="465" w:firstLineChars="193"/>
        <w:rPr>
          <w:rFonts w:ascii="仿宋" w:hAnsi="仿宋" w:cs="仿宋"/>
          <w:b/>
          <w:color w:val="000000"/>
          <w:kern w:val="0"/>
        </w:rPr>
      </w:pPr>
      <w:r>
        <w:rPr>
          <w:rFonts w:hint="eastAsia" w:ascii="仿宋" w:hAnsi="仿宋" w:cs="仿宋"/>
          <w:b/>
          <w:color w:val="000000"/>
          <w:kern w:val="0"/>
        </w:rPr>
        <w:t>17.1</w:t>
      </w:r>
      <w:r>
        <w:rPr>
          <w:rFonts w:hint="eastAsia" w:ascii="仿宋" w:hAnsi="仿宋" w:cs="仿宋"/>
          <w:color w:val="000000"/>
          <w:kern w:val="0"/>
        </w:rPr>
        <w:t>▲</w:t>
      </w:r>
      <w:r>
        <w:rPr>
          <w:rFonts w:hint="eastAsia" w:ascii="仿宋" w:hAnsi="仿宋" w:cs="仿宋"/>
          <w:b/>
          <w:color w:val="000000"/>
          <w:kern w:val="0"/>
        </w:rPr>
        <w:t>自投标截止日起</w:t>
      </w:r>
      <w:r>
        <w:rPr>
          <w:rFonts w:hint="eastAsia" w:ascii="仿宋" w:hAnsi="仿宋" w:cs="仿宋"/>
          <w:b/>
          <w:color w:val="000000"/>
          <w:kern w:val="0"/>
          <w:u w:val="single"/>
        </w:rPr>
        <w:t>90</w:t>
      </w:r>
      <w:r>
        <w:rPr>
          <w:rFonts w:hint="eastAsia" w:ascii="仿宋" w:hAnsi="仿宋" w:cs="仿宋"/>
          <w:b/>
          <w:color w:val="000000"/>
          <w:kern w:val="0"/>
        </w:rPr>
        <w:t>天内《投标文件》应保持有效。投标文件有效期短于这个规定期限的投标将作无效标处理。</w:t>
      </w:r>
    </w:p>
    <w:p>
      <w:pPr>
        <w:ind w:firstLine="460" w:firstLineChars="192"/>
        <w:rPr>
          <w:rFonts w:ascii="仿宋" w:hAnsi="仿宋" w:cs="仿宋"/>
          <w:color w:val="000000"/>
          <w:kern w:val="0"/>
        </w:rPr>
      </w:pPr>
      <w:r>
        <w:rPr>
          <w:rFonts w:hint="eastAsia" w:ascii="仿宋" w:hAnsi="仿宋" w:cs="仿宋"/>
          <w:color w:val="000000"/>
          <w:kern w:val="0"/>
        </w:rPr>
        <w:t>17.2在特殊情况下，招标人可与投标银行协商延长《投标文件》的有效期，这种要求和答复均以书面形式进行。</w:t>
      </w:r>
    </w:p>
    <w:p>
      <w:pPr>
        <w:ind w:firstLine="460" w:firstLineChars="192"/>
        <w:rPr>
          <w:rFonts w:ascii="仿宋" w:hAnsi="仿宋" w:cs="仿宋"/>
          <w:color w:val="000000"/>
          <w:kern w:val="0"/>
        </w:rPr>
      </w:pPr>
      <w:r>
        <w:rPr>
          <w:rFonts w:hint="eastAsia" w:ascii="仿宋" w:hAnsi="仿宋" w:cs="仿宋"/>
          <w:color w:val="000000"/>
          <w:kern w:val="0"/>
        </w:rPr>
        <w:t>17.3投标银行可拒绝接受延期要求。同意延长有效期的，但不能修改《投标文件》。</w:t>
      </w:r>
    </w:p>
    <w:p>
      <w:pPr>
        <w:ind w:firstLine="460" w:firstLineChars="192"/>
        <w:rPr>
          <w:rFonts w:ascii="仿宋" w:hAnsi="仿宋" w:cs="仿宋"/>
          <w:b/>
          <w:color w:val="000000"/>
          <w:kern w:val="0"/>
        </w:rPr>
      </w:pPr>
      <w:r>
        <w:rPr>
          <w:rFonts w:hint="eastAsia" w:ascii="仿宋" w:hAnsi="仿宋" w:cs="仿宋"/>
          <w:color w:val="000000"/>
          <w:kern w:val="0"/>
        </w:rPr>
        <w:t>17.4中标（成交）供应商的《投标文件》自开标之日起至合同履行完毕止均应保持有效。</w:t>
      </w:r>
    </w:p>
    <w:p>
      <w:pPr>
        <w:rPr>
          <w:rFonts w:ascii="仿宋" w:hAnsi="仿宋" w:cs="仿宋"/>
          <w:b/>
          <w:color w:val="000000"/>
          <w:kern w:val="0"/>
        </w:rPr>
      </w:pPr>
      <w:r>
        <w:rPr>
          <w:rFonts w:hint="eastAsia" w:ascii="仿宋" w:hAnsi="仿宋" w:cs="仿宋"/>
          <w:b/>
          <w:color w:val="000000"/>
          <w:kern w:val="0"/>
        </w:rPr>
        <w:t>18、《投标文件》的签署</w:t>
      </w:r>
    </w:p>
    <w:p>
      <w:pPr>
        <w:ind w:firstLine="460" w:firstLineChars="192"/>
        <w:rPr>
          <w:rFonts w:ascii="仿宋" w:hAnsi="仿宋" w:cs="仿宋"/>
          <w:color w:val="000000"/>
          <w:kern w:val="0"/>
          <w:u w:val="single"/>
        </w:rPr>
      </w:pPr>
      <w:r>
        <w:rPr>
          <w:rFonts w:hint="eastAsia" w:ascii="仿宋" w:hAnsi="仿宋" w:cs="仿宋"/>
          <w:color w:val="000000"/>
          <w:kern w:val="0"/>
        </w:rPr>
        <w:t>18.1投标银行应按照本《招标文件》规定的格式和顺序编制《投标文件》，《投标文件》内容不完整、编排混乱导致《投标文件》被误读、漏读或者查找不到相关内容的，是投标银行的责任。</w:t>
      </w:r>
    </w:p>
    <w:p>
      <w:pPr>
        <w:ind w:firstLine="463" w:firstLineChars="192"/>
        <w:rPr>
          <w:rFonts w:ascii="仿宋" w:hAnsi="仿宋" w:cs="仿宋"/>
          <w:b/>
          <w:color w:val="000000"/>
          <w:kern w:val="0"/>
        </w:rPr>
      </w:pPr>
      <w:r>
        <w:rPr>
          <w:rFonts w:hint="eastAsia" w:ascii="仿宋" w:hAnsi="仿宋" w:cs="仿宋"/>
          <w:b/>
          <w:color w:val="000000"/>
          <w:kern w:val="0"/>
        </w:rPr>
        <w:t>18.2《投标文件》应打印或用不褪色的墨水填写，除招标文件规定的可提供复印件外均须提供原件（复印件须加盖投标银行公章），否则视为未提供。</w:t>
      </w:r>
    </w:p>
    <w:p>
      <w:pPr>
        <w:ind w:firstLine="463" w:firstLineChars="192"/>
        <w:rPr>
          <w:rFonts w:ascii="仿宋" w:hAnsi="仿宋" w:cs="仿宋"/>
          <w:b/>
          <w:color w:val="000000"/>
          <w:kern w:val="0"/>
        </w:rPr>
      </w:pPr>
      <w:r>
        <w:rPr>
          <w:rFonts w:hint="eastAsia" w:ascii="仿宋" w:hAnsi="仿宋" w:cs="仿宋"/>
          <w:b/>
          <w:color w:val="000000"/>
          <w:kern w:val="0"/>
        </w:rPr>
        <w:t>18.3投标银行应按招标文件的要求在其《投标文件》相应处盖章并签署（或盖章），否则视为未提供。</w:t>
      </w:r>
    </w:p>
    <w:p>
      <w:pPr>
        <w:ind w:firstLine="460" w:firstLineChars="192"/>
        <w:rPr>
          <w:rFonts w:ascii="仿宋" w:hAnsi="仿宋" w:cs="仿宋"/>
          <w:color w:val="000000"/>
          <w:kern w:val="0"/>
        </w:rPr>
      </w:pPr>
      <w:r>
        <w:rPr>
          <w:rFonts w:hint="eastAsia" w:ascii="仿宋" w:hAnsi="仿宋" w:cs="仿宋"/>
          <w:color w:val="000000"/>
          <w:kern w:val="0"/>
        </w:rPr>
        <w:t>18.5《投标文件》不得涂改，若有修改，须加盖投标银行单位公章或者法定代表人或授权委托人签字（或盖章）。</w:t>
      </w:r>
      <w:r>
        <w:rPr>
          <w:rFonts w:hint="eastAsia" w:ascii="仿宋" w:hAnsi="仿宋" w:cs="仿宋"/>
          <w:b/>
          <w:color w:val="000000"/>
          <w:kern w:val="0"/>
        </w:rPr>
        <w:t>《投标文件》因字迹潦草或表达不清所引起的后果由投标银行负责</w:t>
      </w:r>
      <w:r>
        <w:rPr>
          <w:rFonts w:hint="eastAsia" w:ascii="仿宋" w:hAnsi="仿宋" w:cs="仿宋"/>
          <w:color w:val="000000"/>
          <w:kern w:val="0"/>
        </w:rPr>
        <w:t>。</w:t>
      </w:r>
    </w:p>
    <w:p>
      <w:pPr>
        <w:rPr>
          <w:rFonts w:ascii="仿宋" w:hAnsi="仿宋" w:cs="仿宋"/>
          <w:b/>
          <w:color w:val="000000"/>
          <w:kern w:val="0"/>
        </w:rPr>
      </w:pPr>
      <w:r>
        <w:rPr>
          <w:rFonts w:hint="eastAsia" w:ascii="仿宋" w:hAnsi="仿宋" w:cs="仿宋"/>
          <w:b/>
          <w:color w:val="000000"/>
          <w:kern w:val="0"/>
        </w:rPr>
        <w:t>19、《投标文件》的包装、递交、修改和撤回</w:t>
      </w:r>
    </w:p>
    <w:p>
      <w:pPr>
        <w:ind w:firstLine="460" w:firstLineChars="192"/>
        <w:rPr>
          <w:rFonts w:ascii="仿宋" w:hAnsi="仿宋" w:cs="仿宋"/>
          <w:color w:val="000000"/>
          <w:kern w:val="0"/>
        </w:rPr>
      </w:pPr>
      <w:r>
        <w:rPr>
          <w:rFonts w:hint="eastAsia" w:ascii="仿宋" w:hAnsi="仿宋" w:cs="仿宋"/>
          <w:color w:val="000000"/>
          <w:kern w:val="0"/>
        </w:rPr>
        <w:t>19.1供应商在投标截止时间前可以补充、修改或者撤回投标文件。</w:t>
      </w:r>
    </w:p>
    <w:p>
      <w:pPr>
        <w:ind w:firstLine="460" w:firstLineChars="192"/>
        <w:rPr>
          <w:rFonts w:ascii="仿宋" w:hAnsi="仿宋" w:cs="仿宋"/>
          <w:color w:val="000000"/>
          <w:kern w:val="0"/>
        </w:rPr>
      </w:pPr>
      <w:r>
        <w:rPr>
          <w:rFonts w:hint="eastAsia" w:ascii="仿宋" w:hAnsi="仿宋" w:cs="仿宋"/>
          <w:color w:val="000000"/>
          <w:kern w:val="0"/>
        </w:rPr>
        <w:t>19.2补充或者修改投标文件的，应当先行撤回原投标文件，补充、修改后重新上传递交。</w:t>
      </w:r>
    </w:p>
    <w:p>
      <w:pPr>
        <w:ind w:firstLine="460" w:firstLineChars="192"/>
        <w:rPr>
          <w:rFonts w:ascii="仿宋" w:hAnsi="仿宋" w:cs="仿宋"/>
          <w:color w:val="000000"/>
          <w:kern w:val="0"/>
        </w:rPr>
      </w:pPr>
      <w:r>
        <w:rPr>
          <w:rFonts w:hint="eastAsia" w:ascii="仿宋" w:hAnsi="仿宋" w:cs="仿宋"/>
          <w:color w:val="000000"/>
          <w:kern w:val="0"/>
        </w:rPr>
        <w:t>19.3投标截止时间前未完成上传的，视为撤回投标文件。</w:t>
      </w:r>
    </w:p>
    <w:p>
      <w:pPr>
        <w:ind w:firstLine="460" w:firstLineChars="192"/>
        <w:rPr>
          <w:rFonts w:ascii="仿宋" w:hAnsi="仿宋" w:cs="仿宋"/>
          <w:color w:val="000000"/>
          <w:kern w:val="0"/>
        </w:rPr>
      </w:pPr>
      <w:r>
        <w:rPr>
          <w:rFonts w:hint="eastAsia" w:ascii="仿宋" w:hAnsi="仿宋" w:cs="仿宋"/>
          <w:color w:val="000000"/>
          <w:kern w:val="0"/>
        </w:rPr>
        <w:t>19.4投标银行存在下列情形之一的投标文件将被拒收：</w:t>
      </w:r>
    </w:p>
    <w:p>
      <w:pPr>
        <w:ind w:firstLine="460" w:firstLineChars="192"/>
        <w:rPr>
          <w:rFonts w:ascii="仿宋" w:hAnsi="仿宋" w:cs="仿宋"/>
          <w:color w:val="000000"/>
          <w:kern w:val="0"/>
        </w:rPr>
      </w:pPr>
      <w:r>
        <w:rPr>
          <w:rFonts w:hint="eastAsia" w:ascii="仿宋" w:hAnsi="仿宋" w:cs="仿宋"/>
          <w:color w:val="000000"/>
          <w:kern w:val="0"/>
        </w:rPr>
        <w:t>（1）《投标文件》未在招标文件标明的投标截止时间前上传；</w:t>
      </w:r>
    </w:p>
    <w:p>
      <w:pPr>
        <w:rPr>
          <w:rFonts w:ascii="仿宋" w:hAnsi="仿宋" w:cs="仿宋"/>
          <w:b/>
          <w:color w:val="000000"/>
          <w:kern w:val="0"/>
        </w:rPr>
      </w:pPr>
      <w:r>
        <w:rPr>
          <w:rFonts w:hint="eastAsia" w:ascii="仿宋" w:hAnsi="仿宋" w:cs="仿宋"/>
          <w:b/>
          <w:color w:val="000000"/>
          <w:kern w:val="0"/>
        </w:rPr>
        <w:t>20、投标无效的情形</w:t>
      </w:r>
    </w:p>
    <w:p>
      <w:pPr>
        <w:ind w:firstLine="463" w:firstLineChars="192"/>
        <w:rPr>
          <w:rFonts w:ascii="仿宋" w:hAnsi="仿宋" w:cs="仿宋"/>
          <w:color w:val="000000"/>
          <w:kern w:val="0"/>
        </w:rPr>
      </w:pPr>
      <w:r>
        <w:rPr>
          <w:rFonts w:hint="eastAsia" w:ascii="仿宋" w:hAnsi="仿宋" w:cs="仿宋"/>
          <w:b/>
          <w:color w:val="000000"/>
          <w:kern w:val="0"/>
        </w:rPr>
        <w:t>实质上没有响应《招标文件》要求的投标将被视为无效投标。</w:t>
      </w:r>
      <w:r>
        <w:rPr>
          <w:rFonts w:hint="eastAsia" w:ascii="仿宋" w:hAnsi="仿宋" w:cs="仿宋"/>
          <w:color w:val="000000"/>
          <w:kern w:val="0"/>
        </w:rPr>
        <w:t>投标银行不得通过修正或撤消不符合要求的偏离或保留从而使其投标成为实质上响应的投标，但经评审小组认定属于投标银行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银行修改、补正投标文件后，不影响评审小组对其《投标文件》所作的评价和评分结果。</w:t>
      </w:r>
    </w:p>
    <w:p>
      <w:pPr>
        <w:ind w:firstLine="463" w:firstLineChars="192"/>
        <w:rPr>
          <w:rFonts w:ascii="仿宋" w:hAnsi="仿宋" w:cs="仿宋"/>
          <w:b/>
          <w:color w:val="0000FF"/>
          <w:kern w:val="0"/>
        </w:rPr>
      </w:pPr>
      <w:r>
        <w:rPr>
          <w:rFonts w:hint="eastAsia" w:ascii="仿宋" w:hAnsi="仿宋" w:cs="仿宋"/>
          <w:b/>
          <w:color w:val="0000FF"/>
          <w:kern w:val="0"/>
        </w:rPr>
        <w:t>20.1▲在资格性审查时，发现下列情形的，做无效标处理：</w:t>
      </w:r>
    </w:p>
    <w:p>
      <w:pPr>
        <w:ind w:firstLine="460" w:firstLineChars="192"/>
        <w:rPr>
          <w:rFonts w:ascii="仿宋" w:hAnsi="仿宋" w:cs="仿宋"/>
          <w:color w:val="000000"/>
          <w:kern w:val="0"/>
        </w:rPr>
      </w:pPr>
      <w:r>
        <w:rPr>
          <w:rFonts w:hint="eastAsia" w:ascii="仿宋" w:hAnsi="仿宋" w:cs="仿宋"/>
          <w:color w:val="000000"/>
          <w:kern w:val="0"/>
        </w:rPr>
        <w:t>（1）投标银行不满足“合格投标银行资格要求”的，或者资格证明文件不全的；</w:t>
      </w:r>
    </w:p>
    <w:p>
      <w:pPr>
        <w:ind w:firstLine="463" w:firstLineChars="192"/>
        <w:rPr>
          <w:rFonts w:ascii="仿宋" w:hAnsi="仿宋" w:cs="仿宋"/>
          <w:color w:val="0000FF"/>
          <w:kern w:val="0"/>
        </w:rPr>
      </w:pPr>
      <w:r>
        <w:rPr>
          <w:rFonts w:hint="eastAsia" w:ascii="仿宋" w:hAnsi="仿宋" w:cs="仿宋"/>
          <w:b/>
          <w:color w:val="0000FF"/>
          <w:kern w:val="0"/>
        </w:rPr>
        <w:t>20.2▲投标文件符合性审查时，如发现下列情形之一的，做无效标处理</w:t>
      </w:r>
      <w:r>
        <w:rPr>
          <w:rFonts w:hint="eastAsia" w:ascii="仿宋" w:hAnsi="仿宋" w:cs="仿宋"/>
          <w:color w:val="0000FF"/>
          <w:kern w:val="0"/>
        </w:rPr>
        <w:t>：</w:t>
      </w:r>
    </w:p>
    <w:p>
      <w:pPr>
        <w:ind w:firstLine="460" w:firstLineChars="192"/>
        <w:rPr>
          <w:rFonts w:ascii="仿宋" w:hAnsi="仿宋" w:cs="仿宋"/>
          <w:color w:val="000000"/>
          <w:kern w:val="0"/>
        </w:rPr>
      </w:pPr>
      <w:r>
        <w:rPr>
          <w:rFonts w:hint="eastAsia" w:ascii="仿宋" w:hAnsi="仿宋" w:cs="仿宋"/>
          <w:color w:val="000000"/>
          <w:kern w:val="0"/>
        </w:rPr>
        <w:t>（1）投标文件未按招标文件（投标银行须知）规定签署或盖章的；</w:t>
      </w:r>
    </w:p>
    <w:p>
      <w:pPr>
        <w:ind w:firstLine="460" w:firstLineChars="192"/>
        <w:rPr>
          <w:rFonts w:ascii="仿宋" w:hAnsi="仿宋" w:cs="仿宋"/>
          <w:color w:val="000000"/>
          <w:kern w:val="0"/>
        </w:rPr>
      </w:pPr>
      <w:r>
        <w:rPr>
          <w:rFonts w:hint="eastAsia" w:ascii="仿宋" w:hAnsi="仿宋" w:cs="仿宋"/>
          <w:color w:val="000000"/>
          <w:kern w:val="0"/>
        </w:rPr>
        <w:t>（2）未提供有效的法定代表人授权委托书原件的，或有效的投标函的，或投标函填写项目不齐全的，或联合体投标未提供联合体协议的；</w:t>
      </w:r>
    </w:p>
    <w:p>
      <w:pPr>
        <w:ind w:firstLine="460" w:firstLineChars="192"/>
        <w:rPr>
          <w:rFonts w:ascii="仿宋" w:hAnsi="仿宋" w:cs="仿宋"/>
          <w:color w:val="000000"/>
          <w:kern w:val="0"/>
        </w:rPr>
      </w:pPr>
      <w:r>
        <w:rPr>
          <w:rFonts w:hint="eastAsia" w:ascii="仿宋" w:hAnsi="仿宋" w:cs="仿宋"/>
          <w:color w:val="000000"/>
          <w:kern w:val="0"/>
        </w:rPr>
        <w:t>（3）未按照《招标文件》规定格式报价的；</w:t>
      </w:r>
    </w:p>
    <w:p>
      <w:pPr>
        <w:ind w:firstLine="460" w:firstLineChars="192"/>
        <w:rPr>
          <w:rFonts w:ascii="仿宋" w:hAnsi="仿宋" w:cs="仿宋"/>
          <w:color w:val="000000"/>
          <w:kern w:val="0"/>
        </w:rPr>
      </w:pPr>
      <w:r>
        <w:rPr>
          <w:rFonts w:hint="eastAsia" w:ascii="仿宋" w:hAnsi="仿宋" w:cs="仿宋"/>
          <w:color w:val="000000"/>
          <w:kern w:val="0"/>
        </w:rPr>
        <w:t>（4）报价具有选择性的；</w:t>
      </w:r>
    </w:p>
    <w:p>
      <w:pPr>
        <w:ind w:firstLine="460" w:firstLineChars="192"/>
        <w:rPr>
          <w:rFonts w:ascii="仿宋" w:hAnsi="仿宋" w:cs="仿宋"/>
          <w:color w:val="000000"/>
          <w:kern w:val="0"/>
        </w:rPr>
      </w:pPr>
      <w:r>
        <w:rPr>
          <w:rFonts w:hint="eastAsia" w:ascii="仿宋" w:hAnsi="仿宋" w:cs="仿宋"/>
          <w:color w:val="000000"/>
          <w:kern w:val="0"/>
        </w:rPr>
        <w:t>（5）投标文件标注的响应或偏离情况与事实不符或虚假应标的；</w:t>
      </w:r>
    </w:p>
    <w:p>
      <w:pPr>
        <w:ind w:firstLine="460" w:firstLineChars="192"/>
        <w:rPr>
          <w:rFonts w:ascii="仿宋" w:hAnsi="仿宋" w:cs="仿宋"/>
          <w:color w:val="000000"/>
          <w:kern w:val="0"/>
        </w:rPr>
      </w:pPr>
      <w:r>
        <w:rPr>
          <w:rFonts w:hint="eastAsia" w:ascii="仿宋" w:hAnsi="仿宋" w:cs="仿宋"/>
          <w:color w:val="000000"/>
          <w:kern w:val="0"/>
        </w:rPr>
        <w:t>（6）提供虚假材料或者投标文件内容虚假的；</w:t>
      </w:r>
    </w:p>
    <w:p>
      <w:pPr>
        <w:ind w:firstLine="460" w:firstLineChars="192"/>
        <w:rPr>
          <w:rFonts w:ascii="仿宋" w:hAnsi="仿宋" w:cs="仿宋"/>
          <w:color w:val="000000"/>
          <w:kern w:val="0"/>
        </w:rPr>
      </w:pPr>
      <w:r>
        <w:rPr>
          <w:rFonts w:hint="eastAsia" w:ascii="仿宋" w:hAnsi="仿宋" w:cs="仿宋"/>
          <w:color w:val="000000"/>
          <w:kern w:val="0"/>
        </w:rPr>
        <w:t>（7）投标文件没有对招标文件作出实质性响应的；</w:t>
      </w:r>
    </w:p>
    <w:p>
      <w:pPr>
        <w:ind w:firstLine="460" w:firstLineChars="192"/>
        <w:rPr>
          <w:rFonts w:ascii="仿宋" w:hAnsi="仿宋" w:cs="仿宋"/>
          <w:color w:val="000000"/>
          <w:kern w:val="0"/>
        </w:rPr>
      </w:pPr>
      <w:r>
        <w:rPr>
          <w:rFonts w:hint="eastAsia" w:ascii="仿宋" w:hAnsi="仿宋" w:cs="仿宋"/>
          <w:color w:val="000000"/>
          <w:kern w:val="0"/>
        </w:rPr>
        <w:t>（8）投标文件有效期不符合《招标文件》要求的；</w:t>
      </w:r>
    </w:p>
    <w:p>
      <w:pPr>
        <w:ind w:firstLine="463" w:firstLineChars="193"/>
        <w:rPr>
          <w:rFonts w:ascii="仿宋" w:hAnsi="仿宋" w:cs="仿宋"/>
          <w:color w:val="000000"/>
          <w:kern w:val="0"/>
        </w:rPr>
      </w:pPr>
      <w:r>
        <w:rPr>
          <w:rFonts w:hint="eastAsia" w:ascii="仿宋" w:hAnsi="仿宋" w:cs="仿宋"/>
          <w:color w:val="000000"/>
          <w:kern w:val="0"/>
        </w:rPr>
        <w:t>（9）不响应或擅自改变《招标文件》要求或《投标文件》有招标人不能接受的附加条件的；</w:t>
      </w:r>
    </w:p>
    <w:p>
      <w:pPr>
        <w:ind w:firstLine="463" w:firstLineChars="193"/>
        <w:rPr>
          <w:rFonts w:ascii="仿宋" w:hAnsi="仿宋" w:cs="仿宋"/>
          <w:color w:val="000000"/>
          <w:kern w:val="0"/>
        </w:rPr>
      </w:pPr>
      <w:r>
        <w:rPr>
          <w:rFonts w:hint="eastAsia" w:ascii="仿宋" w:hAnsi="仿宋" w:cs="仿宋"/>
          <w:color w:val="000000"/>
          <w:kern w:val="0"/>
        </w:rPr>
        <w:t>（10）不符合《苍南县县级预算单位公款竞争性存放管理暂行办法》（苍政办〔2019〕7号）等公款存放相关规定和招标文件中规定的其他实质性要求的。</w:t>
      </w:r>
    </w:p>
    <w:p>
      <w:pPr>
        <w:ind w:firstLine="463" w:firstLineChars="192"/>
        <w:rPr>
          <w:rFonts w:ascii="仿宋" w:hAnsi="仿宋" w:cs="仿宋"/>
          <w:b/>
          <w:color w:val="000000" w:themeColor="text1"/>
          <w:kern w:val="0"/>
          <w14:textFill>
            <w14:solidFill>
              <w14:schemeClr w14:val="tx1"/>
            </w14:solidFill>
          </w14:textFill>
        </w:rPr>
      </w:pPr>
      <w:r>
        <w:rPr>
          <w:rFonts w:hint="eastAsia" w:ascii="仿宋" w:hAnsi="仿宋" w:cs="仿宋"/>
          <w:b/>
          <w:color w:val="000000" w:themeColor="text1"/>
          <w:kern w:val="0"/>
          <w14:textFill>
            <w14:solidFill>
              <w14:schemeClr w14:val="tx1"/>
            </w14:solidFill>
          </w14:textFill>
        </w:rPr>
        <w:t>20.3符合《招标文件》明确规定的其他无效投标条款的。</w:t>
      </w:r>
    </w:p>
    <w:p>
      <w:pPr>
        <w:ind w:firstLine="463" w:firstLineChars="192"/>
        <w:rPr>
          <w:rFonts w:ascii="仿宋" w:hAnsi="仿宋" w:cs="仿宋"/>
          <w:b/>
          <w:color w:val="000000" w:themeColor="text1"/>
          <w:kern w:val="0"/>
          <w14:textFill>
            <w14:solidFill>
              <w14:schemeClr w14:val="tx1"/>
            </w14:solidFill>
          </w14:textFill>
        </w:rPr>
      </w:pPr>
      <w:r>
        <w:rPr>
          <w:rFonts w:hint="eastAsia" w:ascii="仿宋" w:hAnsi="仿宋" w:cs="仿宋"/>
          <w:b/>
          <w:color w:val="000000" w:themeColor="text1"/>
          <w:kern w:val="0"/>
          <w14:textFill>
            <w14:solidFill>
              <w14:schemeClr w14:val="tx1"/>
            </w14:solidFill>
          </w14:textFill>
        </w:rPr>
        <w:t>20.4有下列情形之一的，投标无效且将《投标文件》、《询标记录》等报监管部门查处：</w:t>
      </w:r>
    </w:p>
    <w:p>
      <w:pPr>
        <w:ind w:firstLine="460" w:firstLineChars="192"/>
        <w:rPr>
          <w:rFonts w:ascii="仿宋" w:hAnsi="仿宋" w:cs="仿宋"/>
          <w:color w:val="000000" w:themeColor="text1"/>
          <w:kern w:val="0"/>
          <w14:textFill>
            <w14:solidFill>
              <w14:schemeClr w14:val="tx1"/>
            </w14:solidFill>
          </w14:textFill>
        </w:rPr>
      </w:pPr>
      <w:r>
        <w:rPr>
          <w:rFonts w:hint="eastAsia" w:ascii="仿宋" w:hAnsi="仿宋" w:cs="仿宋"/>
          <w:color w:val="000000" w:themeColor="text1"/>
          <w:kern w:val="0"/>
          <w14:textFill>
            <w14:solidFill>
              <w14:schemeClr w14:val="tx1"/>
            </w14:solidFill>
          </w14:textFill>
        </w:rPr>
        <w:t>（1）未如实违法违纪记录等信息，影响或者可能影响中标结果的；</w:t>
      </w:r>
    </w:p>
    <w:p>
      <w:pPr>
        <w:ind w:firstLine="460" w:firstLineChars="192"/>
        <w:rPr>
          <w:rFonts w:ascii="仿宋" w:hAnsi="仿宋" w:cs="仿宋"/>
          <w:color w:val="000000" w:themeColor="text1"/>
          <w:kern w:val="0"/>
          <w14:textFill>
            <w14:solidFill>
              <w14:schemeClr w14:val="tx1"/>
            </w14:solidFill>
          </w14:textFill>
        </w:rPr>
      </w:pPr>
      <w:r>
        <w:rPr>
          <w:rFonts w:hint="eastAsia" w:ascii="仿宋" w:hAnsi="仿宋" w:cs="仿宋"/>
          <w:color w:val="000000" w:themeColor="text1"/>
          <w:kern w:val="0"/>
          <w14:textFill>
            <w14:solidFill>
              <w14:schemeClr w14:val="tx1"/>
            </w14:solidFill>
          </w14:textFill>
        </w:rPr>
        <w:t>（2）存在其他违法行为或其他严重干扰招投标秩序的行为的。</w:t>
      </w:r>
    </w:p>
    <w:p>
      <w:pPr>
        <w:pStyle w:val="3"/>
      </w:pPr>
      <w:bookmarkStart w:id="60" w:name="_Toc28997"/>
      <w:bookmarkStart w:id="61" w:name="_Toc13366"/>
      <w:bookmarkStart w:id="62" w:name="_Toc440162789"/>
      <w:bookmarkStart w:id="63" w:name="_Toc424164157"/>
      <w:bookmarkStart w:id="64" w:name="_Toc28826"/>
      <w:bookmarkStart w:id="65" w:name="_Toc27261"/>
      <w:bookmarkStart w:id="66" w:name="_Toc452032120"/>
      <w:bookmarkStart w:id="67" w:name="_Toc1239"/>
      <w:bookmarkStart w:id="68" w:name="_Toc446950606"/>
      <w:r>
        <w:rPr>
          <w:rFonts w:hint="eastAsia"/>
        </w:rPr>
        <w:t>四、开标</w:t>
      </w:r>
      <w:bookmarkEnd w:id="60"/>
      <w:bookmarkEnd w:id="61"/>
      <w:bookmarkEnd w:id="62"/>
      <w:bookmarkEnd w:id="63"/>
      <w:bookmarkEnd w:id="64"/>
      <w:bookmarkEnd w:id="65"/>
      <w:bookmarkEnd w:id="66"/>
      <w:bookmarkEnd w:id="67"/>
      <w:bookmarkEnd w:id="68"/>
    </w:p>
    <w:p>
      <w:pPr>
        <w:rPr>
          <w:rFonts w:ascii="仿宋" w:hAnsi="仿宋" w:cs="仿宋"/>
          <w:b/>
          <w:color w:val="000000"/>
          <w:kern w:val="0"/>
        </w:rPr>
      </w:pPr>
      <w:r>
        <w:rPr>
          <w:rFonts w:hint="eastAsia" w:ascii="仿宋" w:hAnsi="仿宋" w:cs="仿宋"/>
          <w:b/>
          <w:color w:val="000000"/>
          <w:kern w:val="0"/>
        </w:rPr>
        <w:t>21、开标准备</w:t>
      </w:r>
    </w:p>
    <w:p>
      <w:pPr>
        <w:ind w:firstLine="482" w:firstLineChars="200"/>
        <w:rPr>
          <w:rFonts w:ascii="仿宋" w:hAnsi="仿宋" w:cs="仿宋"/>
          <w:b/>
          <w:color w:val="000000"/>
          <w:kern w:val="0"/>
        </w:rPr>
      </w:pPr>
      <w:r>
        <w:rPr>
          <w:rFonts w:hint="eastAsia" w:ascii="仿宋" w:hAnsi="仿宋" w:cs="仿宋"/>
          <w:b/>
          <w:color w:val="000000"/>
          <w:kern w:val="0"/>
        </w:rPr>
        <w:t>21.1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ind w:firstLine="482" w:firstLineChars="200"/>
        <w:rPr>
          <w:rFonts w:ascii="仿宋" w:hAnsi="仿宋" w:cs="仿宋"/>
          <w:color w:val="000000"/>
          <w:kern w:val="0"/>
        </w:rPr>
      </w:pPr>
      <w:r>
        <w:rPr>
          <w:rFonts w:hint="eastAsia" w:ascii="仿宋" w:hAnsi="仿宋" w:cs="仿宋"/>
          <w:b/>
          <w:color w:val="000000"/>
          <w:kern w:val="0"/>
        </w:rPr>
        <w:t>22、开标程序</w:t>
      </w:r>
    </w:p>
    <w:p>
      <w:pPr>
        <w:ind w:firstLine="463" w:firstLineChars="193"/>
        <w:rPr>
          <w:rFonts w:ascii="仿宋" w:hAnsi="仿宋" w:cs="仿宋"/>
          <w:color w:val="000000"/>
          <w:kern w:val="0"/>
        </w:rPr>
      </w:pPr>
      <w:r>
        <w:rPr>
          <w:rFonts w:hint="eastAsia" w:ascii="仿宋" w:hAnsi="仿宋" w:cs="仿宋"/>
          <w:color w:val="000000"/>
          <w:kern w:val="0"/>
        </w:rPr>
        <w:t>22.1开标会议由招标组织机构主持；</w:t>
      </w:r>
    </w:p>
    <w:p>
      <w:pPr>
        <w:ind w:firstLine="463" w:firstLineChars="193"/>
        <w:rPr>
          <w:rFonts w:ascii="仿宋" w:hAnsi="仿宋" w:cs="仿宋"/>
          <w:color w:val="000000"/>
          <w:kern w:val="0"/>
        </w:rPr>
      </w:pPr>
      <w:r>
        <w:rPr>
          <w:rFonts w:hint="eastAsia" w:ascii="仿宋" w:hAnsi="仿宋" w:cs="仿宋"/>
          <w:color w:val="000000"/>
          <w:kern w:val="0"/>
        </w:rPr>
        <w:t>22.2将投标文开启并进行评审。</w:t>
      </w:r>
    </w:p>
    <w:p>
      <w:pPr>
        <w:ind w:firstLine="463" w:firstLineChars="193"/>
        <w:jc w:val="left"/>
        <w:rPr>
          <w:rFonts w:ascii="仿宋" w:hAnsi="仿宋" w:cs="仿宋"/>
          <w:color w:val="000000"/>
          <w:kern w:val="0"/>
        </w:rPr>
      </w:pPr>
      <w:r>
        <w:rPr>
          <w:rFonts w:hint="eastAsia" w:ascii="仿宋" w:hAnsi="仿宋" w:cs="仿宋"/>
          <w:color w:val="000000"/>
          <w:kern w:val="0"/>
        </w:rPr>
        <w:t>22.7评审结束后，公布中标（成交）候选供应商名单。</w:t>
      </w:r>
    </w:p>
    <w:p>
      <w:pPr>
        <w:pStyle w:val="3"/>
      </w:pPr>
      <w:bookmarkStart w:id="69" w:name="_Toc9167"/>
      <w:bookmarkStart w:id="70" w:name="_Toc16609"/>
      <w:bookmarkStart w:id="71" w:name="_Toc7906"/>
      <w:bookmarkStart w:id="72" w:name="_Toc446950607"/>
      <w:bookmarkStart w:id="73" w:name="_Toc440162790"/>
      <w:bookmarkStart w:id="74" w:name="_Toc24835"/>
      <w:bookmarkStart w:id="75" w:name="_Toc20675"/>
      <w:bookmarkStart w:id="76" w:name="_Toc452032121"/>
      <w:bookmarkStart w:id="77" w:name="_Toc424164158"/>
      <w:r>
        <w:rPr>
          <w:rFonts w:hint="eastAsia"/>
        </w:rPr>
        <w:t>五、评标</w:t>
      </w:r>
      <w:bookmarkEnd w:id="69"/>
      <w:bookmarkEnd w:id="70"/>
      <w:bookmarkEnd w:id="71"/>
      <w:bookmarkEnd w:id="72"/>
      <w:bookmarkEnd w:id="73"/>
      <w:bookmarkEnd w:id="74"/>
      <w:bookmarkEnd w:id="75"/>
      <w:bookmarkEnd w:id="76"/>
      <w:bookmarkEnd w:id="77"/>
    </w:p>
    <w:p>
      <w:pPr>
        <w:rPr>
          <w:rFonts w:ascii="仿宋" w:hAnsi="仿宋" w:cs="仿宋"/>
          <w:b/>
          <w:color w:val="000000"/>
          <w:kern w:val="0"/>
        </w:rPr>
      </w:pPr>
      <w:r>
        <w:rPr>
          <w:rFonts w:hint="eastAsia" w:ascii="仿宋" w:hAnsi="仿宋" w:cs="仿宋"/>
          <w:b/>
          <w:color w:val="000000"/>
          <w:kern w:val="0"/>
        </w:rPr>
        <w:t>23、组建评审小组</w:t>
      </w:r>
    </w:p>
    <w:p>
      <w:pPr>
        <w:ind w:firstLine="463" w:firstLineChars="193"/>
        <w:rPr>
          <w:rFonts w:ascii="仿宋" w:hAnsi="仿宋" w:cs="仿宋"/>
          <w:color w:val="000000"/>
          <w:kern w:val="0"/>
        </w:rPr>
      </w:pPr>
      <w:r>
        <w:rPr>
          <w:rFonts w:hint="eastAsia" w:ascii="仿宋" w:hAnsi="仿宋" w:cs="仿宋"/>
          <w:color w:val="000000"/>
          <w:kern w:val="0"/>
        </w:rPr>
        <w:t>本项目评审小组由招标组织机构依法组建，成员总数为5人或以上单数，包含评审专家及用户代表，其中评审专家不少于总人数的2/3。</w:t>
      </w:r>
    </w:p>
    <w:p>
      <w:pPr>
        <w:rPr>
          <w:rFonts w:ascii="仿宋" w:hAnsi="仿宋" w:cs="仿宋"/>
          <w:b/>
          <w:color w:val="000000"/>
          <w:kern w:val="0"/>
        </w:rPr>
      </w:pPr>
      <w:r>
        <w:rPr>
          <w:rFonts w:hint="eastAsia" w:ascii="仿宋" w:hAnsi="仿宋" w:cs="仿宋"/>
          <w:b/>
          <w:color w:val="000000"/>
          <w:kern w:val="0"/>
        </w:rPr>
        <w:t>24、评审方式和依据</w:t>
      </w:r>
    </w:p>
    <w:p>
      <w:pPr>
        <w:ind w:firstLine="463" w:firstLineChars="193"/>
        <w:rPr>
          <w:rFonts w:ascii="仿宋" w:hAnsi="仿宋" w:cs="仿宋"/>
          <w:color w:val="000000"/>
          <w:kern w:val="0"/>
        </w:rPr>
      </w:pPr>
      <w:r>
        <w:rPr>
          <w:rFonts w:hint="eastAsia" w:ascii="仿宋" w:hAnsi="仿宋" w:cs="仿宋"/>
          <w:color w:val="000000"/>
          <w:kern w:val="0"/>
        </w:rPr>
        <w:t>本项目采用不公开方式评审，评审的依据为《招标文件》、《投标文件》及其他招标文件中事先已列明的内容。</w:t>
      </w:r>
    </w:p>
    <w:p>
      <w:pPr>
        <w:rPr>
          <w:rFonts w:ascii="仿宋" w:hAnsi="仿宋" w:cs="仿宋"/>
          <w:b/>
          <w:color w:val="000000"/>
          <w:kern w:val="0"/>
        </w:rPr>
      </w:pPr>
      <w:r>
        <w:rPr>
          <w:rFonts w:hint="eastAsia" w:ascii="仿宋" w:hAnsi="仿宋" w:cs="仿宋"/>
          <w:b/>
          <w:color w:val="000000"/>
          <w:kern w:val="0"/>
        </w:rPr>
        <w:t>25、评审程序</w:t>
      </w:r>
    </w:p>
    <w:p>
      <w:pPr>
        <w:ind w:firstLine="458" w:firstLineChars="191"/>
        <w:rPr>
          <w:rFonts w:ascii="仿宋" w:hAnsi="仿宋" w:cs="仿宋"/>
          <w:color w:val="000000"/>
          <w:kern w:val="0"/>
        </w:rPr>
      </w:pPr>
      <w:r>
        <w:rPr>
          <w:rFonts w:hint="eastAsia" w:ascii="仿宋" w:hAnsi="仿宋" w:cs="仿宋"/>
          <w:color w:val="000000"/>
          <w:kern w:val="0"/>
        </w:rPr>
        <w:t>25.1推选评审小组组长，由组长召集成员阅读招标文件及相关补充、质疑、答复文件、项目书面说明等材料，熟悉招标项目基本情况，招标项目的质量要求、数量、主要技术标准或服务需求，招标合同主要条款，投标文件无效情形，评审办法、评审依据、评审标准等。</w:t>
      </w:r>
    </w:p>
    <w:p>
      <w:pPr>
        <w:ind w:firstLine="458" w:firstLineChars="191"/>
        <w:rPr>
          <w:rFonts w:ascii="仿宋" w:hAnsi="仿宋" w:cs="仿宋"/>
          <w:kern w:val="0"/>
        </w:rPr>
      </w:pPr>
      <w:r>
        <w:rPr>
          <w:rFonts w:hint="eastAsia" w:ascii="仿宋" w:hAnsi="仿宋" w:cs="仿宋"/>
          <w:kern w:val="0"/>
        </w:rPr>
        <w:t>25.2依据法律法规和招标文件的规定，对投标文件中的资格证明进行审查，以确定投标银行是否具备投标资格。</w:t>
      </w:r>
    </w:p>
    <w:p>
      <w:pPr>
        <w:ind w:firstLine="458" w:firstLineChars="191"/>
        <w:rPr>
          <w:rFonts w:ascii="仿宋" w:hAnsi="仿宋" w:cs="仿宋"/>
          <w:color w:val="000000"/>
          <w:kern w:val="0"/>
        </w:rPr>
      </w:pPr>
      <w:r>
        <w:rPr>
          <w:rFonts w:hint="eastAsia" w:ascii="仿宋" w:hAnsi="仿宋" w:cs="仿宋"/>
          <w:color w:val="000000"/>
          <w:kern w:val="0"/>
        </w:rPr>
        <w:t>25.3对各投标银行的投标文件的有效性、完整性和响应程度进行审查，确定是否对招标文件作出实质性响应。</w:t>
      </w:r>
    </w:p>
    <w:p>
      <w:pPr>
        <w:ind w:firstLine="458" w:firstLineChars="191"/>
        <w:rPr>
          <w:rFonts w:ascii="仿宋" w:hAnsi="仿宋" w:cs="仿宋"/>
          <w:color w:val="000000"/>
          <w:kern w:val="0"/>
        </w:rPr>
      </w:pPr>
      <w:r>
        <w:rPr>
          <w:rFonts w:hint="eastAsia" w:ascii="仿宋" w:hAnsi="仿宋" w:cs="仿宋"/>
          <w:color w:val="000000"/>
          <w:kern w:val="0"/>
        </w:rPr>
        <w:t>25.4按招标文件规定的评审办法和评审标准，依法独立对投标银行投标文件进行评估、比较，并给予评价或打分。</w:t>
      </w:r>
    </w:p>
    <w:p>
      <w:pPr>
        <w:ind w:firstLine="458" w:firstLineChars="191"/>
        <w:rPr>
          <w:rFonts w:ascii="仿宋" w:hAnsi="仿宋" w:cs="仿宋"/>
          <w:color w:val="000000"/>
          <w:kern w:val="0"/>
        </w:rPr>
      </w:pPr>
      <w:r>
        <w:rPr>
          <w:rFonts w:hint="eastAsia" w:ascii="仿宋" w:hAnsi="仿宋" w:cs="仿宋"/>
          <w:color w:val="000000"/>
          <w:kern w:val="0"/>
        </w:rPr>
        <w:t>25.5评审人员如对投标银行投标文件非实质性内容有疑义或异议的，或者审查发现明显的文字或计算错误等情况，经商议认为需要投标银行作出澄清或说明的，以书面形式通知有关投标银行并要求其作出书面澄清或说明。</w:t>
      </w:r>
    </w:p>
    <w:p>
      <w:pPr>
        <w:ind w:firstLine="458" w:firstLineChars="191"/>
        <w:rPr>
          <w:rFonts w:ascii="仿宋" w:hAnsi="仿宋" w:cs="仿宋"/>
          <w:color w:val="000000"/>
          <w:kern w:val="0"/>
        </w:rPr>
      </w:pPr>
      <w:r>
        <w:rPr>
          <w:rFonts w:hint="eastAsia" w:ascii="仿宋" w:hAnsi="仿宋" w:cs="仿宋"/>
          <w:color w:val="000000"/>
          <w:kern w:val="0"/>
        </w:rPr>
        <w:t>25.6汇总、统计、核对、确认评审结果，并依据招标文件规定确定中标（成交）候选人排序名单。</w:t>
      </w:r>
    </w:p>
    <w:p>
      <w:pPr>
        <w:ind w:firstLine="458" w:firstLineChars="191"/>
        <w:rPr>
          <w:rFonts w:ascii="仿宋" w:hAnsi="仿宋" w:cs="仿宋"/>
          <w:color w:val="000000"/>
          <w:kern w:val="0"/>
        </w:rPr>
      </w:pPr>
      <w:r>
        <w:rPr>
          <w:rFonts w:hint="eastAsia" w:ascii="仿宋" w:hAnsi="仿宋" w:cs="仿宋"/>
          <w:color w:val="000000"/>
          <w:kern w:val="0"/>
        </w:rPr>
        <w:t>25.7评审小组起草和签署评审报告。</w:t>
      </w:r>
    </w:p>
    <w:p>
      <w:pPr>
        <w:rPr>
          <w:rFonts w:ascii="仿宋" w:hAnsi="仿宋" w:cs="仿宋"/>
          <w:b/>
          <w:color w:val="000000"/>
          <w:kern w:val="0"/>
        </w:rPr>
      </w:pPr>
      <w:r>
        <w:rPr>
          <w:rFonts w:hint="eastAsia" w:ascii="仿宋" w:hAnsi="仿宋" w:cs="仿宋"/>
          <w:b/>
          <w:color w:val="000000"/>
          <w:kern w:val="0"/>
        </w:rPr>
        <w:t>26、投标银行澄清问题的形式</w:t>
      </w:r>
    </w:p>
    <w:p>
      <w:pPr>
        <w:ind w:firstLine="480" w:firstLineChars="200"/>
        <w:rPr>
          <w:rFonts w:ascii="仿宋" w:hAnsi="仿宋" w:cs="仿宋"/>
          <w:kern w:val="0"/>
        </w:rPr>
      </w:pPr>
      <w:r>
        <w:rPr>
          <w:rFonts w:hint="eastAsia" w:ascii="仿宋" w:hAnsi="仿宋" w:cs="仿宋"/>
          <w:kern w:val="0"/>
        </w:rPr>
        <w:t>对《投标文件》含义不明确、同类问题表述不一致或者有明显文字描述和计算错误的内容，评审小组可以书面形式要求投标银行在规定的时间内作出必要的澄清、说明或者纠正。投标银行的澄清、说明或者纠正应采用书面形式，由其授权的代表签字，并不得超出投标文件的范围或者改变《投标文件》的实质性内容。</w:t>
      </w:r>
    </w:p>
    <w:p>
      <w:pPr>
        <w:rPr>
          <w:rFonts w:ascii="仿宋" w:hAnsi="仿宋" w:cs="仿宋"/>
          <w:b/>
          <w:color w:val="000000"/>
          <w:kern w:val="0"/>
        </w:rPr>
      </w:pPr>
      <w:r>
        <w:rPr>
          <w:rFonts w:hint="eastAsia" w:ascii="仿宋" w:hAnsi="仿宋" w:cs="仿宋"/>
          <w:b/>
          <w:color w:val="000000"/>
          <w:kern w:val="0"/>
        </w:rPr>
        <w:t>27、错误修正</w:t>
      </w:r>
    </w:p>
    <w:p>
      <w:pPr>
        <w:ind w:firstLine="463" w:firstLineChars="193"/>
        <w:rPr>
          <w:rFonts w:ascii="仿宋" w:hAnsi="仿宋" w:cs="仿宋"/>
          <w:color w:val="000000"/>
          <w:kern w:val="0"/>
        </w:rPr>
      </w:pPr>
      <w:r>
        <w:rPr>
          <w:rFonts w:hint="eastAsia" w:ascii="仿宋" w:hAnsi="仿宋" w:cs="仿宋"/>
          <w:color w:val="000000"/>
          <w:kern w:val="0"/>
        </w:rPr>
        <w:t>《投标文件》如果出现计算或表达上的错误，修正错误的原则如下：</w:t>
      </w:r>
    </w:p>
    <w:p>
      <w:pPr>
        <w:ind w:firstLine="463" w:firstLineChars="193"/>
        <w:rPr>
          <w:rFonts w:ascii="仿宋" w:hAnsi="仿宋" w:cs="仿宋"/>
          <w:color w:val="000000"/>
          <w:kern w:val="0"/>
        </w:rPr>
      </w:pPr>
      <w:r>
        <w:rPr>
          <w:rFonts w:hint="eastAsia" w:ascii="仿宋" w:hAnsi="仿宋" w:cs="仿宋"/>
          <w:color w:val="000000"/>
          <w:kern w:val="0"/>
        </w:rPr>
        <w:t>（1）对不同文字文本《投标文件》的解释发生异议的，以中文文本为准。</w:t>
      </w:r>
    </w:p>
    <w:p>
      <w:pPr>
        <w:rPr>
          <w:rFonts w:ascii="仿宋" w:hAnsi="仿宋" w:cs="仿宋"/>
          <w:b/>
          <w:color w:val="000000"/>
          <w:kern w:val="0"/>
        </w:rPr>
      </w:pPr>
      <w:r>
        <w:rPr>
          <w:rFonts w:hint="eastAsia" w:ascii="仿宋" w:hAnsi="仿宋" w:cs="仿宋"/>
          <w:b/>
          <w:color w:val="000000"/>
          <w:kern w:val="0"/>
        </w:rPr>
        <w:t>28、评审原则和评审办法</w:t>
      </w:r>
    </w:p>
    <w:p>
      <w:pPr>
        <w:ind w:left="1" w:firstLine="463" w:firstLineChars="192"/>
        <w:rPr>
          <w:rFonts w:ascii="仿宋" w:hAnsi="仿宋" w:cs="仿宋"/>
          <w:color w:val="000000"/>
          <w:kern w:val="0"/>
        </w:rPr>
      </w:pPr>
      <w:r>
        <w:rPr>
          <w:rFonts w:hint="eastAsia" w:ascii="仿宋" w:hAnsi="仿宋" w:cs="仿宋"/>
          <w:b/>
          <w:color w:val="000000"/>
          <w:kern w:val="0"/>
        </w:rPr>
        <w:t>28.1评审原则</w:t>
      </w:r>
      <w:r>
        <w:rPr>
          <w:rFonts w:hint="eastAsia" w:ascii="仿宋" w:hAnsi="仿宋" w:cs="仿宋"/>
          <w:color w:val="000000"/>
          <w:kern w:val="0"/>
        </w:rPr>
        <w:t xml:space="preserve">：公平、公正、客观，不带任何倾向性和启发性； </w:t>
      </w:r>
    </w:p>
    <w:p>
      <w:pPr>
        <w:ind w:left="1" w:firstLine="463" w:firstLineChars="192"/>
        <w:rPr>
          <w:rFonts w:ascii="仿宋" w:hAnsi="仿宋" w:cs="仿宋"/>
          <w:color w:val="000000"/>
          <w:kern w:val="0"/>
        </w:rPr>
      </w:pPr>
      <w:r>
        <w:rPr>
          <w:rFonts w:hint="eastAsia" w:ascii="仿宋" w:hAnsi="仿宋" w:cs="仿宋"/>
          <w:b/>
          <w:color w:val="000000"/>
          <w:kern w:val="0"/>
        </w:rPr>
        <w:t>28.2评审办法</w:t>
      </w:r>
      <w:r>
        <w:rPr>
          <w:rFonts w:hint="eastAsia" w:ascii="仿宋" w:hAnsi="仿宋" w:cs="仿宋"/>
          <w:color w:val="000000"/>
          <w:kern w:val="0"/>
        </w:rPr>
        <w:t>：</w:t>
      </w:r>
      <w:r>
        <w:rPr>
          <w:rFonts w:hint="eastAsia" w:ascii="仿宋" w:hAnsi="仿宋" w:cs="仿宋"/>
          <w:b/>
          <w:color w:val="000000"/>
          <w:kern w:val="0"/>
        </w:rPr>
        <w:t>本项目采用综合评分办法。投标银行的综合得分为评分细则各部分评分内容得分的总和，投标银行的最终评审得分为评标委员会各成员评分的算术平均值。具体评审内容及评分标准等详见《第四章：评审办法及评分标准》。</w:t>
      </w:r>
    </w:p>
    <w:p>
      <w:pPr>
        <w:rPr>
          <w:rFonts w:ascii="仿宋" w:hAnsi="仿宋" w:cs="仿宋"/>
          <w:b/>
          <w:color w:val="000000"/>
          <w:kern w:val="0"/>
        </w:rPr>
      </w:pPr>
      <w:r>
        <w:rPr>
          <w:rFonts w:hint="eastAsia" w:ascii="仿宋" w:hAnsi="仿宋" w:cs="仿宋"/>
          <w:b/>
          <w:color w:val="000000"/>
          <w:kern w:val="0"/>
        </w:rPr>
        <w:t>29、评审过程的纪律</w:t>
      </w:r>
    </w:p>
    <w:p>
      <w:pPr>
        <w:ind w:firstLine="480" w:firstLineChars="200"/>
        <w:rPr>
          <w:rFonts w:ascii="仿宋" w:hAnsi="仿宋" w:cs="仿宋"/>
          <w:color w:val="000000"/>
          <w:kern w:val="0"/>
        </w:rPr>
      </w:pPr>
      <w:r>
        <w:rPr>
          <w:rFonts w:hint="eastAsia" w:ascii="仿宋" w:hAnsi="仿宋" w:cs="仿宋"/>
          <w:color w:val="000000"/>
          <w:kern w:val="0"/>
        </w:rPr>
        <w:t>本项目评审过程由招标组织机构负责组织，由监督员进行现场监督。评审小组不得向外界透露任何与评标有关的内容；任何单位和个人不得干扰、影响评标的正常进行；评审小组及有关工作人员不得私下与投标银行接触；浙江省政府招标活动现场组织管理办法中规定的其他禁止行为。</w:t>
      </w:r>
      <w:r>
        <w:rPr>
          <w:rFonts w:hint="eastAsia" w:ascii="仿宋" w:hAnsi="仿宋" w:cs="仿宋"/>
          <w:kern w:val="0"/>
        </w:rPr>
        <w:t>▲</w:t>
      </w:r>
      <w:r>
        <w:rPr>
          <w:rFonts w:hint="eastAsia" w:ascii="仿宋" w:hAnsi="仿宋" w:cs="仿宋"/>
          <w:b/>
          <w:kern w:val="0"/>
        </w:rPr>
        <w:t>投标银行在评标过程中所进行的企图影响评标结果的不公正活动，将导致其投标作无效标处理。</w:t>
      </w:r>
    </w:p>
    <w:p>
      <w:pPr>
        <w:pStyle w:val="3"/>
      </w:pPr>
      <w:bookmarkStart w:id="78" w:name="_Toc424164159"/>
      <w:bookmarkStart w:id="79" w:name="_Toc440162791"/>
      <w:bookmarkStart w:id="80" w:name="_Toc23096"/>
      <w:bookmarkStart w:id="81" w:name="_Toc446950608"/>
      <w:bookmarkStart w:id="82" w:name="_Toc1015"/>
      <w:bookmarkStart w:id="83" w:name="_Toc15984"/>
      <w:bookmarkStart w:id="84" w:name="_Toc5672"/>
      <w:bookmarkStart w:id="85" w:name="_Toc452032122"/>
      <w:bookmarkStart w:id="86" w:name="_Toc11804"/>
      <w:r>
        <w:rPr>
          <w:rFonts w:hint="eastAsia"/>
        </w:rPr>
        <w:t>六、</w:t>
      </w:r>
      <w:bookmarkEnd w:id="78"/>
      <w:r>
        <w:rPr>
          <w:rFonts w:hint="eastAsia"/>
        </w:rPr>
        <w:t>招标结果发布</w:t>
      </w:r>
      <w:bookmarkEnd w:id="79"/>
      <w:bookmarkEnd w:id="80"/>
      <w:bookmarkEnd w:id="81"/>
      <w:bookmarkEnd w:id="82"/>
      <w:bookmarkEnd w:id="83"/>
      <w:bookmarkEnd w:id="84"/>
      <w:bookmarkEnd w:id="85"/>
      <w:bookmarkEnd w:id="86"/>
    </w:p>
    <w:p>
      <w:pPr>
        <w:rPr>
          <w:rFonts w:ascii="仿宋" w:hAnsi="仿宋" w:cs="仿宋"/>
          <w:b/>
          <w:color w:val="000000"/>
          <w:kern w:val="0"/>
        </w:rPr>
      </w:pPr>
      <w:r>
        <w:rPr>
          <w:rFonts w:hint="eastAsia" w:ascii="仿宋" w:hAnsi="仿宋" w:cs="仿宋"/>
          <w:b/>
          <w:color w:val="000000"/>
          <w:kern w:val="0"/>
        </w:rPr>
        <w:t>30、中标结果确定</w:t>
      </w:r>
    </w:p>
    <w:p>
      <w:pPr>
        <w:ind w:firstLine="465" w:firstLineChars="193"/>
        <w:rPr>
          <w:rFonts w:ascii="仿宋" w:hAnsi="仿宋" w:cs="仿宋"/>
          <w:b/>
          <w:kern w:val="0"/>
        </w:rPr>
      </w:pPr>
      <w:r>
        <w:rPr>
          <w:rFonts w:hint="eastAsia" w:ascii="仿宋" w:hAnsi="仿宋" w:cs="仿宋"/>
          <w:b/>
          <w:kern w:val="0"/>
        </w:rPr>
        <w:t>本项目由招标人根据评审小组提交的《评审报告》依法确定中标（成交）单位。</w:t>
      </w:r>
    </w:p>
    <w:p>
      <w:pPr>
        <w:ind w:left="1" w:firstLine="416" w:firstLineChars="193"/>
        <w:rPr>
          <w:rFonts w:ascii="仿宋" w:hAnsi="仿宋" w:cs="仿宋"/>
          <w:color w:val="000000"/>
          <w:kern w:val="0"/>
        </w:rPr>
      </w:pPr>
      <w:r>
        <w:rPr>
          <w:rFonts w:hint="eastAsia" w:ascii="仿宋" w:hAnsi="仿宋" w:cs="仿宋"/>
          <w:color w:val="000000"/>
          <w:w w:val="90"/>
        </w:rPr>
        <w:t>招标人将在评审结束之日起7个工作日内确定中标（成交）单位。自中标（成交）单位确定之日起2个工作日内发出中标（成交）通知书，并发布中标公告</w:t>
      </w:r>
      <w:r>
        <w:rPr>
          <w:rFonts w:hint="eastAsia" w:ascii="仿宋" w:hAnsi="仿宋" w:cs="仿宋"/>
          <w:b/>
          <w:kern w:val="0"/>
        </w:rPr>
        <w:t>。</w:t>
      </w:r>
    </w:p>
    <w:p>
      <w:pPr>
        <w:rPr>
          <w:rFonts w:ascii="仿宋" w:hAnsi="仿宋" w:cs="仿宋"/>
          <w:color w:val="000000"/>
          <w:kern w:val="0"/>
        </w:rPr>
      </w:pPr>
      <w:r>
        <w:rPr>
          <w:rFonts w:hint="eastAsia" w:ascii="仿宋" w:hAnsi="仿宋" w:cs="仿宋"/>
          <w:b/>
          <w:color w:val="000000"/>
          <w:kern w:val="0"/>
        </w:rPr>
        <w:t>31、中标通知书签发</w:t>
      </w:r>
    </w:p>
    <w:p>
      <w:pPr>
        <w:ind w:firstLine="432" w:firstLineChars="200"/>
        <w:rPr>
          <w:rFonts w:ascii="仿宋" w:hAnsi="仿宋" w:cs="仿宋"/>
          <w:color w:val="000000"/>
          <w:kern w:val="0"/>
        </w:rPr>
      </w:pPr>
      <w:r>
        <w:rPr>
          <w:rFonts w:hint="eastAsia" w:ascii="仿宋" w:hAnsi="仿宋" w:cs="仿宋"/>
          <w:color w:val="000000"/>
          <w:w w:val="90"/>
        </w:rPr>
        <w:t>自中标（成交）单位确定之日起2个工作日内发出中标（成交）通知书，并发布中标公告。</w:t>
      </w:r>
    </w:p>
    <w:p>
      <w:pPr>
        <w:pStyle w:val="3"/>
      </w:pPr>
      <w:bookmarkStart w:id="87" w:name="_Toc424164160"/>
      <w:bookmarkStart w:id="88" w:name="_Toc440162792"/>
      <w:bookmarkStart w:id="89" w:name="_Toc888"/>
      <w:bookmarkStart w:id="90" w:name="_Toc446950609"/>
      <w:bookmarkStart w:id="91" w:name="_Toc6917"/>
      <w:bookmarkStart w:id="92" w:name="_Toc5454"/>
      <w:bookmarkStart w:id="93" w:name="_Toc452032123"/>
      <w:bookmarkStart w:id="94" w:name="_Toc26366"/>
      <w:bookmarkStart w:id="95" w:name="_Toc19038"/>
      <w:r>
        <w:rPr>
          <w:rFonts w:hint="eastAsia"/>
        </w:rPr>
        <w:t>七、合同授予</w:t>
      </w:r>
      <w:bookmarkEnd w:id="87"/>
      <w:bookmarkEnd w:id="88"/>
      <w:bookmarkEnd w:id="89"/>
      <w:bookmarkEnd w:id="90"/>
      <w:bookmarkEnd w:id="91"/>
      <w:bookmarkEnd w:id="92"/>
      <w:bookmarkEnd w:id="93"/>
      <w:bookmarkEnd w:id="94"/>
      <w:bookmarkEnd w:id="95"/>
    </w:p>
    <w:p>
      <w:pPr>
        <w:rPr>
          <w:rFonts w:ascii="仿宋" w:hAnsi="仿宋" w:cs="仿宋"/>
          <w:b/>
          <w:color w:val="000000"/>
          <w:kern w:val="0"/>
        </w:rPr>
      </w:pPr>
      <w:r>
        <w:rPr>
          <w:rFonts w:hint="eastAsia" w:ascii="仿宋" w:hAnsi="仿宋" w:cs="仿宋"/>
          <w:b/>
          <w:color w:val="000000"/>
          <w:kern w:val="0"/>
        </w:rPr>
        <w:t>32、签订合同</w:t>
      </w:r>
    </w:p>
    <w:p>
      <w:pPr>
        <w:rPr>
          <w:rFonts w:ascii="仿宋" w:hAnsi="仿宋" w:cs="仿宋"/>
          <w:color w:val="000000"/>
          <w:kern w:val="0"/>
        </w:rPr>
      </w:pPr>
      <w:r>
        <w:rPr>
          <w:rFonts w:hint="eastAsia" w:ascii="仿宋" w:hAnsi="仿宋" w:cs="仿宋"/>
          <w:color w:val="000000"/>
          <w:kern w:val="0"/>
        </w:rPr>
        <w:t>32.1中标（成交）供应商应按投标须知前附表中规定的时间内与招标人签订政府招标合同。同时，招标组织机构根据委托代理事项对合同内容进行审查，如发现与招标结果和投标承诺内容不一致的，应予以纠正。</w:t>
      </w:r>
    </w:p>
    <w:p>
      <w:pPr>
        <w:rPr>
          <w:rFonts w:ascii="仿宋" w:hAnsi="仿宋" w:cs="仿宋"/>
          <w:color w:val="000000"/>
          <w:kern w:val="0"/>
        </w:rPr>
      </w:pPr>
      <w:r>
        <w:rPr>
          <w:rFonts w:hint="eastAsia" w:ascii="仿宋" w:hAnsi="仿宋" w:cs="仿宋"/>
          <w:color w:val="000000"/>
          <w:kern w:val="0"/>
        </w:rPr>
        <w:t>32.2中标（成交）供应商拖延、拒签合同的，将被取消中标资格；给招标人及使用单位造成损失的应按照相关规定进行赔偿。</w:t>
      </w:r>
      <w:r>
        <w:rPr>
          <w:rFonts w:hint="eastAsia" w:ascii="仿宋" w:hAnsi="仿宋" w:cs="仿宋"/>
          <w:b/>
          <w:color w:val="000000"/>
        </w:rPr>
        <w:t>招标人重新组织招标的，所需费用由原中标供应商承担。</w:t>
      </w:r>
    </w:p>
    <w:p>
      <w:pPr>
        <w:rPr>
          <w:rFonts w:ascii="仿宋" w:hAnsi="仿宋" w:cs="仿宋"/>
          <w:b/>
          <w:color w:val="000000"/>
          <w:kern w:val="0"/>
        </w:rPr>
      </w:pPr>
      <w:r>
        <w:rPr>
          <w:rFonts w:hint="eastAsia" w:ascii="仿宋" w:hAnsi="仿宋" w:cs="仿宋"/>
          <w:b/>
          <w:color w:val="000000"/>
          <w:kern w:val="0"/>
        </w:rPr>
        <w:t>33、招标代理服务费</w:t>
      </w:r>
    </w:p>
    <w:p>
      <w:pPr>
        <w:ind w:right="48" w:rightChars="20"/>
        <w:rPr>
          <w:rFonts w:ascii="Arial" w:hAnsi="Arial" w:eastAsia="新宋体" w:cs="Arial"/>
          <w:sz w:val="22"/>
          <w:szCs w:val="22"/>
        </w:rPr>
      </w:pPr>
      <w:r>
        <w:rPr>
          <w:rFonts w:hint="eastAsia" w:ascii="仿宋" w:hAnsi="仿宋" w:cs="仿宋"/>
          <w:color w:val="000000"/>
        </w:rPr>
        <w:t>33.1</w:t>
      </w:r>
      <w:r>
        <w:rPr>
          <w:rFonts w:hint="eastAsia" w:ascii="仿宋" w:hAnsi="仿宋" w:cs="仿宋"/>
          <w:color w:val="000000"/>
          <w:kern w:val="0"/>
        </w:rPr>
        <w:t>中标（成交）供应商在领取《中标通知书》前，须按《投标须知前附表》的规定一次性向招标组织机构支付招标代理服务费。</w:t>
      </w:r>
      <w:bookmarkStart w:id="96" w:name="_Toc424164161"/>
      <w:bookmarkStart w:id="97" w:name="_Toc1454"/>
      <w:bookmarkStart w:id="98" w:name="_Toc16013"/>
      <w:bookmarkStart w:id="99" w:name="_Toc2429"/>
      <w:bookmarkStart w:id="100" w:name="_Toc27187"/>
      <w:bookmarkStart w:id="101" w:name="_Toc8437"/>
      <w:bookmarkStart w:id="102" w:name="_Toc452032124"/>
      <w:bookmarkStart w:id="103" w:name="_Toc440162793"/>
      <w:bookmarkStart w:id="104" w:name="_Toc446950610"/>
      <w:r>
        <w:rPr>
          <w:rFonts w:hint="eastAsia"/>
        </w:rPr>
        <w:br w:type="page"/>
      </w:r>
      <w:r>
        <w:t xml:space="preserve">                 </w:t>
      </w:r>
      <w:r>
        <w:rPr>
          <w:rFonts w:hint="eastAsia"/>
          <w:b/>
          <w:bCs/>
          <w:sz w:val="40"/>
          <w:szCs w:val="40"/>
        </w:rPr>
        <w:t>第四章</w:t>
      </w:r>
      <w:r>
        <w:rPr>
          <w:b/>
          <w:bCs/>
          <w:sz w:val="40"/>
          <w:szCs w:val="40"/>
        </w:rPr>
        <w:t xml:space="preserve"> </w:t>
      </w:r>
      <w:bookmarkEnd w:id="96"/>
      <w:r>
        <w:rPr>
          <w:rFonts w:hint="eastAsia"/>
          <w:b/>
          <w:bCs/>
          <w:sz w:val="40"/>
          <w:szCs w:val="40"/>
        </w:rPr>
        <w:t>评审办法及标准</w:t>
      </w:r>
      <w:bookmarkEnd w:id="97"/>
      <w:bookmarkEnd w:id="98"/>
      <w:bookmarkEnd w:id="99"/>
      <w:bookmarkEnd w:id="100"/>
      <w:bookmarkEnd w:id="101"/>
      <w:bookmarkEnd w:id="102"/>
      <w:bookmarkEnd w:id="103"/>
      <w:bookmarkEnd w:id="104"/>
    </w:p>
    <w:p>
      <w:pPr>
        <w:ind w:firstLine="482" w:firstLineChars="200"/>
        <w:rPr>
          <w:rFonts w:ascii="宋体" w:hAnsi="宋体" w:eastAsia="宋体" w:cs="仿宋"/>
          <w:b/>
          <w:color w:val="000000"/>
          <w:kern w:val="0"/>
        </w:rPr>
      </w:pPr>
      <w:r>
        <w:rPr>
          <w:rFonts w:hint="eastAsia" w:ascii="宋体" w:hAnsi="宋体" w:eastAsia="宋体" w:cs="仿宋"/>
          <w:b/>
          <w:color w:val="000000"/>
          <w:kern w:val="0"/>
        </w:rPr>
        <w:t>为公正、公平、科学地选择中标（成交）供应商，《浙江省财政厅关于印发浙江省省级行政事业单位公款竞争性存放管理办法的通知》（浙财预执〔2021〕7号）、《苍南县县级预算单位公款竞争性存放管理暂行办法》（苍政办〔2019〕7号）公款存放相关规定，并结合本项目的实际，制定本办法。</w:t>
      </w:r>
    </w:p>
    <w:p>
      <w:pPr>
        <w:ind w:firstLine="480" w:firstLineChars="200"/>
        <w:rPr>
          <w:rFonts w:ascii="宋体" w:hAnsi="宋体" w:eastAsia="宋体" w:cs="仿宋"/>
          <w:color w:val="000000"/>
          <w:kern w:val="0"/>
        </w:rPr>
      </w:pPr>
      <w:r>
        <w:rPr>
          <w:rFonts w:hint="eastAsia" w:ascii="宋体" w:hAnsi="宋体" w:eastAsia="宋体" w:cs="仿宋"/>
          <w:color w:val="000000"/>
          <w:kern w:val="0"/>
        </w:rPr>
        <w:t>本办法适用于</w:t>
      </w:r>
      <w:r>
        <w:rPr>
          <w:rFonts w:hint="eastAsia" w:ascii="宋体" w:hAnsi="宋体" w:eastAsia="宋体" w:cs="仿宋"/>
          <w:b/>
          <w:color w:val="000000"/>
          <w:kern w:val="0"/>
          <w:u w:val="single"/>
          <w:lang w:eastAsia="zh-CN"/>
        </w:rPr>
        <w:t>苍南县人民法院2024年度公款竞争性存放项目</w:t>
      </w:r>
      <w:r>
        <w:rPr>
          <w:rFonts w:hint="eastAsia" w:ascii="宋体" w:hAnsi="宋体" w:eastAsia="宋体" w:cs="仿宋"/>
          <w:color w:val="000000"/>
          <w:kern w:val="0"/>
        </w:rPr>
        <w:t>的评审。</w:t>
      </w:r>
    </w:p>
    <w:p>
      <w:pPr>
        <w:autoSpaceDE w:val="0"/>
        <w:autoSpaceDN w:val="0"/>
        <w:adjustRightInd w:val="0"/>
        <w:ind w:firstLine="482" w:firstLineChars="200"/>
        <w:rPr>
          <w:rFonts w:ascii="宋体" w:hAnsi="宋体" w:eastAsia="宋体" w:cs="仿宋"/>
          <w:b/>
          <w:color w:val="000000" w:themeColor="text1"/>
          <w:kern w:val="0"/>
          <w14:textFill>
            <w14:solidFill>
              <w14:schemeClr w14:val="tx1"/>
            </w14:solidFill>
          </w14:textFill>
        </w:rPr>
      </w:pPr>
      <w:r>
        <w:rPr>
          <w:rFonts w:hint="eastAsia" w:ascii="宋体" w:hAnsi="宋体" w:eastAsia="宋体" w:cs="仿宋"/>
          <w:b/>
          <w:color w:val="000000" w:themeColor="text1"/>
          <w:kern w:val="0"/>
          <w14:textFill>
            <w14:solidFill>
              <w14:schemeClr w14:val="tx1"/>
            </w14:solidFill>
          </w14:textFill>
        </w:rPr>
        <w:t>本项目采用综合评分办法。综合打分的内容为经营状态、服务水平、经济发展贡献、综合收益水平等方面进行综合评审。投标银行的最终评审得分为评标委员会各成员评分的算术平均值。具体评分细则如下：</w:t>
      </w:r>
      <w:bookmarkStart w:id="187" w:name="_GoBack"/>
      <w:bookmarkEnd w:id="187"/>
    </w:p>
    <w:tbl>
      <w:tblPr>
        <w:tblStyle w:val="3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320"/>
        <w:gridCol w:w="551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blHeader/>
          <w:jc w:val="center"/>
        </w:trPr>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t>项目</w:t>
            </w:r>
          </w:p>
        </w:tc>
        <w:tc>
          <w:tcPr>
            <w:tcW w:w="68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t>评审内容及评分细则</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restart"/>
            <w:noWrap w:val="0"/>
            <w:vAlign w:val="center"/>
          </w:tcPr>
          <w:p>
            <w:pPr>
              <w:autoSpaceDE w:val="0"/>
              <w:autoSpaceDN w:val="0"/>
              <w:spacing w:line="360" w:lineRule="auto"/>
              <w:jc w:val="cente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经营状况指标</w:t>
            </w:r>
          </w:p>
          <w:p>
            <w:pPr>
              <w:jc w:val="cente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t>1.资产质量</w:t>
            </w:r>
          </w:p>
        </w:tc>
        <w:tc>
          <w:tcPr>
            <w:tcW w:w="5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根据投标银行不良资产率（按不良率最低的开始排名）排名评分。排名第一得5分，其余投标银行排名每降低一名相应递减0.1分，减完为止。（以苍南县银保监组提供的202</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年度数据为准</w:t>
            </w:r>
            <w:r>
              <w:rPr>
                <w:rFonts w:hint="eastAsia" w:asciiTheme="minorEastAsia" w:hAnsiTheme="minorEastAsia" w:eastAsiaTheme="minorEastAsia" w:cstheme="minorEastAsia"/>
                <w:b w:val="0"/>
                <w:bCs/>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由投标银行自行提供银保监组出具的证明文件为准，否则不得分。</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w:t>
            </w:r>
          </w:p>
        </w:tc>
        <w:tc>
          <w:tcPr>
            <w:tcW w:w="830" w:type="dxa"/>
            <w:noWrap w:val="0"/>
            <w:vAlign w:val="center"/>
          </w:tcPr>
          <w:p>
            <w:pPr>
              <w:snapToGrid w:val="0"/>
              <w:spacing w:line="360" w:lineRule="auto"/>
              <w:jc w:val="center"/>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noWrap w:val="0"/>
            <w:vAlign w:val="center"/>
          </w:tcPr>
          <w:p>
            <w:pPr>
              <w:jc w:val="cente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t>2.运营状况</w:t>
            </w:r>
          </w:p>
        </w:tc>
        <w:tc>
          <w:tcPr>
            <w:tcW w:w="5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根据投标银行利润总额排名评分，从高到低。排名第一得10分，其余投标银行排名每降低一名相应递减0.5分，减完为止。（注：1.以各投标银行202</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年度第三方公司审计报告为准</w:t>
            </w:r>
            <w:r>
              <w:rPr>
                <w:rFonts w:hint="eastAsia" w:asciiTheme="minorEastAsia" w:hAnsiTheme="minorEastAsia" w:eastAsiaTheme="minorEastAsia" w:cstheme="minorEastAsia"/>
                <w:b w:val="0"/>
                <w:bCs/>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2.未提供或负值不得分</w:t>
            </w:r>
            <w:r>
              <w:rPr>
                <w:rFonts w:hint="eastAsia" w:asciiTheme="minorEastAsia" w:hAnsiTheme="minorEastAsia" w:eastAsiaTheme="minorEastAsia" w:cstheme="minorEastAsia"/>
                <w:b w:val="0"/>
                <w:bCs/>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3.由投标银行自行提供第三方审计报告的证明文件为准，否则不得分。</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w:t>
            </w:r>
          </w:p>
        </w:tc>
        <w:tc>
          <w:tcPr>
            <w:tcW w:w="830" w:type="dxa"/>
            <w:noWrap w:val="0"/>
            <w:vAlign w:val="center"/>
          </w:tcPr>
          <w:p>
            <w:pPr>
              <w:snapToGrid w:val="0"/>
              <w:spacing w:line="360" w:lineRule="auto"/>
              <w:jc w:val="center"/>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noWrap w:val="0"/>
            <w:vAlign w:val="center"/>
          </w:tcPr>
          <w:p>
            <w:pPr>
              <w:jc w:val="cente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t>3.存款余额</w:t>
            </w:r>
          </w:p>
        </w:tc>
        <w:tc>
          <w:tcPr>
            <w:tcW w:w="5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根据投标银行存款余额排名评分。存款余额之和最高得排名第一得</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 xml:space="preserve">分，其余投标银行排名每降低一名相应递减0.5分，减完为止。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（以人民银行提供的202</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年12月底存款余额为准</w:t>
            </w:r>
            <w:r>
              <w:rPr>
                <w:rFonts w:hint="eastAsia" w:asciiTheme="minorEastAsia" w:hAnsiTheme="minorEastAsia" w:eastAsiaTheme="minorEastAsia" w:cstheme="minorEastAsia"/>
                <w:b w:val="0"/>
                <w:bCs/>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由投标银行自行提供人行苍南支行出具的证明文件为准，否则不得分。</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w:t>
            </w:r>
          </w:p>
        </w:tc>
        <w:tc>
          <w:tcPr>
            <w:tcW w:w="830" w:type="dxa"/>
            <w:noWrap w:val="0"/>
            <w:vAlign w:val="center"/>
          </w:tcPr>
          <w:p>
            <w:pPr>
              <w:snapToGrid w:val="0"/>
              <w:spacing w:line="360" w:lineRule="auto"/>
              <w:jc w:val="center"/>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noWrap w:val="0"/>
            <w:vAlign w:val="center"/>
          </w:tcPr>
          <w:p>
            <w:pPr>
              <w:jc w:val="cente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t>贷款余额</w:t>
            </w:r>
          </w:p>
        </w:tc>
        <w:tc>
          <w:tcPr>
            <w:tcW w:w="55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根据投标银行贷款余额排名评分。贷款余额最高得排名第一得</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 xml:space="preserve">分，其余投标银行排名每降低一名相应递减0.5分，减完为止。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(以人民银行提供的202</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年12月底贷款余额为准</w:t>
            </w:r>
            <w:r>
              <w:rPr>
                <w:rFonts w:hint="eastAsia" w:asciiTheme="minorEastAsia" w:hAnsiTheme="minorEastAsia" w:eastAsiaTheme="minorEastAsia" w:cstheme="minorEastAsia"/>
                <w:b w:val="0"/>
                <w:bCs/>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由投标银行自行提供人行苍南支行出具的证明文件为准，否则不得分。</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w:t>
            </w:r>
          </w:p>
        </w:tc>
        <w:tc>
          <w:tcPr>
            <w:tcW w:w="830" w:type="dxa"/>
            <w:noWrap w:val="0"/>
            <w:vAlign w:val="center"/>
          </w:tcPr>
          <w:p>
            <w:pPr>
              <w:snapToGrid w:val="0"/>
              <w:spacing w:line="360" w:lineRule="auto"/>
              <w:jc w:val="center"/>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noWrap w:val="0"/>
            <w:vAlign w:val="center"/>
          </w:tcPr>
          <w:p>
            <w:pPr>
              <w:jc w:val="cente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t>5.内控水平</w:t>
            </w:r>
          </w:p>
        </w:tc>
        <w:tc>
          <w:tcPr>
            <w:tcW w:w="55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根据投标人提供的内控水平相关数据及方案，评委根据承诺的实用性、可行性进行打分。</w:t>
            </w:r>
          </w:p>
        </w:tc>
        <w:tc>
          <w:tcPr>
            <w:tcW w:w="830" w:type="dxa"/>
            <w:noWrap w:val="0"/>
            <w:vAlign w:val="center"/>
          </w:tcPr>
          <w:p>
            <w:pPr>
              <w:snapToGrid w:val="0"/>
              <w:spacing w:line="360" w:lineRule="auto"/>
              <w:jc w:val="cente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217" w:type="dxa"/>
            <w:vMerge w:val="restart"/>
            <w:noWrap w:val="0"/>
            <w:vAlign w:val="center"/>
          </w:tcPr>
          <w:p>
            <w:pPr>
              <w:jc w:val="cente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t>经济贡献度指标</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33</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t>纳税情况</w:t>
            </w:r>
          </w:p>
        </w:tc>
        <w:tc>
          <w:tcPr>
            <w:tcW w:w="5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根据投标银行纳税总额排名进行评分，从高到低。排名第一得9分，其余投标银行排名每降低一名相应递减0.5分，减完为止。（以2022年度各投标银行完税证明为准</w:t>
            </w:r>
            <w:r>
              <w:rPr>
                <w:rFonts w:hint="eastAsia" w:asciiTheme="minorEastAsia" w:hAnsiTheme="minorEastAsia" w:eastAsiaTheme="minorEastAsia" w:cstheme="minorEastAsia"/>
                <w:b w:val="0"/>
                <w:bCs/>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由投标银行自行提供税务部门出具的证明文件为准，否则不得分。）</w:t>
            </w:r>
          </w:p>
        </w:tc>
        <w:tc>
          <w:tcPr>
            <w:tcW w:w="830" w:type="dxa"/>
            <w:noWrap w:val="0"/>
            <w:vAlign w:val="center"/>
          </w:tcPr>
          <w:p>
            <w:pPr>
              <w:spacing w:line="360" w:lineRule="auto"/>
              <w:jc w:val="center"/>
              <w:textAlignment w:val="cente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bidi="ar-SA"/>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17" w:type="dxa"/>
            <w:vMerge w:val="continue"/>
            <w:noWrap w:val="0"/>
            <w:vAlign w:val="center"/>
          </w:tcPr>
          <w:p>
            <w:pPr>
              <w:jc w:val="cente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t>支持地方经济发展</w:t>
            </w:r>
          </w:p>
        </w:tc>
        <w:tc>
          <w:tcPr>
            <w:tcW w:w="5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依据“2022年度苍南县金融办考核”优秀得24分，良好得15分，合格得5分，其余不得分。（由投标银行自行提供苍南县金融办出具的证明文件为准，否则不得分。）</w:t>
            </w:r>
          </w:p>
        </w:tc>
        <w:tc>
          <w:tcPr>
            <w:tcW w:w="830" w:type="dxa"/>
            <w:noWrap w:val="0"/>
            <w:vAlign w:val="center"/>
          </w:tcPr>
          <w:p>
            <w:pPr>
              <w:spacing w:line="360" w:lineRule="auto"/>
              <w:jc w:val="center"/>
              <w:textAlignment w:val="cente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17" w:type="dxa"/>
            <w:vMerge w:val="restart"/>
            <w:noWrap w:val="0"/>
            <w:vAlign w:val="center"/>
          </w:tcPr>
          <w:p>
            <w:pPr>
              <w:jc w:val="cente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lang w:bidi="ar"/>
                <w14:textFill>
                  <w14:solidFill>
                    <w14:schemeClr w14:val="tx1"/>
                  </w14:solidFill>
                </w14:textFill>
              </w:rPr>
              <w:t>银行服务水平</w:t>
            </w:r>
            <w:r>
              <w:rPr>
                <w:rFonts w:hint="eastAsia" w:asciiTheme="minorEastAsia" w:hAnsiTheme="minorEastAsia" w:eastAsiaTheme="minorEastAsia" w:cstheme="minorEastAsia"/>
                <w:b w:val="0"/>
                <w:bCs/>
                <w:color w:val="000000" w:themeColor="text1"/>
                <w:kern w:val="0"/>
                <w:sz w:val="24"/>
                <w:szCs w:val="24"/>
                <w:highlight w:val="none"/>
                <w:lang w:val="en-US" w:eastAsia="zh-CN" w:bidi="ar"/>
                <w14:textFill>
                  <w14:solidFill>
                    <w14:schemeClr w14:val="tx1"/>
                  </w14:solidFill>
                </w14:textFill>
              </w:rPr>
              <w:t>指标（8分）</w:t>
            </w:r>
          </w:p>
        </w:tc>
        <w:tc>
          <w:tcPr>
            <w:tcW w:w="1320" w:type="dxa"/>
            <w:noWrap w:val="0"/>
            <w:vAlign w:val="center"/>
          </w:tcPr>
          <w:p>
            <w:pPr>
              <w:snapToGrid w:val="0"/>
              <w:spacing w:line="240" w:lineRule="auto"/>
              <w:jc w:val="center"/>
              <w:rPr>
                <w:rFonts w:hint="eastAsia" w:asciiTheme="minorEastAsia" w:hAnsiTheme="minorEastAsia" w:eastAsiaTheme="minorEastAsia" w:cstheme="minorEastAsia"/>
                <w:b w:val="0"/>
                <w:bCs/>
                <w:color w:val="000000" w:themeColor="text1"/>
                <w:w w:val="90"/>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14:textFill>
                  <w14:solidFill>
                    <w14:schemeClr w14:val="tx1"/>
                  </w14:solidFill>
                </w14:textFill>
              </w:rPr>
              <w:t>提前支取计息方案</w:t>
            </w:r>
          </w:p>
        </w:tc>
        <w:tc>
          <w:tcPr>
            <w:tcW w:w="5511" w:type="dxa"/>
            <w:noWrap w:val="0"/>
            <w:vAlign w:val="center"/>
          </w:tcPr>
          <w:p>
            <w:pPr>
              <w:spacing w:line="240" w:lineRule="auto"/>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14:textFill>
                  <w14:solidFill>
                    <w14:schemeClr w14:val="tx1"/>
                  </w14:solidFill>
                </w14:textFill>
              </w:rPr>
              <w:t>投标银行提供提前支取定期存款计息方案，包括提前支取部分（全部）、未提前支取部分的计息方案、一笔定期存款可提前支取的次数等</w:t>
            </w:r>
            <w:r>
              <w:rPr>
                <w:rFonts w:hint="eastAsia" w:asciiTheme="minorEastAsia" w:hAnsiTheme="minorEastAsia" w:eastAsiaTheme="minorEastAsia" w:cstheme="minorEastAsia"/>
                <w:b w:val="0"/>
                <w:bCs/>
                <w:color w:val="000000" w:themeColor="text1"/>
                <w:kern w:val="0"/>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14:textFill>
                  <w14:solidFill>
                    <w14:schemeClr w14:val="tx1"/>
                  </w14:solidFill>
                </w14:textFill>
              </w:rPr>
              <w:t>评委根据承诺的实用性、可行性在0-</w:t>
            </w:r>
            <w:r>
              <w:rPr>
                <w:rFonts w:hint="eastAsia" w:asciiTheme="minorEastAsia" w:hAnsiTheme="minorEastAsia" w:eastAsiaTheme="minorEastAsia" w:cstheme="minorEastAsia"/>
                <w:b w:val="0"/>
                <w:bCs/>
                <w:color w:val="000000" w:themeColor="text1"/>
                <w:kern w:val="0"/>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kern w:val="0"/>
                <w14:textFill>
                  <w14:solidFill>
                    <w14:schemeClr w14:val="tx1"/>
                  </w14:solidFill>
                </w14:textFill>
              </w:rPr>
              <w:t>分范围内酌情打分</w:t>
            </w:r>
            <w:r>
              <w:rPr>
                <w:rFonts w:hint="eastAsia" w:asciiTheme="minorEastAsia" w:hAnsiTheme="minorEastAsia" w:eastAsiaTheme="minorEastAsia" w:cstheme="minorEastAsia"/>
                <w:b w:val="0"/>
                <w:bCs/>
                <w:color w:val="000000" w:themeColor="text1"/>
                <w:kern w:val="0"/>
                <w:lang w:eastAsia="zh-CN"/>
                <w14:textFill>
                  <w14:solidFill>
                    <w14:schemeClr w14:val="tx1"/>
                  </w14:solidFill>
                </w14:textFill>
              </w:rPr>
              <w:t>。</w:t>
            </w:r>
          </w:p>
        </w:tc>
        <w:tc>
          <w:tcPr>
            <w:tcW w:w="830" w:type="dxa"/>
            <w:noWrap w:val="0"/>
            <w:vAlign w:val="center"/>
          </w:tcPr>
          <w:p>
            <w:pPr>
              <w:pStyle w:val="103"/>
              <w:snapToGrid w:val="0"/>
              <w:spacing w:before="0" w:line="312" w:lineRule="auto"/>
              <w:ind w:firstLine="0" w:firstLineChars="0"/>
              <w:jc w:val="center"/>
              <w:rPr>
                <w:rFonts w:hint="eastAsia" w:asciiTheme="minorEastAsia" w:hAnsiTheme="minorEastAsia" w:eastAsiaTheme="minorEastAsia" w:cstheme="minorEastAsia"/>
                <w:b w:val="0"/>
                <w:bCs/>
                <w:color w:val="000000" w:themeColor="text1"/>
                <w:w w:val="90"/>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17" w:type="dxa"/>
            <w:vMerge w:val="continue"/>
            <w:noWrap w:val="0"/>
            <w:vAlign w:val="center"/>
          </w:tcPr>
          <w:p>
            <w:pPr>
              <w:jc w:val="center"/>
              <w:rPr>
                <w:rFonts w:hint="eastAsia" w:asciiTheme="minorEastAsia" w:hAnsiTheme="minorEastAsia" w:eastAsiaTheme="minorEastAsia" w:cstheme="minorEastAsia"/>
                <w:b w:val="0"/>
                <w:bCs/>
                <w:color w:val="000000" w:themeColor="text1"/>
                <w:kern w:val="0"/>
                <w:sz w:val="24"/>
                <w:szCs w:val="24"/>
                <w:highlight w:val="none"/>
                <w:lang w:bidi="ar"/>
                <w14:textFill>
                  <w14:solidFill>
                    <w14:schemeClr w14:val="tx1"/>
                  </w14:solidFill>
                </w14:textFill>
              </w:rPr>
            </w:pPr>
          </w:p>
        </w:tc>
        <w:tc>
          <w:tcPr>
            <w:tcW w:w="1320" w:type="dxa"/>
            <w:noWrap w:val="0"/>
            <w:vAlign w:val="center"/>
          </w:tcPr>
          <w:p>
            <w:pPr>
              <w:snapToGrid w:val="0"/>
              <w:spacing w:line="240" w:lineRule="auto"/>
              <w:jc w:val="center"/>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14:textFill>
                  <w14:solidFill>
                    <w14:schemeClr w14:val="tx1"/>
                  </w14:solidFill>
                </w14:textFill>
              </w:rPr>
              <w:t>服务收费情况</w:t>
            </w:r>
          </w:p>
        </w:tc>
        <w:tc>
          <w:tcPr>
            <w:tcW w:w="5511" w:type="dxa"/>
            <w:noWrap w:val="0"/>
            <w:vAlign w:val="center"/>
          </w:tcPr>
          <w:p>
            <w:pPr>
              <w:spacing w:line="240" w:lineRule="auto"/>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14:textFill>
                  <w14:solidFill>
                    <w14:schemeClr w14:val="tx1"/>
                  </w14:solidFill>
                </w14:textFill>
              </w:rPr>
              <w:t>根据投标银行承诺服务全免费用情况，酌情打分0-2分。</w:t>
            </w:r>
          </w:p>
        </w:tc>
        <w:tc>
          <w:tcPr>
            <w:tcW w:w="830" w:type="dxa"/>
            <w:noWrap w:val="0"/>
            <w:vAlign w:val="center"/>
          </w:tcPr>
          <w:p>
            <w:pPr>
              <w:pStyle w:val="103"/>
              <w:snapToGrid w:val="0"/>
              <w:spacing w:before="0" w:line="312" w:lineRule="auto"/>
              <w:ind w:firstLine="0" w:firstLineChars="0"/>
              <w:jc w:val="center"/>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17" w:type="dxa"/>
            <w:vMerge w:val="continue"/>
            <w:noWrap w:val="0"/>
            <w:vAlign w:val="center"/>
          </w:tcPr>
          <w:p>
            <w:pPr>
              <w:jc w:val="cente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1320" w:type="dxa"/>
            <w:noWrap w:val="0"/>
            <w:vAlign w:val="center"/>
          </w:tcPr>
          <w:p>
            <w:pPr>
              <w:snapToGrid w:val="0"/>
              <w:spacing w:line="240" w:lineRule="auto"/>
              <w:jc w:val="center"/>
              <w:rPr>
                <w:rFonts w:hint="eastAsia" w:asciiTheme="minorEastAsia" w:hAnsiTheme="minorEastAsia" w:eastAsiaTheme="minorEastAsia" w:cstheme="minorEastAsia"/>
                <w:b w:val="0"/>
                <w:bCs/>
                <w:color w:val="000000" w:themeColor="text1"/>
                <w:w w:val="90"/>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w w:val="90"/>
                <w14:textFill>
                  <w14:solidFill>
                    <w14:schemeClr w14:val="tx1"/>
                  </w14:solidFill>
                </w14:textFill>
              </w:rPr>
              <w:t>对账服务</w:t>
            </w:r>
          </w:p>
        </w:tc>
        <w:tc>
          <w:tcPr>
            <w:tcW w:w="5511" w:type="dxa"/>
            <w:noWrap w:val="0"/>
            <w:vAlign w:val="center"/>
          </w:tcPr>
          <w:p>
            <w:pPr>
              <w:spacing w:line="240" w:lineRule="auto"/>
              <w:rPr>
                <w:rFonts w:hint="eastAsia" w:asciiTheme="minorEastAsia" w:hAnsiTheme="minorEastAsia" w:eastAsiaTheme="minorEastAsia" w:cstheme="minorEastAsia"/>
                <w:b w:val="0"/>
                <w:bCs/>
                <w:color w:val="000000" w:themeColor="text1"/>
                <w:kern w:val="0"/>
                <w14:textFill>
                  <w14:solidFill>
                    <w14:schemeClr w14:val="tx1"/>
                  </w14:solidFill>
                </w14:textFill>
              </w:rPr>
            </w:pPr>
            <w:r>
              <w:rPr>
                <w:rFonts w:hint="eastAsia" w:asciiTheme="minorEastAsia" w:hAnsiTheme="minorEastAsia" w:eastAsiaTheme="minorEastAsia" w:cstheme="minorEastAsia"/>
                <w:b w:val="0"/>
                <w:bCs/>
                <w:color w:val="000000" w:themeColor="text1"/>
                <w:kern w:val="0"/>
                <w14:textFill>
                  <w14:solidFill>
                    <w14:schemeClr w14:val="tx1"/>
                  </w14:solidFill>
                </w14:textFill>
              </w:rPr>
              <w:t>投标银行对账服务承诺：</w:t>
            </w:r>
          </w:p>
          <w:p>
            <w:pPr>
              <w:spacing w:line="240" w:lineRule="auto"/>
              <w:rPr>
                <w:rFonts w:hint="eastAsia" w:asciiTheme="minorEastAsia" w:hAnsiTheme="minorEastAsia" w:eastAsiaTheme="minorEastAsia" w:cstheme="minorEastAsia"/>
                <w:b w:val="0"/>
                <w:bCs/>
                <w:color w:val="000000" w:themeColor="text1"/>
                <w:kern w:val="0"/>
                <w14:textFill>
                  <w14:solidFill>
                    <w14:schemeClr w14:val="tx1"/>
                  </w14:solidFill>
                </w14:textFill>
              </w:rPr>
            </w:pPr>
            <w:r>
              <w:rPr>
                <w:rFonts w:hint="eastAsia" w:asciiTheme="minorEastAsia" w:hAnsiTheme="minorEastAsia" w:eastAsiaTheme="minorEastAsia" w:cstheme="minorEastAsia"/>
                <w:b w:val="0"/>
                <w:bCs/>
                <w:color w:val="000000" w:themeColor="text1"/>
                <w:kern w:val="0"/>
                <w14:textFill>
                  <w14:solidFill>
                    <w14:schemeClr w14:val="tx1"/>
                  </w14:solidFill>
                </w14:textFill>
              </w:rPr>
              <w:t>承诺每月5日前及时送达对账单(或提供网上对账服务)的得1分，未承诺的不得分；</w:t>
            </w:r>
          </w:p>
          <w:p>
            <w:pPr>
              <w:spacing w:line="240" w:lineRule="auto"/>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14:textFill>
                  <w14:solidFill>
                    <w14:schemeClr w14:val="tx1"/>
                  </w14:solidFill>
                </w14:textFill>
              </w:rPr>
              <w:t>承诺对账率为100%的得1分，低于100%的得0.5分，未承诺的不得分。</w:t>
            </w:r>
          </w:p>
        </w:tc>
        <w:tc>
          <w:tcPr>
            <w:tcW w:w="830" w:type="dxa"/>
            <w:noWrap w:val="0"/>
            <w:vAlign w:val="center"/>
          </w:tcPr>
          <w:p>
            <w:pPr>
              <w:pStyle w:val="103"/>
              <w:snapToGrid w:val="0"/>
              <w:spacing w:before="0" w:line="312" w:lineRule="auto"/>
              <w:ind w:firstLine="0" w:firstLineChars="0"/>
              <w:jc w:val="center"/>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noWrap w:val="0"/>
            <w:vAlign w:val="center"/>
          </w:tcPr>
          <w:p>
            <w:pPr>
              <w:jc w:val="cente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p>
        </w:tc>
        <w:tc>
          <w:tcPr>
            <w:tcW w:w="1320" w:type="dxa"/>
            <w:noWrap w:val="0"/>
            <w:vAlign w:val="center"/>
          </w:tcPr>
          <w:p>
            <w:pPr>
              <w:snapToGrid w:val="0"/>
              <w:spacing w:line="240" w:lineRule="auto"/>
              <w:jc w:val="center"/>
              <w:rPr>
                <w:rFonts w:hint="eastAsia" w:asciiTheme="minorEastAsia" w:hAnsiTheme="minorEastAsia" w:eastAsiaTheme="minorEastAsia" w:cstheme="minorEastAsia"/>
                <w:b w:val="0"/>
                <w:bCs/>
                <w:color w:val="000000" w:themeColor="text1"/>
                <w:w w:val="90"/>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w w:val="90"/>
                <w14:textFill>
                  <w14:solidFill>
                    <w14:schemeClr w14:val="tx1"/>
                  </w14:solidFill>
                </w14:textFill>
              </w:rPr>
              <w:t>服务水平</w:t>
            </w:r>
          </w:p>
        </w:tc>
        <w:tc>
          <w:tcPr>
            <w:tcW w:w="5511" w:type="dxa"/>
            <w:noWrap w:val="0"/>
            <w:vAlign w:val="center"/>
          </w:tcPr>
          <w:p>
            <w:pPr>
              <w:spacing w:line="240" w:lineRule="auto"/>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14:textFill>
                  <w14:solidFill>
                    <w14:schemeClr w14:val="tx1"/>
                  </w14:solidFill>
                </w14:textFill>
              </w:rPr>
              <w:t>投标银行承诺</w:t>
            </w:r>
            <w:r>
              <w:rPr>
                <w:rFonts w:hint="eastAsia" w:asciiTheme="minorEastAsia" w:hAnsiTheme="minorEastAsia" w:eastAsiaTheme="minorEastAsia" w:cstheme="minorEastAsia"/>
                <w:b w:val="0"/>
                <w:bCs/>
                <w:color w:val="000000" w:themeColor="text1"/>
                <w:kern w:val="0"/>
                <w:lang w:val="en-US" w:eastAsia="zh-CN"/>
                <w14:textFill>
                  <w14:solidFill>
                    <w14:schemeClr w14:val="tx1"/>
                  </w14:solidFill>
                </w14:textFill>
              </w:rPr>
              <w:t>配合我院其他工作的开展</w:t>
            </w:r>
            <w:r>
              <w:rPr>
                <w:rFonts w:hint="eastAsia" w:asciiTheme="minorEastAsia" w:hAnsiTheme="minorEastAsia" w:eastAsiaTheme="minorEastAsia" w:cstheme="minorEastAsia"/>
                <w:b w:val="0"/>
                <w:bCs/>
                <w:color w:val="000000" w:themeColor="text1"/>
                <w:kern w:val="0"/>
                <w14:textFill>
                  <w14:solidFill>
                    <w14:schemeClr w14:val="tx1"/>
                  </w14:solidFill>
                </w14:textFill>
              </w:rPr>
              <w:t>和</w:t>
            </w:r>
            <w:r>
              <w:rPr>
                <w:rFonts w:hint="eastAsia" w:asciiTheme="minorEastAsia" w:hAnsiTheme="minorEastAsia" w:eastAsiaTheme="minorEastAsia" w:cstheme="minorEastAsia"/>
                <w:b w:val="0"/>
                <w:bCs/>
                <w:color w:val="000000" w:themeColor="text1"/>
                <w:kern w:val="0"/>
                <w:lang w:val="en-US" w:eastAsia="zh-CN"/>
                <w14:textFill>
                  <w14:solidFill>
                    <w14:schemeClr w14:val="tx1"/>
                  </w14:solidFill>
                </w14:textFill>
              </w:rPr>
              <w:t>相关</w:t>
            </w:r>
            <w:r>
              <w:rPr>
                <w:rFonts w:hint="eastAsia" w:asciiTheme="minorEastAsia" w:hAnsiTheme="minorEastAsia" w:eastAsiaTheme="minorEastAsia" w:cstheme="minorEastAsia"/>
                <w:b w:val="0"/>
                <w:bCs/>
                <w:color w:val="000000" w:themeColor="text1"/>
                <w:kern w:val="0"/>
                <w14:textFill>
                  <w14:solidFill>
                    <w14:schemeClr w14:val="tx1"/>
                  </w14:solidFill>
                </w14:textFill>
              </w:rPr>
              <w:t>服务水平情况</w:t>
            </w:r>
            <w:r>
              <w:rPr>
                <w:rFonts w:hint="eastAsia" w:asciiTheme="minorEastAsia" w:hAnsiTheme="minorEastAsia" w:eastAsiaTheme="minorEastAsia" w:cstheme="minorEastAsia"/>
                <w:b w:val="0"/>
                <w:bCs/>
                <w:color w:val="000000" w:themeColor="text1"/>
                <w:kern w:val="0"/>
                <w:lang w:val="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14:textFill>
                  <w14:solidFill>
                    <w14:schemeClr w14:val="tx1"/>
                  </w14:solidFill>
                </w14:textFill>
              </w:rPr>
              <w:t>评委根据承诺的实用性、可行性在0-</w:t>
            </w:r>
            <w:r>
              <w:rPr>
                <w:rFonts w:hint="eastAsia" w:asciiTheme="minorEastAsia" w:hAnsiTheme="minorEastAsia" w:eastAsiaTheme="minorEastAsia" w:cstheme="minorEastAsia"/>
                <w:b w:val="0"/>
                <w:bCs/>
                <w:color w:val="000000" w:themeColor="text1"/>
                <w:kern w:val="0"/>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kern w:val="0"/>
                <w14:textFill>
                  <w14:solidFill>
                    <w14:schemeClr w14:val="tx1"/>
                  </w14:solidFill>
                </w14:textFill>
              </w:rPr>
              <w:t>分范围内酌情打分。</w:t>
            </w:r>
          </w:p>
        </w:tc>
        <w:tc>
          <w:tcPr>
            <w:tcW w:w="830" w:type="dxa"/>
            <w:noWrap w:val="0"/>
            <w:vAlign w:val="center"/>
          </w:tcPr>
          <w:p>
            <w:pPr>
              <w:pStyle w:val="103"/>
              <w:snapToGrid w:val="0"/>
              <w:spacing w:before="0" w:line="312" w:lineRule="auto"/>
              <w:ind w:firstLine="0" w:firstLineChars="0"/>
              <w:jc w:val="center"/>
              <w:rPr>
                <w:rFonts w:hint="eastAsia" w:asciiTheme="minorEastAsia" w:hAnsiTheme="minorEastAsia" w:eastAsiaTheme="minorEastAsia" w:cstheme="minorEastAsia"/>
                <w:b w:val="0"/>
                <w:bCs/>
                <w:color w:val="000000" w:themeColor="text1"/>
                <w:w w:val="90"/>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noWrap w:val="0"/>
            <w:vAlign w:val="center"/>
          </w:tcPr>
          <w:p>
            <w:pPr>
              <w:keepNext w:val="0"/>
              <w:keepLines w:val="0"/>
              <w:pageBreakBefore w:val="0"/>
              <w:widowControl w:val="0"/>
              <w:kinsoku/>
              <w:wordWrap/>
              <w:overflowPunct/>
              <w:topLinePunct w:val="0"/>
              <w:bidi w:val="0"/>
              <w:adjustRightInd/>
              <w:snapToGrid w:val="0"/>
              <w:spacing w:line="240" w:lineRule="auto"/>
              <w:jc w:val="cente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利率水平指标</w:t>
            </w:r>
          </w:p>
          <w:p>
            <w:pPr>
              <w:keepNext w:val="0"/>
              <w:keepLines w:val="0"/>
              <w:pageBreakBefore w:val="0"/>
              <w:widowControl w:val="0"/>
              <w:kinsoku/>
              <w:wordWrap/>
              <w:overflowPunct/>
              <w:topLinePunct w:val="0"/>
              <w:bidi w:val="0"/>
              <w:adjustRightInd/>
              <w:spacing w:line="240" w:lineRule="auto"/>
              <w:jc w:val="center"/>
              <w:rPr>
                <w:rFonts w:hint="eastAsia" w:asciiTheme="minorEastAsia" w:hAnsiTheme="minorEastAsia" w:eastAsiaTheme="minorEastAsia" w:cstheme="minorEastAsia"/>
                <w:b w:val="0"/>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分)</w:t>
            </w:r>
          </w:p>
        </w:tc>
        <w:tc>
          <w:tcPr>
            <w:tcW w:w="1320" w:type="dxa"/>
            <w:noWrap w:val="0"/>
            <w:vAlign w:val="center"/>
          </w:tcPr>
          <w:p>
            <w:pPr>
              <w:keepNext w:val="0"/>
              <w:keepLines w:val="0"/>
              <w:pageBreakBefore w:val="0"/>
              <w:widowControl w:val="0"/>
              <w:kinsoku/>
              <w:wordWrap/>
              <w:overflowPunct/>
              <w:topLinePunct w:val="0"/>
              <w:bidi w:val="0"/>
              <w:adjustRightInd/>
              <w:spacing w:line="240" w:lineRule="auto"/>
              <w:jc w:val="center"/>
              <w:rPr>
                <w:rFonts w:hint="eastAsia" w:asciiTheme="minorEastAsia" w:hAnsiTheme="minorEastAsia" w:eastAsiaTheme="minorEastAsia" w:cstheme="minorEastAsia"/>
                <w:b w:val="0"/>
                <w:bCs/>
                <w:color w:val="000000" w:themeColor="text1"/>
                <w:w w:val="9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利率报价</w:t>
            </w:r>
          </w:p>
        </w:tc>
        <w:tc>
          <w:tcPr>
            <w:tcW w:w="5511" w:type="dxa"/>
            <w:noWrap w:val="0"/>
            <w:vAlign w:val="center"/>
          </w:tcPr>
          <w:p>
            <w:pPr>
              <w:keepNext w:val="0"/>
              <w:keepLines w:val="0"/>
              <w:pageBreakBefore w:val="0"/>
              <w:widowControl w:val="0"/>
              <w:kinsoku/>
              <w:wordWrap/>
              <w:overflowPunct/>
              <w:topLinePunct w:val="0"/>
              <w:bidi w:val="0"/>
              <w:adjustRightInd/>
              <w:spacing w:line="240" w:lineRule="auto"/>
              <w:jc w:val="left"/>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t>投标银行承诺一年期存款利率情况评分，承诺的一年期定期存款年利率比基准利率上浮最高者得24分，其他竞标银行得分计算如下：利率相比最高者每少一个BP减0.1分，且不得少于基准利率上浮25BP。</w:t>
            </w:r>
          </w:p>
        </w:tc>
        <w:tc>
          <w:tcPr>
            <w:tcW w:w="830" w:type="dxa"/>
            <w:noWrap w:val="0"/>
            <w:vAlign w:val="center"/>
          </w:tcPr>
          <w:p>
            <w:pPr>
              <w:keepNext w:val="0"/>
              <w:keepLines w:val="0"/>
              <w:pageBreakBefore w:val="0"/>
              <w:widowControl w:val="0"/>
              <w:kinsoku/>
              <w:wordWrap/>
              <w:overflowPunct/>
              <w:topLinePunct w:val="0"/>
              <w:bidi w:val="0"/>
              <w:adjustRightInd/>
              <w:spacing w:line="240" w:lineRule="auto"/>
              <w:jc w:val="center"/>
              <w:rPr>
                <w:rFonts w:hint="eastAsia" w:asciiTheme="minorEastAsia" w:hAnsiTheme="minorEastAsia" w:eastAsiaTheme="minorEastAsia" w:cstheme="minorEastAsia"/>
                <w:b w:val="0"/>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bidi="ar-SA"/>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w w:val="90"/>
                <w:sz w:val="24"/>
                <w:szCs w:val="24"/>
                <w14:textFill>
                  <w14:solidFill>
                    <w14:schemeClr w14:val="tx1"/>
                  </w14:solidFill>
                </w14:textFill>
              </w:rPr>
              <w:t>合计</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t>100分</w:t>
            </w:r>
          </w:p>
        </w:tc>
      </w:tr>
    </w:tbl>
    <w:p>
      <w:pPr>
        <w:pStyle w:val="37"/>
        <w:spacing w:before="0" w:after="0"/>
        <w:jc w:val="both"/>
        <w:rPr>
          <w:rFonts w:ascii="宋体" w:hAnsi="宋体" w:eastAsia="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备注：</w:t>
      </w:r>
      <w:bookmarkStart w:id="105" w:name="_Toc446950615"/>
      <w:bookmarkStart w:id="106" w:name="_Toc13793"/>
      <w:bookmarkStart w:id="107" w:name="_Toc440162798"/>
      <w:bookmarkStart w:id="108" w:name="_Toc4261"/>
      <w:bookmarkStart w:id="109" w:name="_Toc16381"/>
      <w:bookmarkStart w:id="110" w:name="_Toc424164165"/>
      <w:bookmarkStart w:id="111" w:name="_Toc452032125"/>
      <w:bookmarkStart w:id="112" w:name="_Toc15226"/>
      <w:bookmarkStart w:id="113" w:name="_Toc30100"/>
      <w:r>
        <w:rPr>
          <w:rFonts w:hint="eastAsia" w:ascii="宋体" w:hAnsi="宋体" w:eastAsia="宋体" w:cs="宋体"/>
          <w:b w:val="0"/>
          <w:bCs w:val="0"/>
          <w:color w:val="000000" w:themeColor="text1"/>
          <w:sz w:val="24"/>
          <w:szCs w:val="24"/>
          <w14:textFill>
            <w14:solidFill>
              <w14:schemeClr w14:val="tx1"/>
            </w14:solidFill>
          </w14:textFill>
        </w:rPr>
        <w:t>评标委员会按有效标中按各投标人的最终得分（即商务标得分及资信标得分之和）由高到低进行排名，最终得分最高的为第一名，以此类推；综合得分第一名投标人确定为标段一中标候选人、综合得分第二名投标人确定为标段二中标候选人、（最终得分相同的，商务标得分高者优先；商务标得分，资信标得分也相同的，以随机方式确定优先者）。如发现中标人资格无效或其放弃中标资格，则按本次评标的得分排序结果依次替补或重新组织。投标人为当前标段的中标候选人不参与剩余标段的评审，投标人只能中标一个标段。</w:t>
      </w:r>
    </w:p>
    <w:p>
      <w:pPr>
        <w:pStyle w:val="37"/>
        <w:numPr>
          <w:ilvl w:val="0"/>
          <w:numId w:val="6"/>
        </w:numPr>
        <w:spacing w:after="0"/>
      </w:pPr>
      <w:r>
        <w:rPr>
          <w:rFonts w:hint="eastAsia" w:hAnsi="宋体" w:eastAsia="宋体" w:cs="宋体"/>
          <w:b w:val="0"/>
          <w:bCs w:val="0"/>
          <w:sz w:val="24"/>
          <w:szCs w:val="24"/>
        </w:rPr>
        <w:br w:type="page"/>
      </w:r>
      <w:r>
        <w:rPr>
          <w:rFonts w:hint="eastAsia"/>
        </w:rPr>
        <w:t>合同主要条款</w:t>
      </w:r>
      <w:bookmarkEnd w:id="105"/>
      <w:bookmarkEnd w:id="106"/>
      <w:bookmarkEnd w:id="107"/>
      <w:bookmarkEnd w:id="108"/>
      <w:bookmarkEnd w:id="109"/>
      <w:bookmarkEnd w:id="110"/>
      <w:bookmarkEnd w:id="111"/>
      <w:bookmarkEnd w:id="112"/>
      <w:bookmarkEnd w:id="113"/>
    </w:p>
    <w:p>
      <w:pPr>
        <w:jc w:val="center"/>
        <w:rPr>
          <w:rFonts w:ascii="华文中宋" w:hAnsi="华文中宋" w:eastAsia="华文中宋"/>
          <w:b/>
          <w:color w:val="000000"/>
          <w:kern w:val="0"/>
          <w:sz w:val="32"/>
          <w:szCs w:val="28"/>
        </w:rPr>
      </w:pPr>
      <w:r>
        <w:rPr>
          <w:rFonts w:hint="eastAsia" w:ascii="华文中宋" w:hAnsi="华文中宋" w:eastAsia="华文中宋"/>
          <w:b/>
          <w:color w:val="000000"/>
          <w:kern w:val="0"/>
          <w:sz w:val="32"/>
          <w:szCs w:val="28"/>
        </w:rPr>
        <w:t>（本合同样式供参考）</w:t>
      </w:r>
    </w:p>
    <w:p>
      <w:pPr>
        <w:jc w:val="left"/>
        <w:rPr>
          <w:rFonts w:ascii="仿宋" w:hAnsi="仿宋" w:cs="仿宋"/>
          <w:b/>
          <w:color w:val="000000"/>
          <w:kern w:val="0"/>
        </w:rPr>
      </w:pPr>
      <w:r>
        <w:rPr>
          <w:rFonts w:hint="eastAsia" w:ascii="仿宋" w:hAnsi="仿宋" w:cs="仿宋"/>
          <w:b/>
          <w:color w:val="000000"/>
          <w:kern w:val="0"/>
        </w:rPr>
        <w:t>合同编号：</w:t>
      </w:r>
      <w:r>
        <w:rPr>
          <w:rFonts w:hint="eastAsia" w:ascii="仿宋" w:hAnsi="仿宋" w:cs="仿宋"/>
          <w:b/>
          <w:color w:val="000000"/>
          <w:kern w:val="0"/>
          <w:u w:val="single"/>
        </w:rPr>
        <w:t xml:space="preserve">                 </w:t>
      </w:r>
    </w:p>
    <w:p>
      <w:pPr>
        <w:jc w:val="center"/>
        <w:rPr>
          <w:rFonts w:ascii="仿宋" w:hAnsi="仿宋" w:cs="仿宋"/>
          <w:b/>
          <w:color w:val="000000"/>
          <w:kern w:val="0"/>
        </w:rPr>
      </w:pPr>
    </w:p>
    <w:p>
      <w:pPr>
        <w:ind w:firstLine="482" w:firstLineChars="200"/>
        <w:rPr>
          <w:rFonts w:ascii="仿宋" w:hAnsi="仿宋" w:cs="仿宋"/>
          <w:b/>
          <w:color w:val="000000"/>
          <w:kern w:val="0"/>
          <w:u w:val="single"/>
        </w:rPr>
      </w:pPr>
      <w:bookmarkStart w:id="114" w:name="_Toc6274"/>
      <w:bookmarkStart w:id="115" w:name="_Toc424164166"/>
      <w:bookmarkStart w:id="116" w:name="_Toc446950616"/>
      <w:bookmarkStart w:id="117" w:name="_Toc452032126"/>
      <w:bookmarkStart w:id="118" w:name="_Toc3990"/>
      <w:bookmarkStart w:id="119" w:name="_Toc1450"/>
      <w:bookmarkStart w:id="120" w:name="_Toc440162799"/>
      <w:r>
        <w:rPr>
          <w:rFonts w:hint="eastAsia" w:ascii="仿宋" w:hAnsi="仿宋" w:cs="仿宋"/>
          <w:b/>
          <w:color w:val="000000"/>
          <w:kern w:val="0"/>
        </w:rPr>
        <w:t>甲方：</w:t>
      </w:r>
      <w:r>
        <w:rPr>
          <w:rFonts w:hint="eastAsia" w:ascii="仿宋" w:hAnsi="仿宋" w:cs="仿宋"/>
          <w:color w:val="000000"/>
          <w:kern w:val="0"/>
          <w:u w:val="single"/>
        </w:rPr>
        <w:t xml:space="preserve">苍南县人民法院             </w:t>
      </w:r>
    </w:p>
    <w:p>
      <w:pPr>
        <w:ind w:firstLine="482" w:firstLineChars="200"/>
        <w:rPr>
          <w:rFonts w:ascii="仿宋" w:hAnsi="仿宋" w:cs="仿宋"/>
          <w:color w:val="000000"/>
          <w:kern w:val="0"/>
          <w:u w:val="single"/>
        </w:rPr>
      </w:pPr>
      <w:r>
        <w:rPr>
          <w:rFonts w:hint="eastAsia" w:ascii="仿宋" w:hAnsi="仿宋" w:cs="仿宋"/>
          <w:b/>
          <w:color w:val="000000"/>
          <w:kern w:val="0"/>
        </w:rPr>
        <w:t>乙方：</w:t>
      </w:r>
      <w:r>
        <w:rPr>
          <w:rFonts w:hint="eastAsia" w:ascii="仿宋" w:hAnsi="仿宋" w:cs="仿宋"/>
          <w:color w:val="000000"/>
          <w:kern w:val="0"/>
          <w:u w:val="single"/>
        </w:rPr>
        <w:t xml:space="preserve">                           </w:t>
      </w:r>
    </w:p>
    <w:p>
      <w:pPr>
        <w:rPr>
          <w:rFonts w:ascii="仿宋" w:hAnsi="仿宋" w:cs="仿宋"/>
          <w:color w:val="000000"/>
          <w:kern w:val="0"/>
        </w:rPr>
      </w:pPr>
      <w:r>
        <w:rPr>
          <w:rFonts w:hint="eastAsia" w:ascii="仿宋" w:hAnsi="仿宋" w:cs="仿宋"/>
          <w:color w:val="000000"/>
          <w:kern w:val="0"/>
        </w:rPr>
        <w:t>甲、乙双方根据</w:t>
      </w:r>
      <w:r>
        <w:rPr>
          <w:rFonts w:hint="eastAsia" w:ascii="仿宋" w:hAnsi="仿宋" w:cs="仿宋"/>
          <w:color w:val="000000"/>
          <w:kern w:val="0"/>
          <w:u w:val="single"/>
        </w:rPr>
        <w:t xml:space="preserve"> 苍南县人民法院2021年度公款竞争性存放项目（项目编号：苍产告字【2021】36号）</w:t>
      </w:r>
      <w:r>
        <w:rPr>
          <w:rFonts w:hint="eastAsia" w:ascii="仿宋" w:hAnsi="仿宋" w:cs="仿宋"/>
          <w:color w:val="000000"/>
          <w:kern w:val="0"/>
        </w:rPr>
        <w:t>的招标结果和《苍南县县级预算单位公款竞争性存放管理暂行办法》(苍政办〔2019〕7号)等公款存放相关规定，签署本合同。</w:t>
      </w:r>
    </w:p>
    <w:p>
      <w:pPr>
        <w:ind w:firstLine="482" w:firstLineChars="200"/>
        <w:rPr>
          <w:rFonts w:ascii="仿宋" w:hAnsi="仿宋" w:cs="仿宋"/>
          <w:color w:val="000000"/>
          <w:kern w:val="0"/>
          <w:u w:val="single"/>
        </w:rPr>
      </w:pPr>
      <w:r>
        <w:rPr>
          <w:rFonts w:hint="eastAsia" w:ascii="仿宋" w:hAnsi="仿宋" w:cs="仿宋"/>
          <w:b/>
          <w:color w:val="000000"/>
          <w:kern w:val="0"/>
        </w:rPr>
        <w:t>一、服务内容：</w:t>
      </w:r>
      <w:r>
        <w:rPr>
          <w:rFonts w:hint="eastAsia" w:ascii="仿宋" w:hAnsi="仿宋" w:cs="仿宋"/>
          <w:color w:val="000000"/>
        </w:rPr>
        <w:t>苍南县人民法院交通建设领域农民工工资支付保证金专用账户的专户开户和公款存放</w:t>
      </w:r>
    </w:p>
    <w:p>
      <w:pPr>
        <w:ind w:firstLine="482" w:firstLineChars="200"/>
        <w:rPr>
          <w:rFonts w:ascii="仿宋" w:hAnsi="仿宋" w:cs="仿宋"/>
          <w:b/>
          <w:color w:val="000000"/>
          <w:kern w:val="0"/>
        </w:rPr>
      </w:pPr>
      <w:r>
        <w:rPr>
          <w:rFonts w:hint="eastAsia" w:ascii="仿宋" w:hAnsi="仿宋" w:cs="仿宋"/>
          <w:b/>
          <w:color w:val="000000"/>
          <w:kern w:val="0"/>
        </w:rPr>
        <w:t>二、乙方承诺甲方定期存款基准利率基础上加</w:t>
      </w:r>
      <w:r>
        <w:rPr>
          <w:rFonts w:hint="eastAsia" w:ascii="Arial" w:hAnsi="新宋体" w:cs="Arial"/>
          <w:color w:val="000000"/>
          <w:sz w:val="22"/>
          <w:szCs w:val="22"/>
          <w:u w:val="single"/>
        </w:rPr>
        <w:t xml:space="preserve">     </w:t>
      </w:r>
      <w:r>
        <w:rPr>
          <w:rFonts w:hint="eastAsia" w:ascii="仿宋" w:hAnsi="仿宋" w:cs="仿宋"/>
          <w:b/>
          <w:color w:val="000000"/>
          <w:kern w:val="0"/>
        </w:rPr>
        <w:t>BP（或法定最高上限）。</w:t>
      </w:r>
    </w:p>
    <w:p>
      <w:pPr>
        <w:ind w:firstLine="482" w:firstLineChars="200"/>
        <w:rPr>
          <w:rFonts w:ascii="仿宋" w:hAnsi="仿宋" w:cs="仿宋"/>
          <w:b/>
          <w:color w:val="000000"/>
          <w:kern w:val="0"/>
        </w:rPr>
      </w:pPr>
      <w:r>
        <w:rPr>
          <w:rFonts w:hint="eastAsia" w:ascii="仿宋" w:hAnsi="仿宋" w:cs="仿宋"/>
          <w:b/>
          <w:color w:val="000000"/>
          <w:kern w:val="0"/>
        </w:rPr>
        <w:t>三、乙方提供的服务主要包括以下内容：</w:t>
      </w:r>
    </w:p>
    <w:p>
      <w:pPr>
        <w:ind w:firstLine="463" w:firstLineChars="193"/>
        <w:rPr>
          <w:rFonts w:ascii="仿宋" w:hAnsi="仿宋" w:cs="仿宋"/>
        </w:rPr>
      </w:pPr>
      <w:r>
        <w:rPr>
          <w:rFonts w:hint="eastAsia" w:ascii="仿宋" w:hAnsi="仿宋" w:cs="仿宋"/>
        </w:rPr>
        <w:t>1、招标人单位账户开户及日常资金收付结算服务、账户对账服务、年检服务、网银操作、安全保障等在内的一切配套基本服务。</w:t>
      </w:r>
    </w:p>
    <w:p>
      <w:pPr>
        <w:ind w:firstLine="463" w:firstLineChars="193"/>
        <w:rPr>
          <w:rFonts w:ascii="仿宋" w:hAnsi="仿宋" w:cs="仿宋"/>
        </w:rPr>
      </w:pPr>
      <w:r>
        <w:rPr>
          <w:rFonts w:hint="eastAsia" w:ascii="仿宋" w:hAnsi="仿宋" w:cs="仿宋"/>
        </w:rPr>
        <w:t>2、接纳银行支票、汇票、本票或者金融机构、担保机构出具的保函等所有非现金形式的支付业务。</w:t>
      </w:r>
    </w:p>
    <w:p>
      <w:pPr>
        <w:ind w:firstLine="463" w:firstLineChars="193"/>
        <w:rPr>
          <w:rFonts w:ascii="仿宋" w:hAnsi="仿宋" w:cs="仿宋"/>
        </w:rPr>
      </w:pPr>
      <w:r>
        <w:rPr>
          <w:rFonts w:hint="eastAsia" w:ascii="仿宋" w:hAnsi="仿宋" w:cs="仿宋"/>
        </w:rPr>
        <w:t>3、接受从所有银行帐户提交的支付信息，并支持网上、柜面、自助终端等多种支付方式。</w:t>
      </w:r>
    </w:p>
    <w:p>
      <w:pPr>
        <w:ind w:firstLine="463" w:firstLineChars="193"/>
        <w:rPr>
          <w:rFonts w:ascii="仿宋" w:hAnsi="仿宋" w:cs="仿宋"/>
        </w:rPr>
      </w:pPr>
      <w:r>
        <w:rPr>
          <w:rFonts w:hint="eastAsia" w:ascii="仿宋" w:hAnsi="仿宋" w:cs="仿宋"/>
        </w:rPr>
        <w:t>4、应具备提供境内的施工单位的诚信记录；具备验证施工单位银行保函真伪的功能。</w:t>
      </w:r>
    </w:p>
    <w:p>
      <w:pPr>
        <w:ind w:firstLine="463" w:firstLineChars="193"/>
        <w:rPr>
          <w:rFonts w:ascii="仿宋" w:hAnsi="仿宋" w:cs="仿宋"/>
        </w:rPr>
      </w:pPr>
      <w:r>
        <w:rPr>
          <w:rFonts w:hint="eastAsia" w:ascii="仿宋" w:hAnsi="仿宋" w:cs="仿宋"/>
        </w:rPr>
        <w:t>5、应采取与专户相关联的信息技术，并具备保密和解密功能。</w:t>
      </w:r>
    </w:p>
    <w:p>
      <w:pPr>
        <w:ind w:firstLine="463" w:firstLineChars="193"/>
        <w:rPr>
          <w:rFonts w:ascii="仿宋" w:hAnsi="仿宋" w:cs="仿宋"/>
        </w:rPr>
      </w:pPr>
      <w:r>
        <w:rPr>
          <w:rFonts w:hint="eastAsia" w:ascii="仿宋" w:hAnsi="仿宋" w:cs="仿宋"/>
        </w:rPr>
        <w:t>6、应向招标人提供网上实时更新的专户明细信息查询方式（区别解密段、保密段信息设置）。</w:t>
      </w:r>
    </w:p>
    <w:p>
      <w:pPr>
        <w:ind w:firstLine="463" w:firstLineChars="193"/>
        <w:rPr>
          <w:rFonts w:ascii="仿宋" w:hAnsi="仿宋" w:cs="仿宋"/>
        </w:rPr>
      </w:pPr>
      <w:r>
        <w:rPr>
          <w:rFonts w:hint="eastAsia" w:ascii="仿宋" w:hAnsi="仿宋" w:cs="仿宋"/>
        </w:rPr>
        <w:t>7、应向招标人提供便捷的数据导入导出模式。</w:t>
      </w:r>
    </w:p>
    <w:p>
      <w:pPr>
        <w:ind w:firstLine="463" w:firstLineChars="193"/>
        <w:rPr>
          <w:rFonts w:ascii="仿宋" w:hAnsi="仿宋" w:cs="仿宋"/>
        </w:rPr>
      </w:pPr>
      <w:r>
        <w:rPr>
          <w:rFonts w:hint="eastAsia" w:ascii="仿宋" w:hAnsi="仿宋" w:cs="仿宋"/>
        </w:rPr>
        <w:t>8、应提供贷款支持、服务费用减免等银行服务优惠措施。</w:t>
      </w:r>
    </w:p>
    <w:p>
      <w:pPr>
        <w:ind w:firstLine="463" w:firstLineChars="193"/>
        <w:rPr>
          <w:rFonts w:ascii="仿宋" w:hAnsi="仿宋" w:cs="仿宋"/>
        </w:rPr>
      </w:pPr>
      <w:r>
        <w:rPr>
          <w:rFonts w:hint="eastAsia" w:ascii="仿宋" w:hAnsi="仿宋" w:cs="仿宋"/>
        </w:rPr>
        <w:t>9、提供以往财政服务履约情况、提供储户风险保障方案以及拟派提供服务的支行及客户经理服务方案（如：回单送达、年检年审、资金证明开具、取退还保证金支票等上门服务工作）等。</w:t>
      </w:r>
    </w:p>
    <w:p>
      <w:pPr>
        <w:ind w:firstLine="463" w:firstLineChars="193"/>
        <w:rPr>
          <w:rFonts w:ascii="仿宋" w:hAnsi="仿宋" w:cs="仿宋"/>
        </w:rPr>
      </w:pPr>
      <w:r>
        <w:rPr>
          <w:rFonts w:hint="eastAsia" w:ascii="仿宋" w:hAnsi="仿宋" w:cs="仿宋"/>
        </w:rPr>
        <w:t>10、能为招标人提供便捷服务。</w:t>
      </w:r>
    </w:p>
    <w:p>
      <w:pPr>
        <w:ind w:firstLine="463" w:firstLineChars="193"/>
        <w:rPr>
          <w:rFonts w:ascii="仿宋" w:hAnsi="仿宋" w:cs="仿宋"/>
        </w:rPr>
      </w:pPr>
      <w:r>
        <w:rPr>
          <w:rFonts w:hint="eastAsia" w:ascii="仿宋" w:hAnsi="仿宋" w:cs="仿宋"/>
        </w:rPr>
        <w:t>11、及时、无偿向招标人提供保密及解锁、对账服务、分账核算、各类查询、原路退款、电话咨询、网上银行服务等，不得提出本协议书内容之外的任何附加条件。</w:t>
      </w:r>
    </w:p>
    <w:p>
      <w:pPr>
        <w:ind w:firstLine="463" w:firstLineChars="193"/>
        <w:rPr>
          <w:rFonts w:ascii="仿宋" w:hAnsi="仿宋" w:cs="仿宋"/>
        </w:rPr>
      </w:pPr>
      <w:r>
        <w:rPr>
          <w:rFonts w:hint="eastAsia" w:ascii="仿宋" w:hAnsi="仿宋" w:cs="仿宋"/>
        </w:rPr>
        <w:t>12、指定针对本项目资金性质的风险保障方案。</w:t>
      </w:r>
    </w:p>
    <w:p>
      <w:pPr>
        <w:ind w:firstLine="463" w:firstLineChars="193"/>
        <w:rPr>
          <w:rFonts w:ascii="仿宋" w:hAnsi="仿宋" w:cs="仿宋"/>
        </w:rPr>
      </w:pPr>
      <w:r>
        <w:rPr>
          <w:rFonts w:hint="eastAsia" w:ascii="仿宋" w:hAnsi="仿宋" w:cs="仿宋"/>
        </w:rPr>
        <w:t>13、合同期内招标人提出的一切有关账户管理的服务。</w:t>
      </w:r>
    </w:p>
    <w:p>
      <w:pPr>
        <w:ind w:firstLine="463" w:firstLineChars="193"/>
        <w:rPr>
          <w:rFonts w:ascii="仿宋" w:hAnsi="仿宋" w:cs="仿宋"/>
        </w:rPr>
      </w:pPr>
      <w:r>
        <w:rPr>
          <w:rFonts w:hint="eastAsia" w:ascii="仿宋" w:hAnsi="仿宋" w:cs="仿宋"/>
        </w:rPr>
        <w:t>14、投标银行指定服务机构必须是公款最终的存放网点,不得随意转移</w:t>
      </w:r>
      <w:r>
        <w:rPr>
          <w:rFonts w:hint="eastAsia" w:ascii="仿宋" w:hAnsi="仿宋" w:cs="仿宋"/>
          <w:b/>
          <w:bCs/>
        </w:rPr>
        <w:t>（投标银行应在投标文件中指明指定服务机构名称</w:t>
      </w:r>
      <w:r>
        <w:rPr>
          <w:rFonts w:hint="eastAsia" w:ascii="仿宋" w:hAnsi="仿宋" w:cs="仿宋"/>
        </w:rPr>
        <w:t>）。</w:t>
      </w:r>
    </w:p>
    <w:p>
      <w:pPr>
        <w:ind w:firstLine="463" w:firstLineChars="193"/>
        <w:rPr>
          <w:rFonts w:ascii="仿宋" w:hAnsi="仿宋" w:cs="仿宋"/>
        </w:rPr>
      </w:pPr>
      <w:r>
        <w:rPr>
          <w:rFonts w:hint="eastAsia" w:ascii="仿宋" w:hAnsi="仿宋" w:cs="仿宋"/>
        </w:rPr>
        <w:t>15、</w:t>
      </w:r>
      <w:r>
        <w:rPr>
          <w:rFonts w:hint="eastAsia" w:ascii="仿宋" w:hAnsi="仿宋" w:cs="仿宋"/>
          <w:b/>
          <w:bCs/>
        </w:rPr>
        <w:t>招标人可以根据实际需求将每个标段的中标金额划分成多个存单存入乙方指定办理定期存款的分支机构。</w:t>
      </w:r>
    </w:p>
    <w:p>
      <w:pPr>
        <w:ind w:firstLine="482" w:firstLineChars="200"/>
        <w:rPr>
          <w:rFonts w:ascii="仿宋" w:hAnsi="仿宋" w:cs="仿宋"/>
          <w:b/>
        </w:rPr>
      </w:pPr>
      <w:r>
        <w:rPr>
          <w:rFonts w:hint="eastAsia" w:ascii="仿宋" w:hAnsi="仿宋" w:cs="仿宋"/>
          <w:b/>
        </w:rPr>
        <w:t>五、乙方出现以下情形之一的，甲方有权提前收回存放公款（即协议终止条件）：</w:t>
      </w:r>
    </w:p>
    <w:p>
      <w:pPr>
        <w:ind w:firstLine="463" w:firstLineChars="193"/>
        <w:rPr>
          <w:rFonts w:ascii="仿宋" w:hAnsi="仿宋" w:cs="仿宋"/>
        </w:rPr>
      </w:pPr>
      <w:r>
        <w:rPr>
          <w:rFonts w:hint="eastAsia" w:ascii="仿宋" w:hAnsi="仿宋" w:cs="仿宋"/>
        </w:rPr>
        <w:t>（1）出现资金安全事故、重大违法违规情况或财务恶化；</w:t>
      </w:r>
    </w:p>
    <w:p>
      <w:pPr>
        <w:ind w:firstLine="463" w:firstLineChars="193"/>
        <w:rPr>
          <w:rFonts w:ascii="仿宋" w:hAnsi="仿宋" w:cs="仿宋"/>
        </w:rPr>
      </w:pPr>
      <w:r>
        <w:rPr>
          <w:rFonts w:hint="eastAsia" w:ascii="仿宋" w:hAnsi="仿宋" w:cs="仿宋"/>
        </w:rPr>
        <w:t>（2）监管评级降低，监管部门认为存在较大运营风险；</w:t>
      </w:r>
    </w:p>
    <w:p>
      <w:pPr>
        <w:ind w:firstLine="463" w:firstLineChars="193"/>
        <w:rPr>
          <w:rFonts w:ascii="仿宋" w:hAnsi="仿宋" w:cs="仿宋"/>
        </w:rPr>
      </w:pPr>
      <w:r>
        <w:rPr>
          <w:rFonts w:hint="eastAsia" w:ascii="仿宋" w:hAnsi="仿宋" w:cs="仿宋"/>
        </w:rPr>
        <w:t>（3）进行严重不正当投标；</w:t>
      </w:r>
    </w:p>
    <w:p>
      <w:pPr>
        <w:ind w:firstLine="463" w:firstLineChars="193"/>
        <w:rPr>
          <w:rFonts w:ascii="仿宋" w:hAnsi="仿宋" w:cs="仿宋"/>
        </w:rPr>
      </w:pPr>
      <w:r>
        <w:rPr>
          <w:rFonts w:hint="eastAsia" w:ascii="仿宋" w:hAnsi="仿宋" w:cs="仿宋"/>
        </w:rPr>
        <w:t>（4）未按照中标协议承诺履行相应的责任和义务；</w:t>
      </w:r>
    </w:p>
    <w:p>
      <w:pPr>
        <w:ind w:firstLine="463" w:firstLineChars="193"/>
        <w:rPr>
          <w:rFonts w:ascii="仿宋" w:hAnsi="仿宋" w:cs="仿宋"/>
        </w:rPr>
      </w:pPr>
      <w:r>
        <w:rPr>
          <w:rFonts w:hint="eastAsia" w:ascii="仿宋" w:hAnsi="仿宋" w:cs="仿宋"/>
        </w:rPr>
        <w:t>（5）擅自降低服务条件和服务内容的；</w:t>
      </w:r>
    </w:p>
    <w:p>
      <w:pPr>
        <w:ind w:firstLine="463" w:firstLineChars="193"/>
        <w:rPr>
          <w:rFonts w:ascii="仿宋" w:hAnsi="仿宋" w:cs="仿宋"/>
          <w:b/>
          <w:color w:val="000000"/>
          <w:kern w:val="0"/>
          <w:u w:val="single"/>
        </w:rPr>
      </w:pPr>
      <w:r>
        <w:rPr>
          <w:rFonts w:hint="eastAsia" w:ascii="仿宋" w:hAnsi="仿宋" w:cs="仿宋"/>
        </w:rPr>
        <w:t>（6）出现银行挤兑、存款被盗或其他可能妨害公款安全的情形。</w:t>
      </w:r>
    </w:p>
    <w:p>
      <w:pPr>
        <w:ind w:firstLine="482" w:firstLineChars="200"/>
        <w:rPr>
          <w:rFonts w:ascii="仿宋" w:hAnsi="仿宋" w:cs="仿宋"/>
          <w:b/>
          <w:color w:val="000000"/>
          <w:kern w:val="0"/>
        </w:rPr>
      </w:pPr>
      <w:r>
        <w:rPr>
          <w:rFonts w:hint="eastAsia" w:ascii="仿宋" w:hAnsi="仿宋" w:cs="仿宋"/>
          <w:b/>
          <w:color w:val="000000"/>
          <w:kern w:val="0"/>
        </w:rPr>
        <w:t>六、违约责任</w:t>
      </w:r>
    </w:p>
    <w:p>
      <w:pPr>
        <w:ind w:firstLine="463" w:firstLineChars="193"/>
        <w:rPr>
          <w:rFonts w:ascii="仿宋" w:hAnsi="仿宋" w:cs="仿宋"/>
        </w:rPr>
      </w:pPr>
      <w:r>
        <w:rPr>
          <w:rFonts w:hint="eastAsia" w:ascii="仿宋" w:hAnsi="仿宋" w:cs="仿宋"/>
        </w:rPr>
        <w:t>1、双方要严格按协议履约。</w:t>
      </w:r>
    </w:p>
    <w:p>
      <w:pPr>
        <w:ind w:firstLine="463" w:firstLineChars="193"/>
        <w:rPr>
          <w:rFonts w:ascii="仿宋" w:hAnsi="仿宋" w:cs="仿宋"/>
        </w:rPr>
      </w:pPr>
      <w:r>
        <w:rPr>
          <w:rFonts w:hint="eastAsia" w:ascii="仿宋" w:hAnsi="仿宋" w:cs="仿宋"/>
        </w:rPr>
        <w:t>2、如发现乙方违反招投标文件和协议的有关规定，甲方有权根据招标文件和相应的法律法规要求对乙方进行处罚，并有权提前终止协议书。</w:t>
      </w:r>
    </w:p>
    <w:p>
      <w:pPr>
        <w:ind w:firstLine="48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七、提前支取</w:t>
      </w:r>
    </w:p>
    <w:p>
      <w:pPr>
        <w:ind w:firstLine="480" w:firstLineChars="200"/>
        <w:rPr>
          <w:rFonts w:ascii="仿宋" w:hAnsi="仿宋" w:cs="仿宋"/>
          <w:bCs/>
          <w:color w:val="000000" w:themeColor="text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甲方有权在到期日前提前支取定期存款（</w:t>
      </w:r>
      <w:r>
        <w:rPr>
          <w:rFonts w:hint="eastAsia" w:ascii="仿宋" w:hAnsi="仿宋" w:cs="仿宋"/>
          <w:bCs/>
          <w:color w:val="000000" w:themeColor="text1"/>
          <w14:textFill>
            <w14:solidFill>
              <w14:schemeClr w14:val="tx1"/>
            </w14:solidFill>
          </w14:textFill>
        </w:rPr>
        <w:t>注：甲方会在各个标段中均衡支取）</w:t>
      </w:r>
      <w:r>
        <w:rPr>
          <w:rFonts w:hint="eastAsia" w:ascii="宋体" w:hAnsi="宋体" w:cs="宋体"/>
          <w:bCs/>
          <w:color w:val="000000" w:themeColor="text1"/>
          <w:kern w:val="0"/>
          <w:szCs w:val="21"/>
          <w14:textFill>
            <w14:solidFill>
              <w14:schemeClr w14:val="tx1"/>
            </w14:solidFill>
          </w14:textFill>
        </w:rPr>
        <w:t>甲方至少提前1个工作日通知乙方，乙方收到甲方的通知之日起，1日内办理相关手续将提取款划转到指定账户。提前支取存单金额按</w:t>
      </w:r>
      <w:r>
        <w:rPr>
          <w:rFonts w:hint="eastAsia" w:ascii="宋体" w:hAnsi="宋体" w:cs="宋体"/>
          <w:bCs/>
          <w:color w:val="000000" w:themeColor="text1"/>
          <w:kern w:val="0"/>
          <w:szCs w:val="21"/>
          <w:u w:val="single"/>
          <w14:textFill>
            <w14:solidFill>
              <w14:schemeClr w14:val="tx1"/>
            </w14:solidFill>
          </w14:textFill>
        </w:rPr>
        <w:t>人行活期利率</w:t>
      </w:r>
      <w:r>
        <w:rPr>
          <w:rFonts w:hint="eastAsia" w:ascii="宋体" w:hAnsi="宋体" w:cs="宋体"/>
          <w:bCs/>
          <w:color w:val="000000" w:themeColor="text1"/>
          <w:kern w:val="0"/>
          <w:szCs w:val="21"/>
          <w14:textFill>
            <w14:solidFill>
              <w14:schemeClr w14:val="tx1"/>
            </w14:solidFill>
          </w14:textFill>
        </w:rPr>
        <w:t>计付利息，存续金额仍按原起息日、期限及存款利率计付利息。</w:t>
      </w:r>
    </w:p>
    <w:p>
      <w:pPr>
        <w:ind w:firstLine="433"/>
        <w:rPr>
          <w:rFonts w:ascii="仿宋" w:hAnsi="仿宋" w:cs="仿宋"/>
          <w:b/>
        </w:rPr>
      </w:pPr>
      <w:r>
        <w:rPr>
          <w:rFonts w:hint="eastAsia" w:ascii="仿宋" w:hAnsi="仿宋" w:cs="仿宋"/>
          <w:b/>
        </w:rPr>
        <w:t>八、本协议如发生纠纷，甲、乙应当及时协商解决。</w:t>
      </w:r>
    </w:p>
    <w:p>
      <w:pPr>
        <w:ind w:firstLine="433"/>
        <w:rPr>
          <w:rFonts w:ascii="仿宋" w:hAnsi="仿宋" w:cs="仿宋"/>
          <w:b/>
        </w:rPr>
      </w:pPr>
      <w:r>
        <w:rPr>
          <w:rFonts w:hint="eastAsia" w:ascii="仿宋" w:hAnsi="仿宋" w:cs="仿宋"/>
          <w:b/>
        </w:rPr>
        <w:t>九、协议履行期内甲乙双方均不得随意变更或解除协议。协议书若有未尽事宜，需经双方共同协商，作出补充规定，补充规定与本协议书有同等法律效力。</w:t>
      </w:r>
    </w:p>
    <w:p>
      <w:pPr>
        <w:ind w:firstLine="433"/>
        <w:rPr>
          <w:rFonts w:ascii="仿宋" w:hAnsi="仿宋" w:cs="仿宋"/>
        </w:rPr>
      </w:pPr>
      <w:r>
        <w:rPr>
          <w:rFonts w:hint="eastAsia" w:ascii="仿宋" w:hAnsi="仿宋" w:cs="仿宋"/>
          <w:b/>
        </w:rPr>
        <w:t>十、招标文件、投标文件及评标过程中形成的文字资料、询标纪要均作为本协议的组成部分，具有同等效力。</w:t>
      </w:r>
    </w:p>
    <w:p>
      <w:pPr>
        <w:rPr>
          <w:rFonts w:ascii="仿宋" w:hAnsi="仿宋" w:cs="仿宋"/>
          <w:b/>
          <w:color w:val="000000"/>
          <w:kern w:val="0"/>
        </w:rPr>
      </w:pPr>
      <w:r>
        <w:rPr>
          <w:rFonts w:hint="eastAsia" w:ascii="仿宋" w:hAnsi="仿宋" w:cs="仿宋"/>
          <w:b/>
          <w:color w:val="000000"/>
          <w:kern w:val="0"/>
        </w:rPr>
        <w:t>十一、合同生效及其它</w:t>
      </w:r>
    </w:p>
    <w:p>
      <w:pPr>
        <w:ind w:firstLine="463" w:firstLineChars="193"/>
        <w:rPr>
          <w:rFonts w:ascii="仿宋" w:hAnsi="仿宋" w:cs="仿宋"/>
          <w:b/>
          <w:color w:val="000000"/>
          <w:kern w:val="0"/>
        </w:rPr>
      </w:pPr>
      <w:r>
        <w:rPr>
          <w:rFonts w:hint="eastAsia" w:ascii="仿宋" w:hAnsi="仿宋" w:cs="仿宋"/>
          <w:color w:val="000000"/>
          <w:kern w:val="0"/>
        </w:rPr>
        <w:t>1、合同经双方法定代表人或授权委托代理人签字并加盖单位公章后生效。</w:t>
      </w:r>
    </w:p>
    <w:p>
      <w:pPr>
        <w:ind w:firstLine="463" w:firstLineChars="193"/>
        <w:rPr>
          <w:rFonts w:ascii="仿宋" w:hAnsi="仿宋" w:cs="仿宋"/>
          <w:color w:val="000000"/>
          <w:kern w:val="0"/>
        </w:rPr>
      </w:pPr>
      <w:r>
        <w:rPr>
          <w:rFonts w:hint="eastAsia" w:ascii="仿宋" w:hAnsi="仿宋" w:cs="仿宋"/>
          <w:color w:val="000000"/>
          <w:kern w:val="0"/>
        </w:rPr>
        <w:t>2、本合同未尽事宜，遵照《合同法》有关条文执行。</w:t>
      </w:r>
    </w:p>
    <w:p>
      <w:pPr>
        <w:ind w:firstLine="463" w:firstLineChars="193"/>
        <w:rPr>
          <w:rFonts w:ascii="仿宋" w:hAnsi="仿宋" w:cs="仿宋"/>
          <w:color w:val="000000"/>
          <w:kern w:val="0"/>
        </w:rPr>
      </w:pPr>
      <w:r>
        <w:rPr>
          <w:rFonts w:hint="eastAsia" w:ascii="仿宋" w:hAnsi="仿宋" w:cs="仿宋"/>
          <w:color w:val="000000"/>
          <w:kern w:val="0"/>
        </w:rPr>
        <w:t>3、本合同正本一式</w:t>
      </w:r>
      <w:r>
        <w:rPr>
          <w:rFonts w:hint="eastAsia" w:ascii="仿宋" w:hAnsi="仿宋" w:cs="仿宋"/>
          <w:color w:val="000000"/>
          <w:kern w:val="0"/>
          <w:u w:val="single"/>
        </w:rPr>
        <w:t xml:space="preserve">   </w:t>
      </w:r>
      <w:r>
        <w:rPr>
          <w:rFonts w:hint="eastAsia" w:ascii="仿宋" w:hAnsi="仿宋" w:cs="仿宋"/>
          <w:color w:val="000000"/>
          <w:kern w:val="0"/>
        </w:rPr>
        <w:t>份，具有同等法律效力，甲乙双方各执</w:t>
      </w:r>
      <w:r>
        <w:rPr>
          <w:rFonts w:hint="eastAsia" w:ascii="仿宋" w:hAnsi="仿宋" w:cs="仿宋"/>
          <w:color w:val="000000"/>
          <w:kern w:val="0"/>
          <w:u w:val="single"/>
        </w:rPr>
        <w:t xml:space="preserve">   </w:t>
      </w:r>
      <w:r>
        <w:rPr>
          <w:rFonts w:hint="eastAsia" w:ascii="仿宋" w:hAnsi="仿宋" w:cs="仿宋"/>
          <w:color w:val="000000"/>
          <w:kern w:val="0"/>
        </w:rPr>
        <w:t>份；副本</w:t>
      </w:r>
      <w:r>
        <w:rPr>
          <w:rFonts w:hint="eastAsia" w:ascii="仿宋" w:hAnsi="仿宋" w:cs="仿宋"/>
          <w:color w:val="000000"/>
          <w:kern w:val="0"/>
          <w:u w:val="single"/>
        </w:rPr>
        <w:t>△</w:t>
      </w:r>
      <w:r>
        <w:rPr>
          <w:rFonts w:hint="eastAsia" w:ascii="仿宋" w:hAnsi="仿宋" w:cs="仿宋"/>
          <w:color w:val="000000"/>
          <w:kern w:val="0"/>
        </w:rPr>
        <w:t>份，(用途)。</w:t>
      </w:r>
    </w:p>
    <w:p>
      <w:pPr>
        <w:ind w:firstLine="460" w:firstLineChars="192"/>
        <w:rPr>
          <w:rFonts w:ascii="仿宋" w:hAnsi="仿宋" w:cs="仿宋"/>
          <w:color w:val="000000"/>
          <w:kern w:val="0"/>
        </w:rPr>
      </w:pPr>
    </w:p>
    <w:tbl>
      <w:tblPr>
        <w:tblStyle w:val="39"/>
        <w:tblW w:w="0" w:type="auto"/>
        <w:tblInd w:w="0"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454" w:hRule="atLeast"/>
        </w:trPr>
        <w:tc>
          <w:tcPr>
            <w:tcW w:w="4519" w:type="dxa"/>
            <w:vAlign w:val="center"/>
          </w:tcPr>
          <w:p>
            <w:pPr>
              <w:jc w:val="left"/>
              <w:rPr>
                <w:rFonts w:ascii="仿宋" w:hAnsi="仿宋" w:cs="仿宋"/>
              </w:rPr>
            </w:pPr>
            <w:r>
              <w:rPr>
                <w:rFonts w:hint="eastAsia" w:ascii="仿宋" w:hAnsi="仿宋" w:cs="仿宋"/>
              </w:rPr>
              <w:t>甲方（盖章）：</w:t>
            </w:r>
          </w:p>
        </w:tc>
        <w:tc>
          <w:tcPr>
            <w:tcW w:w="4520" w:type="dxa"/>
            <w:vAlign w:val="center"/>
          </w:tcPr>
          <w:p>
            <w:pPr>
              <w:jc w:val="left"/>
              <w:rPr>
                <w:rFonts w:ascii="仿宋" w:hAnsi="仿宋" w:cs="仿宋"/>
              </w:rPr>
            </w:pPr>
            <w:r>
              <w:rPr>
                <w:rFonts w:hint="eastAsia" w:ascii="仿宋" w:hAnsi="仿宋" w:cs="仿宋"/>
              </w:rPr>
              <w:t>乙方（盖章）：</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ascii="仿宋" w:hAnsi="仿宋" w:cs="仿宋"/>
              </w:rPr>
            </w:pPr>
            <w:r>
              <w:rPr>
                <w:rFonts w:hint="eastAsia" w:ascii="仿宋" w:hAnsi="仿宋" w:cs="仿宋"/>
              </w:rPr>
              <w:t>地址：</w:t>
            </w:r>
          </w:p>
        </w:tc>
        <w:tc>
          <w:tcPr>
            <w:tcW w:w="4520" w:type="dxa"/>
            <w:vAlign w:val="center"/>
          </w:tcPr>
          <w:p>
            <w:pPr>
              <w:jc w:val="left"/>
              <w:rPr>
                <w:rFonts w:ascii="仿宋" w:hAnsi="仿宋" w:cs="仿宋"/>
              </w:rPr>
            </w:pPr>
            <w:r>
              <w:rPr>
                <w:rFonts w:hint="eastAsia" w:ascii="仿宋" w:hAnsi="仿宋" w:cs="仿宋"/>
              </w:rPr>
              <w:t>地址：</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ascii="仿宋" w:hAnsi="仿宋" w:cs="仿宋"/>
              </w:rPr>
            </w:pPr>
            <w:r>
              <w:rPr>
                <w:rFonts w:hint="eastAsia" w:ascii="仿宋" w:hAnsi="仿宋" w:cs="仿宋"/>
              </w:rPr>
              <w:t>法定代表人（签字或盖章）：</w:t>
            </w:r>
          </w:p>
        </w:tc>
        <w:tc>
          <w:tcPr>
            <w:tcW w:w="4520" w:type="dxa"/>
            <w:vAlign w:val="center"/>
          </w:tcPr>
          <w:p>
            <w:pPr>
              <w:jc w:val="left"/>
              <w:rPr>
                <w:rFonts w:ascii="仿宋" w:hAnsi="仿宋" w:cs="仿宋"/>
              </w:rPr>
            </w:pPr>
            <w:r>
              <w:rPr>
                <w:rFonts w:hint="eastAsia" w:ascii="仿宋" w:hAnsi="仿宋" w:cs="仿宋"/>
              </w:rPr>
              <w:t>法定代表人（签字或盖章）：</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ascii="仿宋" w:hAnsi="仿宋" w:cs="仿宋"/>
              </w:rPr>
            </w:pPr>
            <w:r>
              <w:rPr>
                <w:rFonts w:hint="eastAsia" w:ascii="仿宋" w:hAnsi="仿宋" w:cs="仿宋"/>
              </w:rPr>
              <w:t>电话：</w:t>
            </w:r>
          </w:p>
        </w:tc>
        <w:tc>
          <w:tcPr>
            <w:tcW w:w="4520" w:type="dxa"/>
            <w:vAlign w:val="center"/>
          </w:tcPr>
          <w:p>
            <w:pPr>
              <w:jc w:val="left"/>
              <w:rPr>
                <w:rFonts w:ascii="仿宋" w:hAnsi="仿宋" w:cs="仿宋"/>
              </w:rPr>
            </w:pPr>
            <w:r>
              <w:rPr>
                <w:rFonts w:hint="eastAsia" w:ascii="仿宋" w:hAnsi="仿宋" w:cs="仿宋"/>
              </w:rPr>
              <w:t>电话：</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ascii="Arial" w:hAnsi="Arial" w:cs="Arial"/>
                <w:sz w:val="22"/>
                <w:szCs w:val="22"/>
              </w:rPr>
            </w:pPr>
            <w:r>
              <w:rPr>
                <w:rFonts w:ascii="Arial" w:hAnsi="新宋体" w:cs="Arial"/>
                <w:sz w:val="22"/>
                <w:szCs w:val="22"/>
              </w:rPr>
              <w:t>签订日期：</w:t>
            </w:r>
            <w:r>
              <w:rPr>
                <w:rFonts w:hint="eastAsia" w:ascii="Arial" w:hAnsi="新宋体" w:cs="Arial"/>
                <w:sz w:val="22"/>
                <w:szCs w:val="22"/>
              </w:rPr>
              <w:t xml:space="preserve">      年   月   日</w:t>
            </w:r>
          </w:p>
        </w:tc>
        <w:tc>
          <w:tcPr>
            <w:tcW w:w="4520" w:type="dxa"/>
            <w:vAlign w:val="center"/>
          </w:tcPr>
          <w:p>
            <w:pPr>
              <w:jc w:val="left"/>
              <w:rPr>
                <w:rFonts w:ascii="Arial" w:hAnsi="Arial" w:cs="Arial"/>
                <w:sz w:val="22"/>
                <w:szCs w:val="22"/>
              </w:rPr>
            </w:pPr>
            <w:r>
              <w:rPr>
                <w:rFonts w:ascii="Arial" w:hAnsi="新宋体" w:cs="Arial"/>
                <w:sz w:val="22"/>
                <w:szCs w:val="22"/>
              </w:rPr>
              <w:t>签订日期：</w:t>
            </w:r>
            <w:r>
              <w:rPr>
                <w:rFonts w:hint="eastAsia" w:ascii="Arial" w:hAnsi="新宋体" w:cs="Arial"/>
                <w:sz w:val="22"/>
                <w:szCs w:val="22"/>
              </w:rPr>
              <w:t xml:space="preserve">      年   月   日</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ascii="Arial" w:hAnsi="Arial" w:cs="Arial"/>
                <w:sz w:val="22"/>
                <w:szCs w:val="22"/>
              </w:rPr>
            </w:pPr>
            <w:r>
              <w:rPr>
                <w:rFonts w:ascii="Arial" w:hAnsi="新宋体" w:cs="Arial"/>
                <w:sz w:val="22"/>
                <w:szCs w:val="22"/>
              </w:rPr>
              <w:t>签订地点：</w:t>
            </w:r>
          </w:p>
        </w:tc>
        <w:tc>
          <w:tcPr>
            <w:tcW w:w="4520" w:type="dxa"/>
            <w:vAlign w:val="center"/>
          </w:tcPr>
          <w:p>
            <w:pPr>
              <w:jc w:val="left"/>
              <w:rPr>
                <w:rFonts w:ascii="Arial" w:hAnsi="Arial" w:cs="Arial"/>
                <w:sz w:val="22"/>
                <w:szCs w:val="22"/>
              </w:rPr>
            </w:pPr>
            <w:r>
              <w:rPr>
                <w:rFonts w:ascii="Arial" w:hAnsi="新宋体" w:cs="Arial"/>
                <w:sz w:val="22"/>
                <w:szCs w:val="22"/>
              </w:rPr>
              <w:t>签订地点：</w:t>
            </w:r>
          </w:p>
        </w:tc>
      </w:tr>
    </w:tbl>
    <w:p>
      <w:pPr>
        <w:rPr>
          <w:sz w:val="40"/>
          <w:szCs w:val="48"/>
        </w:rPr>
      </w:pPr>
      <w:r>
        <w:rPr>
          <w:rFonts w:hint="eastAsia"/>
          <w:sz w:val="40"/>
          <w:szCs w:val="48"/>
        </w:rPr>
        <w:br w:type="page"/>
      </w:r>
    </w:p>
    <w:p>
      <w:pPr>
        <w:jc w:val="center"/>
      </w:pPr>
      <w:r>
        <w:rPr>
          <w:rFonts w:hint="eastAsia"/>
          <w:sz w:val="40"/>
          <w:szCs w:val="48"/>
        </w:rPr>
        <w:t>廉政承诺书</w:t>
      </w:r>
    </w:p>
    <w:p>
      <w:pPr>
        <w:rPr>
          <w:sz w:val="28"/>
          <w:szCs w:val="36"/>
          <w:u w:val="single"/>
        </w:rPr>
      </w:pPr>
    </w:p>
    <w:p>
      <w:pPr>
        <w:rPr>
          <w:rFonts w:ascii="宋体" w:hAnsi="宋体" w:eastAsia="宋体" w:cs="宋体"/>
          <w:sz w:val="28"/>
          <w:szCs w:val="36"/>
        </w:rPr>
      </w:pPr>
      <w:r>
        <w:rPr>
          <w:rFonts w:hint="eastAsia" w:ascii="宋体" w:hAnsi="宋体" w:eastAsia="宋体" w:cs="宋体"/>
          <w:sz w:val="28"/>
          <w:szCs w:val="36"/>
          <w:u w:val="single"/>
        </w:rPr>
        <w:t xml:space="preserve">                   </w:t>
      </w:r>
      <w:r>
        <w:rPr>
          <w:rFonts w:hint="eastAsia" w:ascii="宋体" w:hAnsi="宋体" w:eastAsia="宋体" w:cs="宋体"/>
          <w:sz w:val="28"/>
          <w:szCs w:val="36"/>
        </w:rPr>
        <w:t>部门(单位):</w:t>
      </w:r>
    </w:p>
    <w:p>
      <w:pPr>
        <w:ind w:firstLine="560" w:firstLineChars="200"/>
        <w:rPr>
          <w:rFonts w:ascii="宋体" w:hAnsi="宋体" w:eastAsia="宋体" w:cs="宋体"/>
          <w:sz w:val="28"/>
          <w:szCs w:val="36"/>
        </w:rPr>
      </w:pPr>
      <w:r>
        <w:rPr>
          <w:rFonts w:hint="eastAsia" w:ascii="宋体" w:hAnsi="宋体" w:eastAsia="宋体" w:cs="宋体"/>
          <w:sz w:val="28"/>
          <w:szCs w:val="36"/>
        </w:rPr>
        <w:t>根据《财政部关于进一步加强财政部门和预算单位资金存放管理的指导意见》(财库[2017]76号)、《浙江省财政厅关于印发浙江省省级行政事业单位公款竞争性存放管理办法的通知》（浙财预执〔2021〕7号）、《苍南县县级预算单位公款竞争性存放管理暂行办法》（苍政办〔2019〕7号）相关规定，现就本行参加贵单位</w:t>
      </w:r>
      <w:r>
        <w:rPr>
          <w:rFonts w:hint="eastAsia" w:ascii="宋体" w:hAnsi="宋体" w:eastAsia="宋体" w:cs="宋体"/>
          <w:sz w:val="28"/>
          <w:szCs w:val="36"/>
          <w:u w:val="single"/>
        </w:rPr>
        <w:t xml:space="preserve">        </w:t>
      </w:r>
      <w:r>
        <w:rPr>
          <w:rFonts w:hint="eastAsia" w:ascii="宋体" w:hAnsi="宋体" w:eastAsia="宋体" w:cs="宋体"/>
          <w:sz w:val="28"/>
          <w:szCs w:val="36"/>
        </w:rPr>
        <w:t>年第</w:t>
      </w:r>
      <w:r>
        <w:rPr>
          <w:rFonts w:hint="eastAsia" w:ascii="宋体" w:hAnsi="宋体" w:eastAsia="宋体" w:cs="宋体"/>
          <w:sz w:val="28"/>
          <w:szCs w:val="36"/>
          <w:u w:val="single"/>
        </w:rPr>
        <w:t xml:space="preserve">     </w:t>
      </w:r>
      <w:r>
        <w:rPr>
          <w:rFonts w:hint="eastAsia" w:ascii="宋体" w:hAnsi="宋体" w:eastAsia="宋体" w:cs="宋体"/>
          <w:sz w:val="28"/>
          <w:szCs w:val="36"/>
        </w:rPr>
        <w:t>期公款竞争性存放作出如下承诺：</w:t>
      </w:r>
    </w:p>
    <w:p>
      <w:pPr>
        <w:numPr>
          <w:ilvl w:val="0"/>
          <w:numId w:val="7"/>
        </w:numPr>
        <w:rPr>
          <w:rFonts w:ascii="宋体" w:hAnsi="宋体" w:eastAsia="宋体" w:cs="宋体"/>
          <w:sz w:val="28"/>
          <w:szCs w:val="36"/>
        </w:rPr>
      </w:pPr>
      <w:r>
        <w:rPr>
          <w:rFonts w:hint="eastAsia" w:ascii="宋体" w:hAnsi="宋体" w:eastAsia="宋体" w:cs="宋体"/>
          <w:sz w:val="28"/>
          <w:szCs w:val="36"/>
        </w:rPr>
        <w:t>不向贵单位负责公款存放管理的领导及相关人员进行利益输送；</w:t>
      </w:r>
    </w:p>
    <w:p>
      <w:pPr>
        <w:rPr>
          <w:rFonts w:ascii="宋体" w:hAnsi="宋体" w:eastAsia="宋体" w:cs="宋体"/>
          <w:sz w:val="28"/>
          <w:szCs w:val="36"/>
        </w:rPr>
      </w:pPr>
      <w:r>
        <w:rPr>
          <w:rFonts w:hint="eastAsia" w:ascii="宋体" w:hAnsi="宋体" w:eastAsia="宋体" w:cs="宋体"/>
          <w:sz w:val="28"/>
          <w:szCs w:val="36"/>
        </w:rPr>
        <w:t>2、不将公款存放与贵单位负责公款存放管理的领导及相关人员在本行的配偶、子女及其配偶和其他直接利益相关人员的业绩、收入、晋升等利益挂钩；</w:t>
      </w:r>
    </w:p>
    <w:p>
      <w:pPr>
        <w:rPr>
          <w:rFonts w:ascii="宋体" w:hAnsi="宋体" w:eastAsia="宋体" w:cs="宋体"/>
          <w:sz w:val="28"/>
          <w:szCs w:val="36"/>
        </w:rPr>
      </w:pPr>
      <w:r>
        <w:rPr>
          <w:rFonts w:hint="eastAsia" w:ascii="宋体" w:hAnsi="宋体" w:eastAsia="宋体" w:cs="宋体"/>
          <w:sz w:val="28"/>
          <w:szCs w:val="36"/>
        </w:rPr>
        <w:t>3、严格执行利益回避制度，贵单位负责公款竞争性存放相关人员的配偶、子女及其配偶和其他直接利益相关人员为本行工作人员的，不参与公款竞争性存放工作；</w:t>
      </w:r>
    </w:p>
    <w:p>
      <w:pPr>
        <w:rPr>
          <w:rFonts w:ascii="宋体" w:hAnsi="宋体" w:eastAsia="宋体" w:cs="宋体"/>
          <w:sz w:val="28"/>
          <w:szCs w:val="36"/>
        </w:rPr>
      </w:pPr>
      <w:r>
        <w:rPr>
          <w:rFonts w:hint="eastAsia" w:ascii="宋体" w:hAnsi="宋体" w:eastAsia="宋体" w:cs="宋体"/>
          <w:sz w:val="28"/>
          <w:szCs w:val="36"/>
        </w:rPr>
        <w:t>4、不发生除，上述行为之外的其他任何利益输送行为。</w:t>
      </w:r>
    </w:p>
    <w:p>
      <w:pPr>
        <w:ind w:firstLine="560" w:firstLineChars="200"/>
        <w:rPr>
          <w:rFonts w:ascii="宋体" w:hAnsi="宋体" w:eastAsia="宋体" w:cs="宋体"/>
          <w:sz w:val="28"/>
          <w:szCs w:val="36"/>
        </w:rPr>
      </w:pPr>
      <w:r>
        <w:rPr>
          <w:rFonts w:hint="eastAsia" w:ascii="宋体" w:hAnsi="宋体" w:eastAsia="宋体" w:cs="宋体"/>
          <w:sz w:val="28"/>
          <w:szCs w:val="36"/>
        </w:rPr>
        <w:t>未遵守以上承诺的，本行自愿接受财政部门通报和处理，承担相应的一切后果。</w:t>
      </w:r>
    </w:p>
    <w:p>
      <w:pPr>
        <w:rPr>
          <w:rFonts w:ascii="宋体" w:hAnsi="宋体" w:eastAsia="宋体" w:cs="宋体"/>
          <w:sz w:val="28"/>
          <w:szCs w:val="36"/>
        </w:rPr>
      </w:pPr>
    </w:p>
    <w:p>
      <w:pPr>
        <w:ind w:left="4469" w:leftChars="1862" w:firstLine="1400" w:firstLineChars="500"/>
        <w:rPr>
          <w:rFonts w:ascii="宋体" w:hAnsi="宋体" w:eastAsia="宋体" w:cs="宋体"/>
          <w:sz w:val="28"/>
          <w:szCs w:val="36"/>
        </w:rPr>
      </w:pPr>
      <w:r>
        <w:rPr>
          <w:rFonts w:hint="eastAsia" w:ascii="宋体" w:hAnsi="宋体" w:eastAsia="宋体" w:cs="宋体"/>
          <w:sz w:val="28"/>
          <w:szCs w:val="36"/>
          <w:u w:val="single"/>
        </w:rPr>
        <w:t xml:space="preserve">           </w:t>
      </w:r>
      <w:r>
        <w:rPr>
          <w:rFonts w:hint="eastAsia" w:ascii="宋体" w:hAnsi="宋体" w:eastAsia="宋体" w:cs="宋体"/>
          <w:sz w:val="28"/>
          <w:szCs w:val="36"/>
        </w:rPr>
        <w:t xml:space="preserve">银行（公章）  </w:t>
      </w:r>
    </w:p>
    <w:p>
      <w:pPr>
        <w:pStyle w:val="37"/>
        <w:spacing w:before="0" w:after="0"/>
        <w:jc w:val="right"/>
        <w:sectPr>
          <w:headerReference r:id="rId7" w:type="default"/>
          <w:footerReference r:id="rId8" w:type="default"/>
          <w:pgSz w:w="11906" w:h="16838"/>
          <w:pgMar w:top="1440" w:right="1418" w:bottom="1440" w:left="1559" w:header="851" w:footer="992" w:gutter="0"/>
          <w:pgNumType w:fmt="numberInDash"/>
          <w:cols w:space="720" w:num="1"/>
          <w:docGrid w:linePitch="312" w:charSpace="0"/>
        </w:sectPr>
      </w:pPr>
      <w:r>
        <w:rPr>
          <w:rFonts w:hint="eastAsia" w:ascii="宋体" w:hAnsi="宋体" w:eastAsia="宋体" w:cs="宋体"/>
          <w:sz w:val="28"/>
          <w:szCs w:val="36"/>
          <w:u w:val="single"/>
        </w:rPr>
        <w:t xml:space="preserve">         </w:t>
      </w:r>
      <w:r>
        <w:rPr>
          <w:rFonts w:hint="eastAsia" w:ascii="宋体" w:hAnsi="宋体" w:eastAsia="宋体" w:cs="宋体"/>
          <w:sz w:val="28"/>
          <w:szCs w:val="36"/>
        </w:rPr>
        <w:t>年</w:t>
      </w:r>
      <w:r>
        <w:rPr>
          <w:rFonts w:hint="eastAsia" w:ascii="宋体" w:hAnsi="宋体" w:eastAsia="宋体" w:cs="宋体"/>
          <w:sz w:val="28"/>
          <w:szCs w:val="36"/>
          <w:u w:val="single"/>
        </w:rPr>
        <w:t xml:space="preserve">   </w:t>
      </w:r>
      <w:r>
        <w:rPr>
          <w:rFonts w:hint="eastAsia" w:ascii="宋体" w:hAnsi="宋体" w:eastAsia="宋体" w:cs="宋体"/>
          <w:sz w:val="28"/>
          <w:szCs w:val="36"/>
        </w:rPr>
        <w:t>月</w:t>
      </w:r>
      <w:r>
        <w:rPr>
          <w:rFonts w:hint="eastAsia" w:ascii="宋体" w:hAnsi="宋体" w:eastAsia="宋体" w:cs="宋体"/>
          <w:sz w:val="28"/>
          <w:szCs w:val="36"/>
          <w:u w:val="single"/>
        </w:rPr>
        <w:t xml:space="preserve">   </w:t>
      </w:r>
      <w:r>
        <w:rPr>
          <w:rFonts w:hint="eastAsia" w:ascii="宋体" w:hAnsi="宋体" w:eastAsia="宋体" w:cs="宋体"/>
          <w:sz w:val="28"/>
          <w:szCs w:val="36"/>
        </w:rPr>
        <w:t>日</w:t>
      </w:r>
    </w:p>
    <w:p>
      <w:pPr>
        <w:pStyle w:val="37"/>
        <w:spacing w:beforeLines="200" w:after="0"/>
      </w:pPr>
      <w:bookmarkStart w:id="121" w:name="_Toc10968"/>
      <w:bookmarkStart w:id="122" w:name="_Toc30912"/>
      <w:r>
        <w:rPr>
          <w:rFonts w:hint="eastAsia"/>
        </w:rPr>
        <w:t>第六章</w:t>
      </w:r>
      <w:r>
        <w:t xml:space="preserve"> </w:t>
      </w:r>
      <w:r>
        <w:rPr>
          <w:rFonts w:hint="eastAsia"/>
        </w:rPr>
        <w:t>投标文件格式</w:t>
      </w:r>
      <w:bookmarkEnd w:id="114"/>
      <w:bookmarkEnd w:id="115"/>
      <w:bookmarkEnd w:id="116"/>
      <w:bookmarkEnd w:id="117"/>
      <w:bookmarkEnd w:id="118"/>
      <w:bookmarkEnd w:id="119"/>
      <w:bookmarkEnd w:id="120"/>
      <w:bookmarkEnd w:id="121"/>
      <w:bookmarkEnd w:id="122"/>
    </w:p>
    <w:p>
      <w:pPr>
        <w:rPr>
          <w:rFonts w:ascii="Arial" w:hAnsi="新宋体" w:cs="Arial"/>
          <w:b/>
          <w:color w:val="000000"/>
          <w:sz w:val="22"/>
          <w:szCs w:val="22"/>
          <w:u w:val="single"/>
        </w:rPr>
      </w:pPr>
    </w:p>
    <w:p>
      <w:pPr>
        <w:ind w:firstLine="424" w:firstLineChars="192"/>
        <w:rPr>
          <w:rFonts w:ascii="Arial" w:hAnsi="新宋体" w:cs="Arial"/>
          <w:b/>
          <w:color w:val="000000"/>
          <w:sz w:val="22"/>
          <w:szCs w:val="22"/>
          <w:u w:val="single"/>
        </w:rPr>
      </w:pPr>
      <w:r>
        <w:rPr>
          <w:rFonts w:ascii="Arial" w:hAnsi="新宋体" w:cs="Arial"/>
          <w:b/>
          <w:color w:val="000000"/>
          <w:sz w:val="22"/>
          <w:szCs w:val="22"/>
        </w:rPr>
        <w:t>重要提示：</w:t>
      </w:r>
    </w:p>
    <w:p>
      <w:pPr>
        <w:ind w:firstLine="424" w:firstLineChars="192"/>
        <w:rPr>
          <w:rFonts w:ascii="Arial" w:hAnsi="新宋体" w:cs="Arial"/>
          <w:b/>
          <w:color w:val="0000FF"/>
          <w:sz w:val="22"/>
          <w:szCs w:val="22"/>
          <w:u w:val="single"/>
        </w:rPr>
      </w:pPr>
      <w:r>
        <w:rPr>
          <w:rFonts w:hint="eastAsia" w:ascii="Arial" w:hAnsi="新宋体" w:cs="Arial"/>
          <w:b/>
          <w:color w:val="0000FF"/>
          <w:sz w:val="22"/>
          <w:szCs w:val="22"/>
        </w:rPr>
        <w:t>①</w:t>
      </w:r>
      <w:r>
        <w:rPr>
          <w:rFonts w:ascii="Arial" w:hAnsi="新宋体" w:cs="Arial"/>
          <w:b/>
          <w:color w:val="0000FF"/>
          <w:sz w:val="22"/>
          <w:szCs w:val="22"/>
          <w:u w:val="single"/>
        </w:rPr>
        <w:t>《招标文件》提供格式的，投标银行</w:t>
      </w:r>
      <w:r>
        <w:rPr>
          <w:rFonts w:hint="eastAsia" w:ascii="Arial" w:hAnsi="新宋体" w:cs="Arial"/>
          <w:b/>
          <w:color w:val="0000FF"/>
          <w:sz w:val="22"/>
          <w:szCs w:val="22"/>
          <w:u w:val="single"/>
        </w:rPr>
        <w:t>应参</w:t>
      </w:r>
      <w:r>
        <w:rPr>
          <w:rFonts w:ascii="Arial" w:hAnsi="新宋体" w:cs="Arial"/>
          <w:b/>
          <w:color w:val="0000FF"/>
          <w:sz w:val="22"/>
          <w:szCs w:val="22"/>
          <w:u w:val="single"/>
        </w:rPr>
        <w:t>照格式制作</w:t>
      </w:r>
      <w:r>
        <w:rPr>
          <w:rFonts w:hint="eastAsia" w:ascii="Arial" w:hAnsi="新宋体" w:cs="Arial"/>
          <w:b/>
          <w:color w:val="0000FF"/>
          <w:sz w:val="22"/>
          <w:szCs w:val="22"/>
          <w:u w:val="single"/>
        </w:rPr>
        <w:t>，在指定位置加盖投标银行公章并由法定代表人或其授权代表签署（签字或盖章）</w:t>
      </w:r>
      <w:r>
        <w:rPr>
          <w:rFonts w:hint="eastAsia" w:ascii="Arial" w:hAnsi="新宋体" w:cs="Arial"/>
          <w:b/>
          <w:color w:val="0000FF"/>
          <w:sz w:val="22"/>
          <w:szCs w:val="22"/>
        </w:rPr>
        <w:t>；</w:t>
      </w:r>
    </w:p>
    <w:p>
      <w:pPr>
        <w:ind w:firstLine="424" w:firstLineChars="192"/>
        <w:rPr>
          <w:rFonts w:ascii="Arial" w:hAnsi="新宋体" w:cs="Arial"/>
          <w:b/>
          <w:color w:val="0000FF"/>
          <w:sz w:val="22"/>
          <w:szCs w:val="22"/>
          <w:u w:val="single"/>
        </w:rPr>
      </w:pPr>
      <w:r>
        <w:rPr>
          <w:rFonts w:hint="eastAsia" w:ascii="Arial" w:hAnsi="新宋体" w:cs="Arial"/>
          <w:b/>
          <w:color w:val="0000FF"/>
          <w:sz w:val="22"/>
          <w:szCs w:val="22"/>
        </w:rPr>
        <w:t>②</w:t>
      </w:r>
      <w:r>
        <w:rPr>
          <w:rFonts w:ascii="Arial" w:hAnsi="新宋体" w:cs="Arial"/>
          <w:b/>
          <w:color w:val="0000FF"/>
          <w:sz w:val="22"/>
          <w:szCs w:val="22"/>
          <w:u w:val="single"/>
        </w:rPr>
        <w:t>《招标文件》未提供格式的，请各投标单位自行拟定格式</w:t>
      </w:r>
      <w:r>
        <w:rPr>
          <w:rFonts w:hint="eastAsia" w:ascii="Arial" w:hAnsi="新宋体" w:cs="Arial"/>
          <w:b/>
          <w:color w:val="0000FF"/>
          <w:sz w:val="22"/>
          <w:szCs w:val="22"/>
          <w:u w:val="single"/>
        </w:rPr>
        <w:t>，加盖公章并由法定代表人或其授权代表签署（签字或盖章）</w:t>
      </w:r>
      <w:r>
        <w:rPr>
          <w:rFonts w:hint="eastAsia" w:ascii="Arial" w:hAnsi="新宋体" w:cs="Arial"/>
          <w:b/>
          <w:color w:val="0000FF"/>
          <w:sz w:val="22"/>
          <w:szCs w:val="22"/>
        </w:rPr>
        <w:t>；</w:t>
      </w:r>
    </w:p>
    <w:p>
      <w:pPr>
        <w:ind w:firstLine="424" w:firstLineChars="192"/>
        <w:rPr>
          <w:rFonts w:ascii="Arial" w:hAnsi="新宋体" w:cs="Arial"/>
          <w:b/>
          <w:color w:val="000000"/>
          <w:sz w:val="22"/>
          <w:szCs w:val="22"/>
          <w:u w:val="single"/>
        </w:rPr>
      </w:pPr>
      <w:r>
        <w:rPr>
          <w:rFonts w:hint="eastAsia" w:ascii="Arial" w:hAnsi="新宋体" w:cs="Arial"/>
          <w:b/>
          <w:color w:val="0000FF"/>
          <w:sz w:val="22"/>
          <w:szCs w:val="22"/>
        </w:rPr>
        <w:t>③</w:t>
      </w:r>
      <w:r>
        <w:rPr>
          <w:rFonts w:hint="eastAsia" w:ascii="Arial" w:hAnsi="新宋体" w:cs="Arial"/>
          <w:b/>
          <w:color w:val="0000FF"/>
          <w:sz w:val="22"/>
          <w:szCs w:val="22"/>
          <w:u w:val="single"/>
        </w:rPr>
        <w:t>投标银行资格、业绩、许可证书等其他要求提供复印件的证明材料应加盖投标银行公章，否则视为未提供</w:t>
      </w:r>
      <w:r>
        <w:rPr>
          <w:rFonts w:hint="eastAsia" w:ascii="Arial" w:hAnsi="新宋体" w:cs="Arial"/>
          <w:b/>
          <w:color w:val="0000FF"/>
          <w:sz w:val="22"/>
          <w:szCs w:val="22"/>
        </w:rPr>
        <w:t>。</w:t>
      </w:r>
    </w:p>
    <w:p>
      <w:pPr>
        <w:ind w:firstLine="424" w:firstLineChars="192"/>
        <w:rPr>
          <w:rFonts w:ascii="Arial" w:hAnsi="新宋体" w:cs="Arial"/>
          <w:b/>
          <w:color w:val="000000"/>
          <w:sz w:val="22"/>
          <w:szCs w:val="22"/>
          <w:u w:val="single"/>
        </w:rPr>
      </w:pPr>
    </w:p>
    <w:p>
      <w:pPr>
        <w:ind w:firstLine="424" w:firstLineChars="192"/>
        <w:rPr>
          <w:rFonts w:ascii="Arial" w:hAnsi="新宋体" w:cs="Arial"/>
          <w:b/>
          <w:color w:val="000000"/>
          <w:sz w:val="22"/>
          <w:szCs w:val="22"/>
          <w:u w:val="single"/>
        </w:rPr>
      </w:pPr>
    </w:p>
    <w:p>
      <w:pPr>
        <w:pStyle w:val="3"/>
      </w:pPr>
      <w:r>
        <w:rPr>
          <w:rFonts w:ascii="Arial" w:hAnsi="新宋体" w:eastAsia="新宋体" w:cs="Arial"/>
          <w:color w:val="000000"/>
          <w:sz w:val="22"/>
          <w:szCs w:val="22"/>
        </w:rPr>
        <w:br w:type="page"/>
      </w:r>
      <w:bookmarkStart w:id="123" w:name="_Toc3458"/>
      <w:bookmarkStart w:id="124" w:name="_Toc21498"/>
      <w:bookmarkStart w:id="125" w:name="_Toc452032127"/>
      <w:bookmarkStart w:id="126" w:name="_Toc31789"/>
      <w:r>
        <w:rPr>
          <w:rFonts w:hint="eastAsia"/>
        </w:rPr>
        <w:t>格式1、“投标文件”封面</w:t>
      </w:r>
      <w:bookmarkEnd w:id="123"/>
      <w:bookmarkEnd w:id="124"/>
      <w:bookmarkEnd w:id="125"/>
      <w:bookmarkEnd w:id="126"/>
    </w:p>
    <w:p>
      <w:pPr>
        <w:jc w:val="right"/>
        <w:rPr>
          <w:rFonts w:ascii="Arial" w:hAnsi="Arial" w:cs="Arial"/>
          <w:b/>
          <w:color w:val="000000"/>
          <w:sz w:val="32"/>
          <w:szCs w:val="22"/>
        </w:rPr>
      </w:pPr>
    </w:p>
    <w:p>
      <w:pPr>
        <w:spacing w:line="276" w:lineRule="auto"/>
        <w:jc w:val="center"/>
        <w:rPr>
          <w:rFonts w:hint="eastAsia" w:ascii="华文中宋" w:hAnsi="华文中宋" w:eastAsia="华文中宋" w:cs="Arial"/>
          <w:b/>
          <w:color w:val="000000"/>
          <w:w w:val="90"/>
          <w:sz w:val="160"/>
          <w:szCs w:val="22"/>
          <w:lang w:eastAsia="zh-CN"/>
        </w:rPr>
      </w:pPr>
      <w:r>
        <w:rPr>
          <w:rFonts w:hint="eastAsia" w:ascii="华文中宋" w:hAnsi="华文中宋" w:eastAsia="华文中宋" w:cs="Arial"/>
          <w:b/>
          <w:color w:val="000000"/>
          <w:w w:val="90"/>
          <w:sz w:val="56"/>
          <w:szCs w:val="22"/>
          <w:lang w:eastAsia="zh-CN"/>
        </w:rPr>
        <w:t>苍南县人民法院2024年度公款竞争性存放项目</w:t>
      </w:r>
    </w:p>
    <w:p>
      <w:pPr>
        <w:jc w:val="center"/>
        <w:rPr>
          <w:rFonts w:ascii="Arial" w:hAnsi="Arial" w:cs="Arial"/>
          <w:b/>
          <w:color w:val="000000"/>
          <w:sz w:val="52"/>
          <w:szCs w:val="22"/>
        </w:rPr>
      </w:pPr>
    </w:p>
    <w:p>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投</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tbl>
      <w:tblPr>
        <w:tblStyle w:val="39"/>
        <w:tblpPr w:leftFromText="180" w:rightFromText="180" w:vertAnchor="text" w:horzAnchor="margin" w:tblpXSpec="center" w:tblpY="643"/>
        <w:tblW w:w="0" w:type="auto"/>
        <w:tblInd w:w="0" w:type="dxa"/>
        <w:tblLayout w:type="fixed"/>
        <w:tblCellMar>
          <w:top w:w="0" w:type="dxa"/>
          <w:left w:w="108" w:type="dxa"/>
          <w:bottom w:w="0" w:type="dxa"/>
          <w:right w:w="108" w:type="dxa"/>
        </w:tblCellMar>
      </w:tblPr>
      <w:tblGrid>
        <w:gridCol w:w="7797"/>
      </w:tblGrid>
      <w:tr>
        <w:tblPrEx>
          <w:tblCellMar>
            <w:top w:w="0" w:type="dxa"/>
            <w:left w:w="108" w:type="dxa"/>
            <w:bottom w:w="0" w:type="dxa"/>
            <w:right w:w="108" w:type="dxa"/>
          </w:tblCellMar>
        </w:tblPrEx>
        <w:trPr>
          <w:trHeight w:val="680" w:hRule="atLeast"/>
        </w:trPr>
        <w:tc>
          <w:tcPr>
            <w:tcW w:w="7797" w:type="dxa"/>
            <w:vAlign w:val="center"/>
          </w:tcPr>
          <w:p>
            <w:pPr>
              <w:rPr>
                <w:rFonts w:ascii="华文中宋" w:hAnsi="华文中宋" w:eastAsia="华文中宋"/>
                <w:sz w:val="28"/>
                <w:szCs w:val="28"/>
              </w:rPr>
            </w:pPr>
            <w:r>
              <w:rPr>
                <w:rFonts w:hint="eastAsia" w:ascii="华文中宋" w:hAnsi="华文中宋" w:eastAsia="华文中宋"/>
                <w:sz w:val="28"/>
                <w:szCs w:val="28"/>
              </w:rPr>
              <w:t>项目编号：</w:t>
            </w:r>
            <w:r>
              <w:rPr>
                <w:rFonts w:hint="eastAsia" w:ascii="华文中宋" w:hAnsi="华文中宋" w:eastAsia="华文中宋"/>
                <w:sz w:val="28"/>
                <w:szCs w:val="28"/>
                <w:u w:val="single"/>
                <w:lang w:eastAsia="zh-CN"/>
              </w:rPr>
              <w:t>苍产告字[2024]04号</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tc>
      </w:tr>
      <w:tr>
        <w:tblPrEx>
          <w:tblCellMar>
            <w:top w:w="0" w:type="dxa"/>
            <w:left w:w="108" w:type="dxa"/>
            <w:bottom w:w="0" w:type="dxa"/>
            <w:right w:w="108" w:type="dxa"/>
          </w:tblCellMar>
        </w:tblPrEx>
        <w:trPr>
          <w:trHeight w:val="680" w:hRule="atLeast"/>
        </w:trPr>
        <w:tc>
          <w:tcPr>
            <w:tcW w:w="7797" w:type="dxa"/>
            <w:vAlign w:val="center"/>
          </w:tcPr>
          <w:p>
            <w:pPr>
              <w:rPr>
                <w:rFonts w:ascii="华文中宋" w:hAnsi="华文中宋" w:eastAsia="华文中宋"/>
                <w:sz w:val="28"/>
                <w:szCs w:val="28"/>
              </w:rPr>
            </w:pPr>
            <w:r>
              <w:rPr>
                <w:rFonts w:hint="eastAsia" w:ascii="华文中宋" w:hAnsi="华文中宋" w:eastAsia="华文中宋"/>
                <w:sz w:val="28"/>
                <w:szCs w:val="28"/>
              </w:rPr>
              <w:t>投标银行名称（盖章）：</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tc>
      </w:tr>
      <w:tr>
        <w:tblPrEx>
          <w:tblCellMar>
            <w:top w:w="0" w:type="dxa"/>
            <w:left w:w="108" w:type="dxa"/>
            <w:bottom w:w="0" w:type="dxa"/>
            <w:right w:w="108" w:type="dxa"/>
          </w:tblCellMar>
        </w:tblPrEx>
        <w:trPr>
          <w:trHeight w:val="680" w:hRule="atLeast"/>
        </w:trPr>
        <w:tc>
          <w:tcPr>
            <w:tcW w:w="7797" w:type="dxa"/>
            <w:vAlign w:val="center"/>
          </w:tcPr>
          <w:p>
            <w:pPr>
              <w:rPr>
                <w:rFonts w:ascii="华文中宋" w:hAnsi="华文中宋" w:eastAsia="华文中宋"/>
                <w:sz w:val="28"/>
                <w:szCs w:val="28"/>
              </w:rPr>
            </w:pPr>
            <w:r>
              <w:rPr>
                <w:rFonts w:hint="eastAsia" w:ascii="华文中宋" w:hAnsi="华文中宋" w:eastAsia="华文中宋"/>
                <w:sz w:val="28"/>
                <w:szCs w:val="28"/>
              </w:rPr>
              <w:t>地址：</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tc>
      </w:tr>
      <w:tr>
        <w:tblPrEx>
          <w:tblCellMar>
            <w:top w:w="0" w:type="dxa"/>
            <w:left w:w="108" w:type="dxa"/>
            <w:bottom w:w="0" w:type="dxa"/>
            <w:right w:w="108" w:type="dxa"/>
          </w:tblCellMar>
        </w:tblPrEx>
        <w:trPr>
          <w:trHeight w:val="680" w:hRule="atLeast"/>
        </w:trPr>
        <w:tc>
          <w:tcPr>
            <w:tcW w:w="7797" w:type="dxa"/>
            <w:vAlign w:val="center"/>
          </w:tcPr>
          <w:p>
            <w:pPr>
              <w:rPr>
                <w:rFonts w:ascii="华文中宋" w:hAnsi="华文中宋" w:eastAsia="华文中宋"/>
                <w:sz w:val="28"/>
                <w:szCs w:val="28"/>
              </w:rPr>
            </w:pPr>
            <w:r>
              <w:rPr>
                <w:rFonts w:hint="eastAsia" w:ascii="华文中宋" w:hAnsi="华文中宋" w:eastAsia="华文中宋"/>
                <w:sz w:val="28"/>
                <w:szCs w:val="28"/>
              </w:rPr>
              <w:t>联系人：</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tc>
      </w:tr>
      <w:tr>
        <w:tblPrEx>
          <w:tblCellMar>
            <w:top w:w="0" w:type="dxa"/>
            <w:left w:w="108" w:type="dxa"/>
            <w:bottom w:w="0" w:type="dxa"/>
            <w:right w:w="108" w:type="dxa"/>
          </w:tblCellMar>
        </w:tblPrEx>
        <w:trPr>
          <w:trHeight w:val="680" w:hRule="atLeast"/>
        </w:trPr>
        <w:tc>
          <w:tcPr>
            <w:tcW w:w="7797" w:type="dxa"/>
            <w:vAlign w:val="center"/>
          </w:tcPr>
          <w:p>
            <w:pPr>
              <w:rPr>
                <w:rFonts w:ascii="华文中宋" w:hAnsi="华文中宋" w:eastAsia="华文中宋"/>
                <w:sz w:val="28"/>
                <w:szCs w:val="28"/>
              </w:rPr>
            </w:pPr>
            <w:r>
              <w:rPr>
                <w:rFonts w:hint="eastAsia" w:ascii="华文中宋" w:hAnsi="华文中宋" w:eastAsia="华文中宋"/>
                <w:sz w:val="28"/>
                <w:szCs w:val="28"/>
              </w:rPr>
              <w:t>日期：</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tc>
      </w:tr>
      <w:tr>
        <w:tblPrEx>
          <w:tblCellMar>
            <w:top w:w="0" w:type="dxa"/>
            <w:left w:w="108" w:type="dxa"/>
            <w:bottom w:w="0" w:type="dxa"/>
            <w:right w:w="108" w:type="dxa"/>
          </w:tblCellMar>
        </w:tblPrEx>
        <w:trPr>
          <w:trHeight w:val="335" w:hRule="atLeast"/>
        </w:trPr>
        <w:tc>
          <w:tcPr>
            <w:tcW w:w="7797" w:type="dxa"/>
            <w:vAlign w:val="center"/>
          </w:tcPr>
          <w:p>
            <w:pPr>
              <w:rPr>
                <w:rFonts w:ascii="华文中宋" w:hAnsi="华文中宋" w:eastAsia="华文中宋"/>
                <w:sz w:val="28"/>
                <w:szCs w:val="28"/>
              </w:rPr>
            </w:pPr>
          </w:p>
        </w:tc>
      </w:tr>
      <w:tr>
        <w:tblPrEx>
          <w:tblCellMar>
            <w:top w:w="0" w:type="dxa"/>
            <w:left w:w="108" w:type="dxa"/>
            <w:bottom w:w="0" w:type="dxa"/>
            <w:right w:w="108" w:type="dxa"/>
          </w:tblCellMar>
        </w:tblPrEx>
        <w:trPr>
          <w:trHeight w:val="680" w:hRule="atLeast"/>
        </w:trPr>
        <w:tc>
          <w:tcPr>
            <w:tcW w:w="7797" w:type="dxa"/>
            <w:vAlign w:val="center"/>
          </w:tcPr>
          <w:p>
            <w:pPr>
              <w:jc w:val="center"/>
              <w:rPr>
                <w:rFonts w:ascii="华文中宋" w:hAnsi="华文中宋" w:eastAsia="华文中宋"/>
                <w:b/>
                <w:sz w:val="28"/>
                <w:szCs w:val="28"/>
              </w:rPr>
            </w:pPr>
            <w:r>
              <w:rPr>
                <w:rFonts w:hint="eastAsia" w:ascii="华文中宋" w:hAnsi="华文中宋" w:eastAsia="华文中宋"/>
                <w:b/>
                <w:sz w:val="28"/>
                <w:szCs w:val="28"/>
              </w:rPr>
              <w:t>开标前不得启封</w:t>
            </w:r>
          </w:p>
        </w:tc>
      </w:tr>
    </w:tbl>
    <w:p>
      <w:pPr>
        <w:jc w:val="center"/>
        <w:rPr>
          <w:rFonts w:ascii="华文中宋" w:hAnsi="华文中宋" w:eastAsia="华文中宋" w:cs="Arial"/>
          <w:b/>
          <w:color w:val="000000"/>
          <w:sz w:val="52"/>
          <w:szCs w:val="22"/>
        </w:rPr>
      </w:pPr>
    </w:p>
    <w:p/>
    <w:p>
      <w:pPr>
        <w:pStyle w:val="3"/>
      </w:pPr>
      <w:r>
        <w:rPr>
          <w:color w:val="000000"/>
        </w:rPr>
        <w:br w:type="page"/>
      </w:r>
      <w:bookmarkStart w:id="127" w:name="_Toc2521"/>
      <w:bookmarkStart w:id="128" w:name="_Toc21804"/>
      <w:bookmarkStart w:id="129" w:name="_Toc2009"/>
      <w:bookmarkStart w:id="130" w:name="_Toc452032128"/>
      <w:r>
        <w:rPr>
          <w:rFonts w:hint="eastAsia"/>
        </w:rPr>
        <w:t>格式2、关于投标文件所有内容真实可靠的声明书</w:t>
      </w:r>
      <w:bookmarkEnd w:id="127"/>
      <w:bookmarkEnd w:id="128"/>
      <w:bookmarkEnd w:id="129"/>
      <w:bookmarkEnd w:id="130"/>
    </w:p>
    <w:p>
      <w:pPr>
        <w:rPr>
          <w:color w:val="000000"/>
        </w:rPr>
      </w:pPr>
    </w:p>
    <w:p>
      <w:pPr>
        <w:jc w:val="center"/>
        <w:rPr>
          <w:rFonts w:ascii="华文中宋" w:hAnsi="华文中宋" w:eastAsia="华文中宋" w:cs="Arial"/>
          <w:b/>
          <w:color w:val="000000"/>
          <w:kern w:val="0"/>
          <w:sz w:val="36"/>
          <w:szCs w:val="32"/>
        </w:rPr>
      </w:pPr>
    </w:p>
    <w:p>
      <w:pPr>
        <w:jc w:val="center"/>
        <w:rPr>
          <w:rFonts w:ascii="华文中宋" w:hAnsi="华文中宋" w:eastAsia="华文中宋" w:cs="Arial"/>
          <w:b/>
          <w:color w:val="000000"/>
          <w:kern w:val="0"/>
          <w:sz w:val="36"/>
          <w:szCs w:val="32"/>
        </w:rPr>
      </w:pPr>
      <w:r>
        <w:rPr>
          <w:rFonts w:hint="eastAsia" w:ascii="华文中宋" w:hAnsi="华文中宋" w:eastAsia="华文中宋" w:cs="Arial"/>
          <w:b/>
          <w:color w:val="000000"/>
          <w:kern w:val="0"/>
          <w:sz w:val="36"/>
          <w:szCs w:val="32"/>
        </w:rPr>
        <w:t>关于投标文件所有内容真实可靠的书面声明</w:t>
      </w:r>
    </w:p>
    <w:p>
      <w:pPr>
        <w:rPr>
          <w:rFonts w:ascii="Arial" w:hAnsi="新宋体" w:cs="Arial"/>
          <w:b/>
          <w:color w:val="000000"/>
          <w:kern w:val="0"/>
          <w:szCs w:val="28"/>
          <w:u w:val="single"/>
        </w:rPr>
      </w:pPr>
    </w:p>
    <w:p>
      <w:pPr>
        <w:rPr>
          <w:rFonts w:ascii="华文中宋" w:hAnsi="华文中宋" w:eastAsia="华文中宋" w:cs="Arial"/>
          <w:b/>
          <w:color w:val="000000"/>
          <w:kern w:val="0"/>
          <w:sz w:val="28"/>
          <w:szCs w:val="28"/>
          <w:u w:val="single"/>
        </w:rPr>
      </w:pPr>
      <w:r>
        <w:rPr>
          <w:rFonts w:hint="eastAsia" w:ascii="华文中宋" w:hAnsi="华文中宋" w:eastAsia="华文中宋" w:cs="Arial"/>
          <w:b/>
          <w:color w:val="000000"/>
          <w:w w:val="90"/>
          <w:kern w:val="0"/>
          <w:szCs w:val="22"/>
          <w:u w:val="single"/>
        </w:rPr>
        <w:t>苍南县人民法院、杭州华旗招标代理有限公司</w:t>
      </w:r>
    </w:p>
    <w:p>
      <w:pPr>
        <w:rPr>
          <w:rFonts w:ascii="华文中宋" w:hAnsi="华文中宋" w:eastAsia="华文中宋" w:cs="Arial"/>
          <w:color w:val="000000"/>
          <w:kern w:val="0"/>
          <w:sz w:val="28"/>
          <w:szCs w:val="28"/>
        </w:rPr>
      </w:pPr>
    </w:p>
    <w:p>
      <w:pPr>
        <w:ind w:firstLine="480" w:firstLineChars="200"/>
        <w:rPr>
          <w:rFonts w:ascii="华文中宋" w:hAnsi="华文中宋" w:eastAsia="华文中宋" w:cs="Arial"/>
          <w:color w:val="000000"/>
          <w:kern w:val="0"/>
          <w:szCs w:val="22"/>
        </w:rPr>
      </w:pPr>
      <w:r>
        <w:rPr>
          <w:rFonts w:hint="eastAsia" w:ascii="华文中宋" w:hAnsi="华文中宋" w:eastAsia="华文中宋" w:cs="Arial"/>
          <w:color w:val="000000"/>
          <w:kern w:val="0"/>
          <w:szCs w:val="22"/>
        </w:rPr>
        <w:t>我单位郑重声明，我公司参加</w:t>
      </w:r>
      <w:r>
        <w:rPr>
          <w:rFonts w:hint="eastAsia" w:ascii="华文中宋" w:hAnsi="华文中宋" w:eastAsia="华文中宋" w:cs="Arial"/>
          <w:b/>
          <w:color w:val="000000"/>
          <w:kern w:val="0"/>
          <w:szCs w:val="22"/>
          <w:u w:val="single"/>
          <w:lang w:eastAsia="zh-CN"/>
        </w:rPr>
        <w:t>苍南县人民法院2024年度公款竞争性存放项目</w:t>
      </w:r>
      <w:r>
        <w:rPr>
          <w:rFonts w:hint="eastAsia" w:ascii="华文中宋" w:hAnsi="华文中宋" w:eastAsia="华文中宋" w:cs="Arial"/>
          <w:b/>
          <w:color w:val="000000"/>
          <w:kern w:val="0"/>
          <w:szCs w:val="22"/>
          <w:u w:val="single"/>
        </w:rPr>
        <w:t>（招标编号：</w:t>
      </w:r>
      <w:r>
        <w:rPr>
          <w:rFonts w:hint="eastAsia" w:ascii="华文中宋" w:hAnsi="华文中宋" w:eastAsia="华文中宋" w:cs="Arial"/>
          <w:b/>
          <w:color w:val="000000"/>
          <w:kern w:val="0"/>
          <w:szCs w:val="22"/>
          <w:u w:val="single"/>
          <w:lang w:eastAsia="zh-CN"/>
        </w:rPr>
        <w:t>苍产告字[2024]04号</w:t>
      </w:r>
      <w:r>
        <w:rPr>
          <w:rFonts w:hint="eastAsia" w:ascii="华文中宋" w:hAnsi="华文中宋" w:eastAsia="华文中宋" w:cs="Arial"/>
          <w:b/>
          <w:color w:val="000000"/>
          <w:kern w:val="0"/>
          <w:szCs w:val="22"/>
          <w:u w:val="single"/>
        </w:rPr>
        <w:t>）</w:t>
      </w:r>
      <w:r>
        <w:rPr>
          <w:rFonts w:hint="eastAsia" w:ascii="华文中宋" w:hAnsi="华文中宋" w:eastAsia="华文中宋" w:cs="Arial"/>
          <w:color w:val="000000"/>
          <w:kern w:val="0"/>
          <w:szCs w:val="22"/>
        </w:rPr>
        <w:t>活动中所提交的投标文件所有内容真实、可靠，不存在虚假、造假行为。如有违反，愿承担一切责任。</w:t>
      </w:r>
    </w:p>
    <w:p>
      <w:pPr>
        <w:ind w:firstLine="480" w:firstLineChars="200"/>
        <w:rPr>
          <w:rFonts w:ascii="华文中宋" w:hAnsi="华文中宋" w:eastAsia="华文中宋" w:cs="Arial"/>
          <w:color w:val="000000"/>
          <w:kern w:val="0"/>
          <w:szCs w:val="22"/>
        </w:rPr>
      </w:pPr>
    </w:p>
    <w:p>
      <w:pPr>
        <w:ind w:firstLine="480" w:firstLineChars="200"/>
        <w:rPr>
          <w:rFonts w:ascii="华文中宋" w:hAnsi="华文中宋" w:eastAsia="华文中宋" w:cs="Arial"/>
          <w:color w:val="000000"/>
          <w:kern w:val="0"/>
          <w:sz w:val="22"/>
          <w:szCs w:val="22"/>
        </w:rPr>
      </w:pPr>
      <w:r>
        <w:rPr>
          <w:rFonts w:hint="eastAsia" w:ascii="华文中宋" w:hAnsi="华文中宋" w:eastAsia="华文中宋" w:cs="Arial"/>
          <w:color w:val="000000"/>
          <w:kern w:val="0"/>
          <w:szCs w:val="22"/>
        </w:rPr>
        <w:t>特此声明</w:t>
      </w:r>
    </w:p>
    <w:p>
      <w:pPr>
        <w:ind w:firstLine="480" w:firstLineChars="200"/>
        <w:rPr>
          <w:rFonts w:ascii="Arial" w:hAnsi="新宋体" w:cs="Arial"/>
          <w:color w:val="000000"/>
          <w:kern w:val="0"/>
          <w:szCs w:val="22"/>
        </w:rPr>
      </w:pPr>
    </w:p>
    <w:p>
      <w:pPr>
        <w:ind w:firstLine="480" w:firstLineChars="200"/>
        <w:rPr>
          <w:rFonts w:ascii="Arial" w:hAnsi="新宋体" w:cs="Arial"/>
          <w:color w:val="000000"/>
          <w:kern w:val="0"/>
          <w:szCs w:val="22"/>
        </w:rPr>
      </w:pPr>
    </w:p>
    <w:p>
      <w:pPr>
        <w:ind w:firstLine="480" w:firstLineChars="200"/>
        <w:rPr>
          <w:rFonts w:ascii="Arial" w:hAnsi="新宋体" w:cs="Arial"/>
          <w:color w:val="000000"/>
          <w:kern w:val="0"/>
          <w:szCs w:val="22"/>
        </w:rPr>
      </w:pPr>
    </w:p>
    <w:p>
      <w:pPr>
        <w:snapToGrid w:val="0"/>
        <w:rPr>
          <w:rFonts w:ascii="华文中宋" w:hAnsi="华文中宋" w:eastAsia="华文中宋" w:cs="Arial"/>
          <w:color w:val="000000"/>
          <w:szCs w:val="22"/>
        </w:rPr>
      </w:pPr>
      <w:r>
        <w:rPr>
          <w:rFonts w:hint="eastAsia" w:ascii="华文中宋" w:hAnsi="华文中宋" w:eastAsia="华文中宋" w:cs="Arial"/>
          <w:color w:val="000000"/>
          <w:szCs w:val="22"/>
        </w:rPr>
        <w:t>投标银行名称（盖章）：</w:t>
      </w:r>
      <w:r>
        <w:rPr>
          <w:rFonts w:hint="eastAsia" w:ascii="华文中宋" w:hAnsi="华文中宋" w:eastAsia="华文中宋" w:cs="Arial"/>
          <w:color w:val="000000"/>
          <w:szCs w:val="22"/>
          <w:u w:val="single"/>
        </w:rPr>
        <w:t xml:space="preserve">                            </w:t>
      </w:r>
    </w:p>
    <w:p>
      <w:pPr>
        <w:snapToGrid w:val="0"/>
        <w:rPr>
          <w:rFonts w:ascii="华文中宋" w:hAnsi="华文中宋" w:eastAsia="华文中宋" w:cs="Arial"/>
          <w:color w:val="000000"/>
          <w:szCs w:val="22"/>
        </w:rPr>
      </w:pPr>
      <w:r>
        <w:rPr>
          <w:rFonts w:hint="eastAsia" w:ascii="华文中宋" w:hAnsi="华文中宋" w:eastAsia="华文中宋" w:cs="Arial"/>
          <w:color w:val="000000"/>
          <w:szCs w:val="22"/>
        </w:rPr>
        <w:t>法定代表人或其授权代表（签字或盖章）：</w:t>
      </w:r>
      <w:r>
        <w:rPr>
          <w:rFonts w:hint="eastAsia" w:ascii="华文中宋" w:hAnsi="华文中宋" w:eastAsia="华文中宋" w:cs="Arial"/>
          <w:color w:val="000000"/>
          <w:szCs w:val="22"/>
          <w:u w:val="single"/>
        </w:rPr>
        <w:t xml:space="preserve">                </w:t>
      </w:r>
    </w:p>
    <w:p>
      <w:pPr>
        <w:rPr>
          <w:rFonts w:ascii="Arial" w:hAnsi="Arial" w:cs="Arial"/>
          <w:color w:val="000000"/>
          <w:sz w:val="22"/>
          <w:szCs w:val="22"/>
          <w:u w:val="single"/>
        </w:rPr>
      </w:pPr>
      <w:r>
        <w:rPr>
          <w:rFonts w:hint="eastAsia" w:ascii="华文中宋" w:hAnsi="华文中宋" w:eastAsia="华文中宋" w:cs="Arial"/>
          <w:color w:val="000000"/>
          <w:szCs w:val="22"/>
        </w:rPr>
        <w:t>日期：</w:t>
      </w:r>
      <w:r>
        <w:rPr>
          <w:rFonts w:hint="eastAsia" w:ascii="华文中宋" w:hAnsi="华文中宋" w:eastAsia="华文中宋" w:cs="Arial"/>
          <w:color w:val="000000"/>
          <w:szCs w:val="22"/>
          <w:u w:val="single"/>
        </w:rPr>
        <w:t xml:space="preserve">                                         </w:t>
      </w:r>
    </w:p>
    <w:p>
      <w:pPr>
        <w:rPr>
          <w:rFonts w:ascii="Arial" w:hAnsi="Arial" w:cs="Arial"/>
          <w:color w:val="000000"/>
          <w:sz w:val="22"/>
          <w:szCs w:val="22"/>
          <w:u w:val="single"/>
        </w:rPr>
      </w:pPr>
    </w:p>
    <w:p>
      <w:pPr>
        <w:pStyle w:val="3"/>
      </w:pPr>
      <w:r>
        <w:rPr>
          <w:rFonts w:ascii="Arial" w:hAnsi="Arial" w:cs="Arial"/>
          <w:color w:val="000000"/>
          <w:sz w:val="22"/>
          <w:szCs w:val="22"/>
          <w:u w:val="single"/>
        </w:rPr>
        <w:br w:type="page"/>
      </w:r>
      <w:bookmarkStart w:id="131" w:name="_Toc24457"/>
      <w:bookmarkStart w:id="132" w:name="_Toc452032129"/>
      <w:bookmarkStart w:id="133" w:name="_Toc25776"/>
      <w:bookmarkStart w:id="134" w:name="_Toc2601"/>
      <w:r>
        <w:rPr>
          <w:rFonts w:hint="eastAsia"/>
        </w:rPr>
        <w:t>格式3、投标函</w:t>
      </w:r>
      <w:bookmarkEnd w:id="131"/>
      <w:bookmarkEnd w:id="132"/>
      <w:bookmarkEnd w:id="133"/>
      <w:bookmarkEnd w:id="134"/>
    </w:p>
    <w:p>
      <w:pPr>
        <w:jc w:val="center"/>
        <w:rPr>
          <w:rFonts w:ascii="华文中宋" w:hAnsi="华文中宋" w:eastAsia="华文中宋"/>
          <w:b/>
          <w:color w:val="000000"/>
          <w:sz w:val="44"/>
          <w:szCs w:val="44"/>
        </w:rPr>
      </w:pPr>
      <w:r>
        <w:rPr>
          <w:rFonts w:ascii="华文中宋" w:hAnsi="华文中宋" w:eastAsia="华文中宋"/>
          <w:b/>
          <w:color w:val="000000"/>
          <w:sz w:val="44"/>
          <w:szCs w:val="44"/>
        </w:rPr>
        <w:t>投标函</w:t>
      </w:r>
    </w:p>
    <w:p>
      <w:pPr>
        <w:rPr>
          <w:rFonts w:ascii="宋体" w:hAnsi="宋体" w:eastAsia="宋体" w:cs="Arial"/>
          <w:color w:val="000000"/>
          <w:w w:val="90"/>
          <w:kern w:val="0"/>
          <w:sz w:val="22"/>
          <w:szCs w:val="22"/>
        </w:rPr>
      </w:pPr>
      <w:r>
        <w:rPr>
          <w:rFonts w:hint="eastAsia" w:ascii="宋体" w:hAnsi="宋体" w:eastAsia="宋体" w:cs="Arial"/>
          <w:b/>
          <w:color w:val="000000"/>
          <w:w w:val="90"/>
          <w:kern w:val="0"/>
          <w:sz w:val="22"/>
          <w:szCs w:val="22"/>
          <w:u w:val="single"/>
        </w:rPr>
        <w:t>苍南县人民法院、杭州华旗招标代理有限公司</w:t>
      </w:r>
      <w:r>
        <w:rPr>
          <w:rFonts w:ascii="宋体" w:hAnsi="宋体" w:eastAsia="宋体" w:cs="Arial"/>
          <w:b/>
          <w:color w:val="000000"/>
          <w:w w:val="90"/>
          <w:kern w:val="0"/>
          <w:sz w:val="22"/>
          <w:szCs w:val="22"/>
        </w:rPr>
        <w:t>：</w:t>
      </w:r>
    </w:p>
    <w:p>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根据贵方为</w:t>
      </w:r>
      <w:r>
        <w:rPr>
          <w:rFonts w:hint="eastAsia" w:ascii="宋体" w:hAnsi="宋体" w:eastAsia="宋体" w:cs="Arial"/>
          <w:b/>
          <w:color w:val="000000"/>
          <w:w w:val="90"/>
          <w:kern w:val="0"/>
          <w:sz w:val="22"/>
          <w:szCs w:val="22"/>
          <w:u w:val="single"/>
          <w:lang w:eastAsia="zh-CN"/>
        </w:rPr>
        <w:t>苍南县人民法院2024年度公款竞争性存放项目</w:t>
      </w:r>
      <w:r>
        <w:rPr>
          <w:rFonts w:ascii="宋体" w:hAnsi="宋体" w:eastAsia="宋体" w:cs="Arial"/>
          <w:color w:val="000000"/>
          <w:w w:val="90"/>
          <w:kern w:val="0"/>
          <w:sz w:val="22"/>
          <w:szCs w:val="22"/>
        </w:rPr>
        <w:t>的</w:t>
      </w:r>
      <w:r>
        <w:rPr>
          <w:rFonts w:hint="eastAsia" w:ascii="宋体" w:hAnsi="宋体" w:eastAsia="宋体" w:cs="Arial"/>
          <w:color w:val="000000"/>
          <w:w w:val="90"/>
          <w:kern w:val="0"/>
          <w:sz w:val="22"/>
          <w:szCs w:val="22"/>
        </w:rPr>
        <w:t>招标</w:t>
      </w:r>
      <w:r>
        <w:rPr>
          <w:rFonts w:ascii="宋体" w:hAnsi="宋体" w:eastAsia="宋体" w:cs="Arial"/>
          <w:color w:val="000000"/>
          <w:w w:val="90"/>
          <w:kern w:val="0"/>
          <w:sz w:val="22"/>
          <w:szCs w:val="22"/>
        </w:rPr>
        <w:t>公告（项目编号：</w:t>
      </w:r>
      <w:r>
        <w:rPr>
          <w:rFonts w:hint="eastAsia" w:ascii="宋体" w:hAnsi="宋体" w:eastAsia="宋体" w:cs="Arial"/>
          <w:b/>
          <w:color w:val="000000"/>
          <w:w w:val="90"/>
          <w:kern w:val="0"/>
          <w:sz w:val="22"/>
          <w:szCs w:val="22"/>
          <w:u w:val="single"/>
          <w:lang w:eastAsia="zh-CN"/>
        </w:rPr>
        <w:t>苍产告字[2024]04号</w:t>
      </w:r>
      <w:r>
        <w:rPr>
          <w:rFonts w:ascii="宋体" w:hAnsi="宋体" w:eastAsia="宋体" w:cs="Arial"/>
          <w:color w:val="000000"/>
          <w:w w:val="90"/>
          <w:kern w:val="0"/>
          <w:sz w:val="22"/>
          <w:szCs w:val="22"/>
        </w:rPr>
        <w:t>），</w:t>
      </w:r>
      <w:r>
        <w:rPr>
          <w:rFonts w:hint="eastAsia" w:ascii="宋体" w:hAnsi="宋体" w:eastAsia="宋体" w:cs="Arial"/>
          <w:color w:val="000000"/>
          <w:w w:val="90"/>
          <w:kern w:val="0"/>
          <w:sz w:val="22"/>
          <w:szCs w:val="22"/>
        </w:rPr>
        <w:t>我方</w:t>
      </w:r>
      <w:r>
        <w:rPr>
          <w:rFonts w:ascii="宋体" w:hAnsi="宋体" w:eastAsia="宋体" w:cs="Arial"/>
          <w:color w:val="000000"/>
          <w:w w:val="90"/>
          <w:kern w:val="0"/>
          <w:sz w:val="22"/>
          <w:szCs w:val="22"/>
        </w:rPr>
        <w:t>签字代表____________（全名）经正式授权并代表投标银行________________（投标银行名称）参与本次项目的投标，同时按《招标文件》要求提交投标文件。</w:t>
      </w:r>
      <w:r>
        <w:rPr>
          <w:rFonts w:ascii="宋体" w:hAnsi="宋体" w:eastAsia="宋体" w:cs="Arial"/>
          <w:b/>
          <w:color w:val="000000"/>
          <w:w w:val="90"/>
          <w:kern w:val="0"/>
          <w:sz w:val="22"/>
          <w:szCs w:val="22"/>
        </w:rPr>
        <w:t>据此函，签字代表宣布同意如下：</w:t>
      </w:r>
    </w:p>
    <w:p>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1、我方已详细</w:t>
      </w:r>
      <w:r>
        <w:rPr>
          <w:rFonts w:hint="eastAsia" w:ascii="宋体" w:hAnsi="宋体" w:eastAsia="宋体" w:cs="Arial"/>
          <w:color w:val="000000"/>
          <w:w w:val="90"/>
          <w:kern w:val="0"/>
          <w:sz w:val="22"/>
          <w:szCs w:val="22"/>
        </w:rPr>
        <w:t>阅读</w:t>
      </w:r>
      <w:r>
        <w:rPr>
          <w:rFonts w:ascii="宋体" w:hAnsi="宋体" w:eastAsia="宋体" w:cs="Arial"/>
          <w:color w:val="000000"/>
          <w:w w:val="90"/>
          <w:kern w:val="0"/>
          <w:sz w:val="22"/>
          <w:szCs w:val="22"/>
        </w:rPr>
        <w:t>全部《招标文件》，包括</w:t>
      </w:r>
      <w:r>
        <w:rPr>
          <w:rFonts w:hint="eastAsia" w:ascii="宋体" w:hAnsi="宋体" w:eastAsia="宋体" w:cs="Arial"/>
          <w:color w:val="000000"/>
          <w:w w:val="90"/>
          <w:kern w:val="0"/>
          <w:sz w:val="22"/>
          <w:szCs w:val="22"/>
        </w:rPr>
        <w:t>补充（更正）</w:t>
      </w:r>
      <w:r>
        <w:rPr>
          <w:rFonts w:ascii="宋体" w:hAnsi="宋体" w:eastAsia="宋体" w:cs="Arial"/>
          <w:color w:val="000000"/>
          <w:w w:val="90"/>
          <w:kern w:val="0"/>
          <w:sz w:val="22"/>
          <w:szCs w:val="22"/>
        </w:rPr>
        <w:t>文件（如有）以及全部参考资料和有关附件，我方已经了解对于《招标文件》、</w:t>
      </w:r>
      <w:r>
        <w:rPr>
          <w:rFonts w:hint="eastAsia" w:ascii="宋体" w:hAnsi="宋体" w:eastAsia="宋体" w:cs="Arial"/>
          <w:color w:val="000000"/>
          <w:w w:val="90"/>
          <w:kern w:val="0"/>
          <w:sz w:val="22"/>
          <w:szCs w:val="22"/>
        </w:rPr>
        <w:t>招标</w:t>
      </w:r>
      <w:r>
        <w:rPr>
          <w:rFonts w:ascii="宋体" w:hAnsi="宋体" w:eastAsia="宋体" w:cs="Arial"/>
          <w:color w:val="000000"/>
          <w:w w:val="90"/>
          <w:kern w:val="0"/>
          <w:sz w:val="22"/>
          <w:szCs w:val="22"/>
        </w:rPr>
        <w:t>过程、</w:t>
      </w:r>
      <w:r>
        <w:rPr>
          <w:rFonts w:hint="eastAsia" w:ascii="宋体" w:hAnsi="宋体" w:eastAsia="宋体" w:cs="Arial"/>
          <w:color w:val="000000"/>
          <w:w w:val="90"/>
          <w:kern w:val="0"/>
          <w:sz w:val="22"/>
          <w:szCs w:val="22"/>
        </w:rPr>
        <w:t>招标</w:t>
      </w:r>
      <w:r>
        <w:rPr>
          <w:rFonts w:ascii="宋体" w:hAnsi="宋体" w:eastAsia="宋体" w:cs="Arial"/>
          <w:color w:val="000000"/>
          <w:w w:val="90"/>
          <w:kern w:val="0"/>
          <w:sz w:val="22"/>
          <w:szCs w:val="22"/>
        </w:rPr>
        <w:t>结果有依法进行询问、质疑、投诉的权利及相关渠道和要求。</w:t>
      </w:r>
    </w:p>
    <w:p>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2、我方向贵方提交的所有《投标文件》、资料都是准确和真实的；</w:t>
      </w:r>
    </w:p>
    <w:p>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3、我方不是</w:t>
      </w:r>
      <w:r>
        <w:rPr>
          <w:rFonts w:hint="eastAsia" w:ascii="宋体" w:hAnsi="宋体" w:eastAsia="宋体" w:cs="Arial"/>
          <w:color w:val="000000"/>
          <w:w w:val="90"/>
          <w:kern w:val="0"/>
          <w:sz w:val="22"/>
          <w:szCs w:val="22"/>
        </w:rPr>
        <w:t>招标人</w:t>
      </w:r>
      <w:r>
        <w:rPr>
          <w:rFonts w:ascii="宋体" w:hAnsi="宋体" w:eastAsia="宋体" w:cs="Arial"/>
          <w:color w:val="000000"/>
          <w:w w:val="90"/>
          <w:kern w:val="0"/>
          <w:sz w:val="22"/>
          <w:szCs w:val="22"/>
        </w:rPr>
        <w:t>的附属机构；在获知本项目</w:t>
      </w:r>
      <w:r>
        <w:rPr>
          <w:rFonts w:hint="eastAsia" w:ascii="宋体" w:hAnsi="宋体" w:eastAsia="宋体" w:cs="Arial"/>
          <w:color w:val="000000"/>
          <w:w w:val="90"/>
          <w:kern w:val="0"/>
          <w:sz w:val="22"/>
          <w:szCs w:val="22"/>
        </w:rPr>
        <w:t>招标</w:t>
      </w:r>
      <w:r>
        <w:rPr>
          <w:rFonts w:ascii="宋体" w:hAnsi="宋体" w:eastAsia="宋体" w:cs="Arial"/>
          <w:color w:val="000000"/>
          <w:w w:val="90"/>
          <w:kern w:val="0"/>
          <w:sz w:val="22"/>
          <w:szCs w:val="22"/>
        </w:rPr>
        <w:t>信息后，与</w:t>
      </w:r>
      <w:r>
        <w:rPr>
          <w:rFonts w:hint="eastAsia" w:ascii="宋体" w:hAnsi="宋体" w:eastAsia="宋体" w:cs="Arial"/>
          <w:color w:val="000000"/>
          <w:w w:val="90"/>
          <w:kern w:val="0"/>
          <w:sz w:val="22"/>
          <w:szCs w:val="22"/>
        </w:rPr>
        <w:t>招标人</w:t>
      </w:r>
      <w:r>
        <w:rPr>
          <w:rFonts w:ascii="宋体" w:hAnsi="宋体" w:eastAsia="宋体" w:cs="Arial"/>
          <w:color w:val="000000"/>
          <w:w w:val="90"/>
          <w:kern w:val="0"/>
          <w:sz w:val="22"/>
          <w:szCs w:val="22"/>
        </w:rPr>
        <w:t>聘请的为此项目提供咨询服务的公司及其附属机构没有任何</w:t>
      </w:r>
      <w:r>
        <w:rPr>
          <w:rFonts w:hint="eastAsia" w:ascii="宋体" w:hAnsi="宋体" w:eastAsia="宋体" w:cs="Arial"/>
          <w:color w:val="000000"/>
          <w:w w:val="90"/>
          <w:kern w:val="0"/>
          <w:sz w:val="22"/>
          <w:szCs w:val="22"/>
        </w:rPr>
        <w:t>关系；</w:t>
      </w:r>
    </w:p>
    <w:p>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4、我方在投标之前已经与贵方进行了充分的沟通，完全理解并接受《招标文件》的各项规定和要求，对《招标文件》的合理性、合法性不再有异议；</w:t>
      </w:r>
    </w:p>
    <w:p>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5、我方将按《招标文件》的规定履行合同责任和义务；</w:t>
      </w:r>
    </w:p>
    <w:p>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6、我方此次报价以我方《投标一览表》所列为准；</w:t>
      </w:r>
    </w:p>
    <w:p>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7、本投标</w:t>
      </w:r>
      <w:r>
        <w:rPr>
          <w:rFonts w:hint="eastAsia" w:ascii="宋体" w:hAnsi="宋体" w:eastAsia="宋体" w:cs="Arial"/>
          <w:color w:val="000000"/>
          <w:w w:val="90"/>
          <w:kern w:val="0"/>
          <w:sz w:val="22"/>
          <w:szCs w:val="22"/>
        </w:rPr>
        <w:t>文件</w:t>
      </w:r>
      <w:r>
        <w:rPr>
          <w:rFonts w:ascii="宋体" w:hAnsi="宋体" w:eastAsia="宋体" w:cs="Arial"/>
          <w:color w:val="000000"/>
          <w:w w:val="90"/>
          <w:kern w:val="0"/>
          <w:sz w:val="22"/>
          <w:szCs w:val="22"/>
        </w:rPr>
        <w:t>有效期</w:t>
      </w:r>
      <w:r>
        <w:rPr>
          <w:rFonts w:hint="eastAsia" w:ascii="宋体" w:hAnsi="宋体" w:eastAsia="宋体" w:cs="Arial"/>
          <w:color w:val="000000"/>
          <w:w w:val="90"/>
          <w:kern w:val="0"/>
          <w:sz w:val="22"/>
          <w:szCs w:val="22"/>
        </w:rPr>
        <w:t>为</w:t>
      </w:r>
      <w:r>
        <w:rPr>
          <w:rFonts w:ascii="宋体" w:hAnsi="宋体" w:eastAsia="宋体" w:cs="Arial"/>
          <w:color w:val="000000"/>
          <w:w w:val="90"/>
          <w:kern w:val="0"/>
          <w:sz w:val="22"/>
          <w:szCs w:val="22"/>
        </w:rPr>
        <w:t>自投标截止之日起</w:t>
      </w:r>
      <w:r>
        <w:rPr>
          <w:rFonts w:ascii="宋体" w:hAnsi="宋体" w:eastAsia="宋体" w:cs="Arial"/>
          <w:color w:val="000000"/>
          <w:w w:val="90"/>
          <w:kern w:val="0"/>
          <w:sz w:val="22"/>
          <w:szCs w:val="22"/>
          <w:u w:val="single"/>
        </w:rPr>
        <w:t xml:space="preserve"> </w:t>
      </w:r>
      <w:r>
        <w:rPr>
          <w:rFonts w:hint="eastAsia" w:ascii="宋体" w:hAnsi="宋体" w:eastAsia="宋体" w:cs="Arial"/>
          <w:color w:val="000000"/>
          <w:w w:val="90"/>
          <w:kern w:val="0"/>
          <w:sz w:val="22"/>
          <w:szCs w:val="22"/>
          <w:u w:val="single"/>
        </w:rPr>
        <w:t>6</w:t>
      </w:r>
      <w:r>
        <w:rPr>
          <w:rFonts w:ascii="宋体" w:hAnsi="宋体" w:eastAsia="宋体" w:cs="Arial"/>
          <w:color w:val="000000"/>
          <w:w w:val="90"/>
          <w:kern w:val="0"/>
          <w:sz w:val="22"/>
          <w:szCs w:val="22"/>
          <w:u w:val="single"/>
        </w:rPr>
        <w:t>0个</w:t>
      </w:r>
      <w:r>
        <w:rPr>
          <w:rFonts w:ascii="宋体" w:hAnsi="宋体" w:eastAsia="宋体" w:cs="Arial"/>
          <w:color w:val="000000"/>
          <w:w w:val="90"/>
          <w:kern w:val="0"/>
          <w:sz w:val="22"/>
          <w:szCs w:val="22"/>
        </w:rPr>
        <w:t>日历日。</w:t>
      </w:r>
    </w:p>
    <w:p>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8、如中标</w:t>
      </w:r>
      <w:r>
        <w:rPr>
          <w:rFonts w:hint="eastAsia" w:ascii="宋体" w:hAnsi="宋体" w:eastAsia="宋体" w:cs="Arial"/>
          <w:color w:val="000000"/>
          <w:w w:val="90"/>
          <w:kern w:val="0"/>
          <w:sz w:val="22"/>
          <w:szCs w:val="22"/>
        </w:rPr>
        <w:t>（成交）</w:t>
      </w:r>
      <w:r>
        <w:rPr>
          <w:rFonts w:ascii="宋体" w:hAnsi="宋体" w:eastAsia="宋体" w:cs="Arial"/>
          <w:color w:val="000000"/>
          <w:w w:val="90"/>
          <w:kern w:val="0"/>
          <w:sz w:val="22"/>
          <w:szCs w:val="22"/>
        </w:rPr>
        <w:t>，本《投标文件》至本项目合同履行完毕止均保持有效，</w:t>
      </w:r>
      <w:r>
        <w:rPr>
          <w:rFonts w:hint="eastAsia" w:ascii="宋体" w:hAnsi="宋体" w:eastAsia="宋体" w:cs="Arial"/>
          <w:color w:val="000000"/>
          <w:w w:val="90"/>
          <w:kern w:val="0"/>
          <w:sz w:val="22"/>
          <w:szCs w:val="22"/>
        </w:rPr>
        <w:t>我方</w:t>
      </w:r>
      <w:r>
        <w:rPr>
          <w:rFonts w:ascii="宋体" w:hAnsi="宋体" w:eastAsia="宋体" w:cs="Arial"/>
          <w:color w:val="000000"/>
          <w:w w:val="90"/>
          <w:kern w:val="0"/>
          <w:sz w:val="22"/>
          <w:szCs w:val="22"/>
        </w:rPr>
        <w:t>将按《招标文件》</w:t>
      </w:r>
      <w:r>
        <w:rPr>
          <w:rFonts w:hint="eastAsia" w:ascii="宋体" w:hAnsi="宋体" w:eastAsia="宋体" w:cs="Arial"/>
          <w:color w:val="000000"/>
          <w:w w:val="90"/>
          <w:kern w:val="0"/>
          <w:sz w:val="22"/>
          <w:szCs w:val="22"/>
        </w:rPr>
        <w:t>、投标文件承诺以及根据《浙江省财政厅关于印发浙江省省级行政事业单位公款竞争性存放管理办法的通知》（浙财预执〔2021〕7号）、《苍南县县级预算单位公款竞争性存放管理暂行办法》（苍政办〔2019〕7号）公款存放相关规定履行合同责任和义务。</w:t>
      </w:r>
    </w:p>
    <w:p>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9、我方同意按照贵方要求提供与投标有关的一切数据或资料。</w:t>
      </w:r>
    </w:p>
    <w:p>
      <w:pPr>
        <w:ind w:firstLine="380" w:firstLineChars="192"/>
        <w:rPr>
          <w:rFonts w:ascii="Arial" w:hAnsi="Arial" w:cs="Arial"/>
          <w:color w:val="000000"/>
          <w:w w:val="90"/>
          <w:kern w:val="0"/>
          <w:sz w:val="22"/>
          <w:szCs w:val="22"/>
          <w:u w:val="single"/>
        </w:rPr>
      </w:pPr>
      <w:r>
        <w:rPr>
          <w:rFonts w:ascii="Arial" w:hAnsi="新宋体" w:cs="Arial"/>
          <w:color w:val="000000"/>
          <w:w w:val="90"/>
          <w:kern w:val="0"/>
          <w:sz w:val="22"/>
          <w:szCs w:val="22"/>
        </w:rPr>
        <w:t>投标银行名称（公章）：</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p>
    <w:p>
      <w:pPr>
        <w:ind w:firstLine="380" w:firstLineChars="192"/>
        <w:rPr>
          <w:rFonts w:ascii="Arial" w:hAnsi="Arial" w:cs="Arial"/>
          <w:color w:val="000000"/>
          <w:w w:val="90"/>
          <w:kern w:val="0"/>
          <w:sz w:val="22"/>
          <w:szCs w:val="22"/>
          <w:u w:val="single"/>
        </w:rPr>
      </w:pPr>
      <w:r>
        <w:rPr>
          <w:rFonts w:hint="eastAsia" w:ascii="Arial" w:hAnsi="新宋体" w:cs="Arial"/>
          <w:color w:val="000000"/>
          <w:w w:val="90"/>
          <w:kern w:val="0"/>
          <w:sz w:val="22"/>
          <w:szCs w:val="22"/>
        </w:rPr>
        <w:t>法定代表人</w:t>
      </w:r>
      <w:r>
        <w:rPr>
          <w:rFonts w:ascii="Arial" w:hAnsi="新宋体" w:cs="Arial"/>
          <w:color w:val="000000"/>
          <w:w w:val="90"/>
          <w:kern w:val="0"/>
          <w:sz w:val="22"/>
          <w:szCs w:val="22"/>
        </w:rPr>
        <w:t>或授权代表姓名：</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ascii="Arial" w:hAnsi="Arial" w:cs="Arial"/>
          <w:color w:val="000000"/>
          <w:w w:val="90"/>
          <w:kern w:val="0"/>
          <w:sz w:val="22"/>
          <w:szCs w:val="22"/>
        </w:rPr>
        <w:t xml:space="preserve"> </w:t>
      </w:r>
      <w:r>
        <w:rPr>
          <w:rFonts w:ascii="Arial" w:hAnsi="新宋体" w:cs="Arial"/>
          <w:color w:val="000000"/>
          <w:w w:val="90"/>
          <w:kern w:val="0"/>
          <w:sz w:val="22"/>
          <w:szCs w:val="22"/>
        </w:rPr>
        <w:t>职务：</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p>
    <w:p>
      <w:pPr>
        <w:ind w:firstLine="380" w:firstLineChars="192"/>
        <w:rPr>
          <w:rFonts w:ascii="Arial" w:hAnsi="Arial" w:cs="Arial"/>
          <w:color w:val="000000"/>
          <w:w w:val="90"/>
          <w:kern w:val="0"/>
          <w:sz w:val="22"/>
          <w:szCs w:val="22"/>
          <w:u w:val="single"/>
        </w:rPr>
      </w:pPr>
      <w:r>
        <w:rPr>
          <w:rFonts w:hint="eastAsia" w:ascii="Arial" w:hAnsi="新宋体" w:cs="Arial"/>
          <w:color w:val="000000"/>
          <w:w w:val="90"/>
          <w:kern w:val="0"/>
          <w:sz w:val="22"/>
          <w:szCs w:val="22"/>
        </w:rPr>
        <w:t>法定代表人</w:t>
      </w:r>
      <w:r>
        <w:rPr>
          <w:rFonts w:ascii="Arial" w:hAnsi="新宋体" w:cs="Arial"/>
          <w:color w:val="000000"/>
          <w:w w:val="90"/>
          <w:kern w:val="0"/>
          <w:sz w:val="22"/>
          <w:szCs w:val="22"/>
        </w:rPr>
        <w:t>或授权代表签字（或盖章）：</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rPr>
        <w:t xml:space="preserve"> </w:t>
      </w:r>
      <w:r>
        <w:rPr>
          <w:rFonts w:hint="eastAsia" w:ascii="Arial" w:hAnsi="新宋体" w:cs="Arial"/>
          <w:color w:val="000000"/>
          <w:w w:val="90"/>
          <w:kern w:val="0"/>
          <w:sz w:val="22"/>
          <w:szCs w:val="22"/>
        </w:rPr>
        <w:t>法定代表人</w:t>
      </w:r>
      <w:r>
        <w:rPr>
          <w:rFonts w:ascii="Arial" w:hAnsi="新宋体" w:cs="Arial"/>
          <w:color w:val="000000"/>
          <w:w w:val="90"/>
          <w:kern w:val="0"/>
          <w:sz w:val="22"/>
          <w:szCs w:val="22"/>
        </w:rPr>
        <w:t>或授权代表手机号码：</w:t>
      </w:r>
      <w:r>
        <w:rPr>
          <w:rFonts w:ascii="Arial" w:hAnsi="Arial" w:cs="Arial"/>
          <w:color w:val="000000"/>
          <w:w w:val="90"/>
          <w:kern w:val="0"/>
          <w:sz w:val="22"/>
          <w:szCs w:val="22"/>
          <w:u w:val="single"/>
        </w:rPr>
        <w:t xml:space="preserve">          </w:t>
      </w:r>
    </w:p>
    <w:p>
      <w:pPr>
        <w:ind w:firstLine="380" w:firstLineChars="192"/>
        <w:rPr>
          <w:rFonts w:ascii="Arial" w:hAnsi="Arial" w:cs="Arial"/>
          <w:color w:val="000000"/>
          <w:w w:val="90"/>
          <w:kern w:val="0"/>
          <w:sz w:val="22"/>
          <w:szCs w:val="22"/>
          <w:u w:val="single"/>
        </w:rPr>
      </w:pPr>
      <w:r>
        <w:rPr>
          <w:rFonts w:ascii="Arial" w:hAnsi="新宋体" w:cs="Arial"/>
          <w:color w:val="000000"/>
          <w:w w:val="90"/>
          <w:kern w:val="0"/>
          <w:sz w:val="22"/>
          <w:szCs w:val="22"/>
        </w:rPr>
        <w:t>单位地址：</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ascii="Arial" w:hAnsi="Arial" w:cs="Arial"/>
          <w:color w:val="000000"/>
          <w:w w:val="90"/>
          <w:kern w:val="0"/>
          <w:sz w:val="22"/>
          <w:szCs w:val="22"/>
        </w:rPr>
        <w:t xml:space="preserve"> </w:t>
      </w:r>
      <w:r>
        <w:rPr>
          <w:rFonts w:ascii="Arial" w:hAnsi="新宋体" w:cs="Arial"/>
          <w:color w:val="000000"/>
          <w:w w:val="90"/>
          <w:kern w:val="0"/>
          <w:sz w:val="22"/>
          <w:szCs w:val="22"/>
        </w:rPr>
        <w:t>邮编：</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p>
    <w:p>
      <w:pPr>
        <w:ind w:firstLine="380" w:firstLineChars="192"/>
        <w:rPr>
          <w:rFonts w:ascii="Arial" w:hAnsi="Arial" w:cs="Arial"/>
          <w:color w:val="000000"/>
          <w:w w:val="90"/>
          <w:kern w:val="0"/>
          <w:sz w:val="22"/>
          <w:szCs w:val="22"/>
          <w:u w:val="single"/>
        </w:rPr>
      </w:pPr>
      <w:r>
        <w:rPr>
          <w:rFonts w:ascii="Arial" w:hAnsi="新宋体" w:cs="Arial"/>
          <w:color w:val="000000"/>
          <w:w w:val="90"/>
          <w:kern w:val="0"/>
          <w:sz w:val="22"/>
          <w:szCs w:val="22"/>
        </w:rPr>
        <w:t>单位电话：</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ascii="Arial" w:hAnsi="Arial" w:cs="Arial"/>
          <w:color w:val="000000"/>
          <w:w w:val="90"/>
          <w:kern w:val="0"/>
          <w:sz w:val="22"/>
          <w:szCs w:val="22"/>
        </w:rPr>
        <w:t xml:space="preserve"> </w:t>
      </w:r>
      <w:r>
        <w:rPr>
          <w:rFonts w:ascii="Arial" w:hAnsi="新宋体" w:cs="Arial"/>
          <w:color w:val="000000"/>
          <w:w w:val="90"/>
          <w:kern w:val="0"/>
          <w:sz w:val="22"/>
          <w:szCs w:val="22"/>
        </w:rPr>
        <w:t>单位传真：</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p>
    <w:p>
      <w:pPr>
        <w:ind w:firstLine="283" w:firstLineChars="143"/>
        <w:jc w:val="left"/>
        <w:rPr>
          <w:rFonts w:ascii="Arial" w:hAnsi="Arial" w:cs="Arial"/>
          <w:color w:val="000000"/>
          <w:w w:val="90"/>
          <w:kern w:val="0"/>
          <w:sz w:val="22"/>
          <w:szCs w:val="22"/>
        </w:rPr>
      </w:pPr>
      <w:r>
        <w:rPr>
          <w:rFonts w:hint="eastAsia" w:ascii="Arial" w:hAnsi="新宋体" w:cs="Arial"/>
          <w:color w:val="000000"/>
          <w:w w:val="90"/>
          <w:kern w:val="0"/>
          <w:sz w:val="22"/>
          <w:szCs w:val="22"/>
        </w:rPr>
        <w:t xml:space="preserve"> </w:t>
      </w:r>
      <w:r>
        <w:rPr>
          <w:rFonts w:ascii="Arial" w:hAnsi="新宋体" w:cs="Arial"/>
          <w:color w:val="000000"/>
          <w:w w:val="90"/>
          <w:kern w:val="0"/>
          <w:sz w:val="22"/>
          <w:szCs w:val="22"/>
        </w:rPr>
        <w:t>日</w:t>
      </w:r>
      <w:r>
        <w:rPr>
          <w:rFonts w:hint="eastAsia" w:ascii="Arial" w:hAnsi="新宋体" w:cs="Arial"/>
          <w:color w:val="000000"/>
          <w:w w:val="90"/>
          <w:kern w:val="0"/>
          <w:sz w:val="22"/>
          <w:szCs w:val="22"/>
        </w:rPr>
        <w:t xml:space="preserve">    </w:t>
      </w:r>
      <w:r>
        <w:rPr>
          <w:rFonts w:ascii="Arial" w:hAnsi="新宋体" w:cs="Arial"/>
          <w:color w:val="000000"/>
          <w:w w:val="90"/>
          <w:kern w:val="0"/>
          <w:sz w:val="22"/>
          <w:szCs w:val="22"/>
        </w:rPr>
        <w:t>期：</w:t>
      </w:r>
      <w:r>
        <w:rPr>
          <w:rFonts w:ascii="Arial" w:hAnsi="Arial" w:cs="Arial"/>
          <w:color w:val="000000"/>
          <w:w w:val="90"/>
          <w:kern w:val="0"/>
          <w:sz w:val="22"/>
          <w:szCs w:val="22"/>
        </w:rPr>
        <w:t xml:space="preserve">      </w:t>
      </w:r>
      <w:r>
        <w:rPr>
          <w:rFonts w:ascii="Arial" w:hAnsi="新宋体" w:cs="Arial"/>
          <w:color w:val="000000"/>
          <w:w w:val="90"/>
          <w:kern w:val="0"/>
          <w:sz w:val="22"/>
          <w:szCs w:val="22"/>
        </w:rPr>
        <w:t>年</w:t>
      </w:r>
      <w:r>
        <w:rPr>
          <w:rFonts w:ascii="Arial" w:hAnsi="Arial" w:cs="Arial"/>
          <w:color w:val="000000"/>
          <w:w w:val="90"/>
          <w:kern w:val="0"/>
          <w:sz w:val="22"/>
          <w:szCs w:val="22"/>
        </w:rPr>
        <w:t xml:space="preserve">    </w:t>
      </w:r>
      <w:r>
        <w:rPr>
          <w:rFonts w:ascii="Arial" w:hAnsi="新宋体" w:cs="Arial"/>
          <w:color w:val="000000"/>
          <w:w w:val="90"/>
          <w:kern w:val="0"/>
          <w:sz w:val="22"/>
          <w:szCs w:val="22"/>
        </w:rPr>
        <w:t>月</w:t>
      </w:r>
      <w:r>
        <w:rPr>
          <w:rFonts w:ascii="Arial" w:hAnsi="Arial" w:cs="Arial"/>
          <w:color w:val="000000"/>
          <w:w w:val="90"/>
          <w:kern w:val="0"/>
          <w:sz w:val="22"/>
          <w:szCs w:val="22"/>
        </w:rPr>
        <w:t xml:space="preserve">    </w:t>
      </w:r>
      <w:r>
        <w:rPr>
          <w:rFonts w:ascii="Arial" w:hAnsi="新宋体" w:cs="Arial"/>
          <w:color w:val="000000"/>
          <w:w w:val="90"/>
          <w:kern w:val="0"/>
          <w:sz w:val="22"/>
          <w:szCs w:val="22"/>
        </w:rPr>
        <w:t>日</w:t>
      </w:r>
    </w:p>
    <w:p>
      <w:pPr>
        <w:pStyle w:val="3"/>
      </w:pPr>
      <w:r>
        <w:br w:type="page"/>
      </w:r>
      <w:bookmarkStart w:id="135" w:name="_Toc27668"/>
      <w:bookmarkStart w:id="136" w:name="_Toc2512"/>
      <w:bookmarkStart w:id="137" w:name="_Toc452032131"/>
      <w:bookmarkStart w:id="138" w:name="_Toc28206"/>
      <w:r>
        <w:rPr>
          <w:rFonts w:hint="eastAsia"/>
        </w:rPr>
        <w:t>格式4、法定代表人（或负责人）授权委托书</w:t>
      </w:r>
      <w:bookmarkEnd w:id="135"/>
      <w:bookmarkEnd w:id="136"/>
      <w:bookmarkEnd w:id="137"/>
      <w:bookmarkEnd w:id="138"/>
    </w:p>
    <w:p>
      <w:pPr>
        <w:jc w:val="center"/>
        <w:rPr>
          <w:rFonts w:ascii="华文中宋" w:hAnsi="华文中宋" w:eastAsia="华文中宋"/>
          <w:b/>
          <w:color w:val="000000"/>
          <w:sz w:val="44"/>
          <w:szCs w:val="44"/>
        </w:rPr>
      </w:pPr>
      <w:r>
        <w:rPr>
          <w:rFonts w:ascii="华文中宋" w:hAnsi="华文中宋" w:eastAsia="华文中宋"/>
          <w:b/>
          <w:color w:val="000000"/>
          <w:sz w:val="44"/>
          <w:szCs w:val="44"/>
        </w:rPr>
        <w:t>法定代表人</w:t>
      </w:r>
      <w:r>
        <w:rPr>
          <w:rFonts w:hint="eastAsia" w:ascii="华文中宋" w:hAnsi="华文中宋" w:eastAsia="华文中宋"/>
          <w:b/>
          <w:color w:val="000000"/>
          <w:sz w:val="44"/>
          <w:szCs w:val="44"/>
        </w:rPr>
        <w:t>（或负责人）</w:t>
      </w:r>
      <w:r>
        <w:rPr>
          <w:rFonts w:ascii="华文中宋" w:hAnsi="华文中宋" w:eastAsia="华文中宋"/>
          <w:b/>
          <w:color w:val="000000"/>
          <w:sz w:val="44"/>
          <w:szCs w:val="44"/>
        </w:rPr>
        <w:t>授权委托书</w:t>
      </w:r>
    </w:p>
    <w:p>
      <w:pPr>
        <w:rPr>
          <w:rFonts w:ascii="Arial" w:hAnsi="Arial" w:cs="Arial"/>
          <w:b/>
          <w:color w:val="000000"/>
          <w:kern w:val="0"/>
          <w:sz w:val="22"/>
          <w:szCs w:val="22"/>
          <w:u w:val="single"/>
        </w:rPr>
      </w:pPr>
      <w:r>
        <w:rPr>
          <w:rFonts w:hint="eastAsia" w:ascii="Arial" w:hAnsi="新宋体" w:cs="Arial"/>
          <w:b/>
          <w:color w:val="000000"/>
          <w:w w:val="90"/>
          <w:kern w:val="0"/>
          <w:sz w:val="22"/>
          <w:szCs w:val="22"/>
          <w:u w:val="single"/>
        </w:rPr>
        <w:t>苍南县人民法院、</w:t>
      </w:r>
      <w:r>
        <w:rPr>
          <w:rFonts w:hint="eastAsia" w:ascii="Arial" w:hAnsi="新宋体" w:cs="Arial"/>
          <w:b/>
          <w:color w:val="000000"/>
          <w:kern w:val="0"/>
          <w:sz w:val="22"/>
          <w:szCs w:val="22"/>
          <w:u w:val="single"/>
        </w:rPr>
        <w:t>杭州华旗招标代理有限公司</w:t>
      </w:r>
      <w:r>
        <w:rPr>
          <w:rFonts w:ascii="Arial" w:hAnsi="新宋体" w:cs="Arial"/>
          <w:b/>
          <w:color w:val="000000"/>
          <w:kern w:val="0"/>
          <w:sz w:val="22"/>
          <w:szCs w:val="22"/>
        </w:rPr>
        <w:t>：</w:t>
      </w:r>
    </w:p>
    <w:p>
      <w:pPr>
        <w:rPr>
          <w:rFonts w:ascii="Arial" w:hAnsi="Arial" w:cs="Arial"/>
          <w:color w:val="000000"/>
          <w:kern w:val="0"/>
          <w:sz w:val="22"/>
          <w:szCs w:val="22"/>
        </w:rPr>
      </w:pPr>
    </w:p>
    <w:p>
      <w:pPr>
        <w:ind w:firstLine="440" w:firstLineChars="200"/>
        <w:rPr>
          <w:rFonts w:ascii="Arial" w:hAnsi="Arial" w:cs="Arial"/>
          <w:color w:val="000000"/>
          <w:kern w:val="0"/>
          <w:sz w:val="22"/>
          <w:szCs w:val="22"/>
        </w:rPr>
      </w:pPr>
      <w:r>
        <w:rPr>
          <w:rFonts w:ascii="Arial" w:hAnsi="新宋体" w:cs="Arial"/>
          <w:color w:val="000000"/>
          <w:kern w:val="0"/>
          <w:sz w:val="22"/>
          <w:szCs w:val="22"/>
        </w:rPr>
        <w:t>我</w:t>
      </w:r>
      <w:r>
        <w:rPr>
          <w:rFonts w:ascii="Arial" w:hAnsi="Arial" w:cs="Arial"/>
          <w:color w:val="000000"/>
          <w:kern w:val="0"/>
          <w:sz w:val="22"/>
          <w:szCs w:val="22"/>
          <w:u w:val="single"/>
        </w:rPr>
        <w:t xml:space="preserve">     </w:t>
      </w:r>
      <w:r>
        <w:rPr>
          <w:rFonts w:ascii="Arial" w:hAnsi="新宋体" w:cs="Arial"/>
          <w:color w:val="000000"/>
          <w:kern w:val="0"/>
          <w:sz w:val="22"/>
          <w:szCs w:val="22"/>
          <w:u w:val="single"/>
        </w:rPr>
        <w:t>（姓名）</w:t>
      </w:r>
      <w:r>
        <w:rPr>
          <w:rFonts w:ascii="Arial" w:hAnsi="Arial" w:cs="Arial"/>
          <w:color w:val="000000"/>
          <w:kern w:val="0"/>
          <w:sz w:val="22"/>
          <w:szCs w:val="22"/>
          <w:u w:val="single"/>
        </w:rPr>
        <w:t xml:space="preserve">    </w:t>
      </w:r>
      <w:r>
        <w:rPr>
          <w:rFonts w:ascii="Arial" w:hAnsi="新宋体" w:cs="Arial"/>
          <w:color w:val="000000"/>
          <w:kern w:val="0"/>
          <w:sz w:val="22"/>
          <w:szCs w:val="22"/>
        </w:rPr>
        <w:t>系</w:t>
      </w:r>
      <w:r>
        <w:rPr>
          <w:rFonts w:ascii="Arial" w:hAnsi="Arial" w:cs="Arial"/>
          <w:color w:val="000000"/>
          <w:kern w:val="0"/>
          <w:sz w:val="22"/>
          <w:szCs w:val="22"/>
          <w:u w:val="single"/>
        </w:rPr>
        <w:t xml:space="preserve">   </w:t>
      </w:r>
      <w:r>
        <w:rPr>
          <w:rFonts w:ascii="Arial" w:hAnsi="新宋体" w:cs="Arial"/>
          <w:color w:val="000000"/>
          <w:kern w:val="0"/>
          <w:sz w:val="22"/>
          <w:szCs w:val="22"/>
          <w:u w:val="single"/>
        </w:rPr>
        <w:t>（投标银行名称）</w:t>
      </w:r>
      <w:r>
        <w:rPr>
          <w:rFonts w:ascii="Arial" w:hAnsi="Arial" w:cs="Arial"/>
          <w:color w:val="000000"/>
          <w:kern w:val="0"/>
          <w:sz w:val="22"/>
          <w:szCs w:val="22"/>
          <w:u w:val="single"/>
        </w:rPr>
        <w:t xml:space="preserve">       </w:t>
      </w:r>
      <w:r>
        <w:rPr>
          <w:rFonts w:ascii="Arial" w:hAnsi="新宋体" w:cs="Arial"/>
          <w:color w:val="000000"/>
          <w:kern w:val="0"/>
          <w:sz w:val="22"/>
          <w:szCs w:val="22"/>
        </w:rPr>
        <w:t>的法定代表人，现授权委托本单位在职职工</w:t>
      </w:r>
      <w:r>
        <w:rPr>
          <w:rFonts w:ascii="Arial" w:hAnsi="Arial" w:cs="Arial"/>
          <w:color w:val="000000"/>
          <w:kern w:val="0"/>
          <w:sz w:val="22"/>
          <w:szCs w:val="22"/>
          <w:u w:val="single"/>
        </w:rPr>
        <w:t xml:space="preserve">   </w:t>
      </w:r>
      <w:r>
        <w:rPr>
          <w:rFonts w:ascii="Arial" w:hAnsi="新宋体" w:cs="Arial"/>
          <w:color w:val="000000"/>
          <w:kern w:val="0"/>
          <w:sz w:val="22"/>
          <w:szCs w:val="22"/>
          <w:u w:val="single"/>
        </w:rPr>
        <w:t>（姓名）</w:t>
      </w:r>
      <w:r>
        <w:rPr>
          <w:rFonts w:ascii="Arial" w:hAnsi="Arial" w:cs="Arial"/>
          <w:color w:val="000000"/>
          <w:kern w:val="0"/>
          <w:sz w:val="22"/>
          <w:szCs w:val="22"/>
          <w:u w:val="single"/>
        </w:rPr>
        <w:t xml:space="preserve"> </w:t>
      </w:r>
      <w:r>
        <w:rPr>
          <w:rFonts w:hint="eastAsia" w:ascii="Arial" w:hAnsi="Arial" w:cs="Arial"/>
          <w:color w:val="000000"/>
          <w:kern w:val="0"/>
          <w:sz w:val="22"/>
          <w:szCs w:val="22"/>
          <w:u w:val="single"/>
        </w:rPr>
        <w:t xml:space="preserve"> </w:t>
      </w:r>
      <w:r>
        <w:rPr>
          <w:rFonts w:ascii="Arial" w:hAnsi="Arial" w:cs="Arial"/>
          <w:color w:val="000000"/>
          <w:kern w:val="0"/>
          <w:sz w:val="22"/>
          <w:szCs w:val="22"/>
          <w:u w:val="single"/>
        </w:rPr>
        <w:t xml:space="preserve">  </w:t>
      </w:r>
      <w:r>
        <w:rPr>
          <w:rFonts w:ascii="Arial" w:hAnsi="新宋体" w:cs="Arial"/>
          <w:color w:val="000000"/>
          <w:kern w:val="0"/>
          <w:sz w:val="22"/>
          <w:szCs w:val="22"/>
        </w:rPr>
        <w:t>以我方的名义参加</w:t>
      </w:r>
      <w:r>
        <w:rPr>
          <w:rFonts w:ascii="Arial" w:hAnsi="Arial" w:cs="Arial"/>
          <w:color w:val="000000"/>
          <w:kern w:val="0"/>
          <w:sz w:val="22"/>
          <w:szCs w:val="22"/>
        </w:rPr>
        <w:t xml:space="preserve"> </w:t>
      </w:r>
      <w:r>
        <w:rPr>
          <w:rFonts w:hint="eastAsia" w:ascii="Arial" w:hAnsi="新宋体" w:cs="Arial"/>
          <w:b/>
          <w:color w:val="000000"/>
          <w:kern w:val="0"/>
          <w:sz w:val="22"/>
          <w:szCs w:val="22"/>
          <w:u w:val="single"/>
          <w:lang w:eastAsia="zh-CN"/>
        </w:rPr>
        <w:t>苍南县人民法院2024年度公款竞争性存放项目</w:t>
      </w:r>
      <w:r>
        <w:rPr>
          <w:rFonts w:ascii="Arial" w:hAnsi="新宋体" w:cs="Arial"/>
          <w:b/>
          <w:color w:val="000000"/>
          <w:kern w:val="0"/>
          <w:sz w:val="22"/>
          <w:szCs w:val="22"/>
          <w:u w:val="single"/>
        </w:rPr>
        <w:t>（项目编号：</w:t>
      </w:r>
      <w:r>
        <w:rPr>
          <w:rFonts w:hint="eastAsia" w:ascii="Arial" w:hAnsi="新宋体" w:cs="Arial"/>
          <w:b/>
          <w:color w:val="000000"/>
          <w:kern w:val="0"/>
          <w:sz w:val="22"/>
          <w:szCs w:val="22"/>
          <w:u w:val="single"/>
          <w:lang w:eastAsia="zh-CN"/>
        </w:rPr>
        <w:t>苍产告字[2024]04号</w:t>
      </w:r>
      <w:r>
        <w:rPr>
          <w:rFonts w:ascii="Arial" w:hAnsi="新宋体" w:cs="Arial"/>
          <w:b/>
          <w:color w:val="000000"/>
          <w:kern w:val="0"/>
          <w:sz w:val="22"/>
          <w:szCs w:val="22"/>
          <w:u w:val="single"/>
        </w:rPr>
        <w:t>）</w:t>
      </w:r>
      <w:r>
        <w:rPr>
          <w:rFonts w:ascii="Arial" w:hAnsi="新宋体" w:cs="Arial"/>
          <w:color w:val="000000"/>
          <w:kern w:val="0"/>
          <w:sz w:val="22"/>
          <w:szCs w:val="22"/>
        </w:rPr>
        <w:t>的投标活动，并代表我方全权办理针对上述项目的投标、开标、评标、签约等具体事务和签署相关文件。</w:t>
      </w:r>
    </w:p>
    <w:p>
      <w:pPr>
        <w:ind w:firstLine="440" w:firstLineChars="200"/>
        <w:rPr>
          <w:rFonts w:ascii="Arial" w:hAnsi="Arial" w:cs="Arial"/>
          <w:color w:val="000000"/>
          <w:kern w:val="0"/>
          <w:sz w:val="22"/>
          <w:szCs w:val="22"/>
        </w:rPr>
      </w:pPr>
      <w:r>
        <w:rPr>
          <w:rFonts w:ascii="Arial" w:hAnsi="新宋体" w:cs="Arial"/>
          <w:color w:val="000000"/>
          <w:kern w:val="0"/>
          <w:sz w:val="22"/>
          <w:szCs w:val="22"/>
        </w:rPr>
        <w:t>我方对被授权人的签名负全部责任。</w:t>
      </w:r>
    </w:p>
    <w:p>
      <w:pPr>
        <w:ind w:firstLine="440" w:firstLineChars="200"/>
        <w:rPr>
          <w:rFonts w:ascii="Arial" w:hAnsi="Arial" w:cs="Arial"/>
          <w:color w:val="000000"/>
          <w:kern w:val="0"/>
          <w:sz w:val="22"/>
          <w:szCs w:val="22"/>
        </w:rPr>
      </w:pPr>
      <w:r>
        <w:rPr>
          <w:rFonts w:ascii="Arial" w:hAnsi="新宋体" w:cs="Arial"/>
          <w:color w:val="000000"/>
          <w:kern w:val="0"/>
          <w:sz w:val="22"/>
          <w:szCs w:val="22"/>
        </w:rPr>
        <w:t>在撤销授权的书面通知以前，本授权书一直有效。被授权人在授权书有效期内签署的所有文件不因授权的撤销而失效。</w:t>
      </w:r>
    </w:p>
    <w:p>
      <w:pPr>
        <w:ind w:firstLine="440" w:firstLineChars="200"/>
        <w:rPr>
          <w:rFonts w:ascii="Arial" w:hAnsi="Arial" w:cs="Arial"/>
          <w:color w:val="000000"/>
          <w:kern w:val="0"/>
          <w:sz w:val="22"/>
          <w:szCs w:val="22"/>
        </w:rPr>
      </w:pPr>
      <w:r>
        <w:rPr>
          <w:rFonts w:ascii="Arial" w:hAnsi="新宋体" w:cs="Arial"/>
          <w:color w:val="000000"/>
          <w:kern w:val="0"/>
          <w:sz w:val="22"/>
          <w:szCs w:val="22"/>
        </w:rPr>
        <w:t>被授权人无转委托权，特此委托。</w:t>
      </w:r>
    </w:p>
    <w:tbl>
      <w:tblPr>
        <w:tblStyle w:val="39"/>
        <w:tblW w:w="0" w:type="auto"/>
        <w:tblInd w:w="108"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37"/>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vAlign w:val="center"/>
          </w:tcPr>
          <w:p>
            <w:pPr>
              <w:jc w:val="center"/>
              <w:rPr>
                <w:rFonts w:ascii="Arial" w:hAnsi="Arial" w:cs="Arial"/>
                <w:i/>
                <w:color w:val="FF0000"/>
                <w:kern w:val="0"/>
                <w:sz w:val="28"/>
                <w:szCs w:val="22"/>
              </w:rPr>
            </w:pPr>
            <w:r>
              <w:rPr>
                <w:rFonts w:hint="eastAsia" w:ascii="Arial" w:hAnsi="Arial" w:cs="Arial"/>
                <w:i/>
                <w:color w:val="FF0000"/>
                <w:kern w:val="0"/>
                <w:sz w:val="28"/>
                <w:szCs w:val="22"/>
              </w:rPr>
              <w:t>法定代表人身份证扫描件或复印件（正反面均须提供）</w:t>
            </w:r>
          </w:p>
        </w:tc>
      </w:tr>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vAlign w:val="center"/>
          </w:tcPr>
          <w:p>
            <w:pPr>
              <w:jc w:val="center"/>
              <w:rPr>
                <w:rFonts w:ascii="Arial" w:hAnsi="Arial" w:cs="Arial"/>
                <w:i/>
                <w:color w:val="FF0000"/>
                <w:kern w:val="0"/>
                <w:sz w:val="28"/>
                <w:szCs w:val="22"/>
              </w:rPr>
            </w:pPr>
            <w:r>
              <w:rPr>
                <w:rFonts w:hint="eastAsia" w:ascii="Arial" w:hAnsi="Arial" w:cs="Arial"/>
                <w:i/>
                <w:color w:val="FF0000"/>
                <w:kern w:val="0"/>
                <w:sz w:val="28"/>
                <w:szCs w:val="22"/>
              </w:rPr>
              <w:t>被授权人（授权代表）身份证扫描件或复印件（正反面均须提供）</w:t>
            </w:r>
          </w:p>
        </w:tc>
      </w:tr>
    </w:tbl>
    <w:p>
      <w:pPr>
        <w:rPr>
          <w:rFonts w:ascii="Arial" w:hAnsi="Arial" w:cs="Arial"/>
          <w:color w:val="000000"/>
          <w:kern w:val="0"/>
          <w:sz w:val="22"/>
          <w:szCs w:val="22"/>
          <w:u w:val="single"/>
        </w:rPr>
      </w:pPr>
      <w:r>
        <w:rPr>
          <w:rFonts w:ascii="Arial" w:hAnsi="新宋体" w:cs="Arial"/>
          <w:color w:val="000000"/>
          <w:kern w:val="0"/>
          <w:sz w:val="22"/>
          <w:szCs w:val="22"/>
        </w:rPr>
        <w:t>法定代表人签名（或盖章）：</w:t>
      </w:r>
      <w:r>
        <w:rPr>
          <w:rFonts w:ascii="Arial" w:hAnsi="Arial" w:cs="Arial"/>
          <w:color w:val="000000"/>
          <w:kern w:val="0"/>
          <w:sz w:val="22"/>
          <w:szCs w:val="22"/>
          <w:u w:val="single"/>
        </w:rPr>
        <w:t xml:space="preserve">                     </w:t>
      </w:r>
    </w:p>
    <w:p>
      <w:pPr>
        <w:rPr>
          <w:rFonts w:ascii="Arial" w:hAnsi="Arial" w:cs="Arial"/>
          <w:color w:val="000000"/>
          <w:kern w:val="0"/>
          <w:sz w:val="22"/>
          <w:szCs w:val="22"/>
        </w:rPr>
      </w:pPr>
      <w:r>
        <w:rPr>
          <w:rFonts w:ascii="Arial" w:hAnsi="新宋体" w:cs="Arial"/>
          <w:color w:val="000000"/>
          <w:kern w:val="0"/>
          <w:sz w:val="22"/>
          <w:szCs w:val="22"/>
        </w:rPr>
        <w:t>职务：</w:t>
      </w:r>
      <w:r>
        <w:rPr>
          <w:rFonts w:ascii="Arial" w:hAnsi="Arial" w:cs="Arial"/>
          <w:color w:val="000000"/>
          <w:kern w:val="0"/>
          <w:sz w:val="22"/>
          <w:szCs w:val="22"/>
          <w:u w:val="single"/>
        </w:rPr>
        <w:t xml:space="preserve">                       </w:t>
      </w:r>
    </w:p>
    <w:p>
      <w:pPr>
        <w:rPr>
          <w:rFonts w:ascii="Arial" w:hAnsi="Arial" w:cs="Arial"/>
          <w:color w:val="000000"/>
          <w:kern w:val="0"/>
          <w:sz w:val="22"/>
          <w:szCs w:val="22"/>
          <w:u w:val="single"/>
        </w:rPr>
      </w:pPr>
      <w:r>
        <w:rPr>
          <w:rFonts w:ascii="Arial" w:hAnsi="新宋体" w:cs="Arial"/>
          <w:color w:val="000000"/>
          <w:kern w:val="0"/>
          <w:sz w:val="22"/>
          <w:szCs w:val="22"/>
        </w:rPr>
        <w:t>被授权人身份证号码：</w:t>
      </w:r>
      <w:r>
        <w:rPr>
          <w:rFonts w:ascii="Arial" w:hAnsi="Arial" w:cs="Arial"/>
          <w:color w:val="000000"/>
          <w:kern w:val="0"/>
          <w:sz w:val="22"/>
          <w:szCs w:val="22"/>
          <w:u w:val="single"/>
        </w:rPr>
        <w:t xml:space="preserve">                             </w:t>
      </w:r>
    </w:p>
    <w:p>
      <w:pPr>
        <w:rPr>
          <w:rFonts w:ascii="Arial" w:hAnsi="Arial" w:cs="Arial"/>
          <w:color w:val="000000"/>
          <w:kern w:val="0"/>
          <w:sz w:val="22"/>
          <w:szCs w:val="22"/>
        </w:rPr>
      </w:pPr>
      <w:r>
        <w:rPr>
          <w:rFonts w:ascii="Arial" w:hAnsi="新宋体" w:cs="Arial"/>
          <w:color w:val="000000"/>
          <w:kern w:val="0"/>
          <w:sz w:val="22"/>
          <w:szCs w:val="22"/>
        </w:rPr>
        <w:t>投标银行</w:t>
      </w:r>
      <w:r>
        <w:rPr>
          <w:rFonts w:hint="eastAsia" w:ascii="Arial" w:hAnsi="新宋体" w:cs="Arial"/>
          <w:color w:val="000000"/>
          <w:kern w:val="0"/>
          <w:sz w:val="22"/>
          <w:szCs w:val="22"/>
        </w:rPr>
        <w:t>（</w:t>
      </w:r>
      <w:r>
        <w:rPr>
          <w:rFonts w:ascii="Arial" w:hAnsi="新宋体" w:cs="Arial"/>
          <w:color w:val="000000"/>
          <w:kern w:val="0"/>
          <w:sz w:val="22"/>
          <w:szCs w:val="22"/>
        </w:rPr>
        <w:t>公章</w:t>
      </w:r>
      <w:r>
        <w:rPr>
          <w:rFonts w:hint="eastAsia" w:ascii="Arial" w:hAnsi="新宋体" w:cs="Arial"/>
          <w:color w:val="000000"/>
          <w:kern w:val="0"/>
          <w:sz w:val="22"/>
          <w:szCs w:val="22"/>
        </w:rPr>
        <w:t>）</w:t>
      </w:r>
      <w:r>
        <w:rPr>
          <w:rFonts w:ascii="Arial" w:hAnsi="新宋体" w:cs="Arial"/>
          <w:color w:val="000000"/>
          <w:kern w:val="0"/>
          <w:sz w:val="22"/>
          <w:szCs w:val="22"/>
        </w:rPr>
        <w:t>：</w:t>
      </w:r>
      <w:r>
        <w:rPr>
          <w:rFonts w:ascii="Arial" w:hAnsi="Arial" w:cs="Arial"/>
          <w:color w:val="000000"/>
          <w:kern w:val="0"/>
          <w:sz w:val="22"/>
          <w:szCs w:val="22"/>
          <w:u w:val="single"/>
        </w:rPr>
        <w:t xml:space="preserve">                                     </w:t>
      </w:r>
    </w:p>
    <w:p>
      <w:pPr>
        <w:rPr>
          <w:rFonts w:ascii="Arial" w:hAnsi="新宋体" w:cs="Arial"/>
          <w:color w:val="000000"/>
          <w:kern w:val="0"/>
          <w:sz w:val="22"/>
          <w:szCs w:val="22"/>
        </w:rPr>
      </w:pPr>
      <w:r>
        <w:rPr>
          <w:rFonts w:ascii="Arial" w:hAnsi="新宋体" w:cs="Arial"/>
          <w:color w:val="000000"/>
          <w:kern w:val="0"/>
          <w:sz w:val="22"/>
          <w:szCs w:val="22"/>
        </w:rPr>
        <w:t>时</w:t>
      </w:r>
      <w:r>
        <w:rPr>
          <w:rFonts w:ascii="Arial" w:hAnsi="Arial" w:cs="Arial"/>
          <w:color w:val="000000"/>
          <w:kern w:val="0"/>
          <w:sz w:val="22"/>
          <w:szCs w:val="22"/>
        </w:rPr>
        <w:t xml:space="preserve">      </w:t>
      </w:r>
      <w:r>
        <w:rPr>
          <w:rFonts w:ascii="Arial" w:hAnsi="新宋体" w:cs="Arial"/>
          <w:color w:val="000000"/>
          <w:kern w:val="0"/>
          <w:sz w:val="22"/>
          <w:szCs w:val="22"/>
        </w:rPr>
        <w:t>间：</w:t>
      </w:r>
      <w:r>
        <w:rPr>
          <w:rFonts w:ascii="Arial" w:hAnsi="Arial" w:cs="Arial"/>
          <w:color w:val="000000"/>
          <w:kern w:val="0"/>
          <w:sz w:val="22"/>
          <w:szCs w:val="22"/>
          <w:u w:val="single"/>
        </w:rPr>
        <w:t xml:space="preserve">        </w:t>
      </w:r>
      <w:r>
        <w:rPr>
          <w:rFonts w:ascii="Arial" w:hAnsi="新宋体" w:cs="Arial"/>
          <w:color w:val="000000"/>
          <w:kern w:val="0"/>
          <w:sz w:val="22"/>
          <w:szCs w:val="22"/>
        </w:rPr>
        <w:t>年</w:t>
      </w:r>
      <w:r>
        <w:rPr>
          <w:rFonts w:ascii="Arial" w:hAnsi="Arial" w:cs="Arial"/>
          <w:color w:val="000000"/>
          <w:kern w:val="0"/>
          <w:sz w:val="22"/>
          <w:szCs w:val="22"/>
          <w:u w:val="single"/>
        </w:rPr>
        <w:t xml:space="preserve">     </w:t>
      </w:r>
      <w:r>
        <w:rPr>
          <w:rFonts w:ascii="Arial" w:hAnsi="新宋体" w:cs="Arial"/>
          <w:color w:val="000000"/>
          <w:kern w:val="0"/>
          <w:sz w:val="22"/>
          <w:szCs w:val="22"/>
        </w:rPr>
        <w:t>月</w:t>
      </w:r>
      <w:r>
        <w:rPr>
          <w:rFonts w:ascii="Arial" w:hAnsi="Arial" w:cs="Arial"/>
          <w:color w:val="000000"/>
          <w:kern w:val="0"/>
          <w:sz w:val="22"/>
          <w:szCs w:val="22"/>
          <w:u w:val="single"/>
        </w:rPr>
        <w:t xml:space="preserve">     </w:t>
      </w:r>
      <w:r>
        <w:rPr>
          <w:rFonts w:ascii="Arial" w:hAnsi="新宋体" w:cs="Arial"/>
          <w:color w:val="000000"/>
          <w:kern w:val="0"/>
          <w:sz w:val="22"/>
          <w:szCs w:val="22"/>
        </w:rPr>
        <w:t>日</w:t>
      </w:r>
    </w:p>
    <w:p>
      <w:pPr>
        <w:pStyle w:val="3"/>
      </w:pPr>
      <w:r>
        <w:rPr>
          <w:rFonts w:ascii="Arial" w:hAnsi="新宋体" w:cs="Arial"/>
          <w:color w:val="000000"/>
          <w:sz w:val="22"/>
          <w:szCs w:val="22"/>
        </w:rPr>
        <w:br w:type="page"/>
      </w:r>
      <w:bookmarkStart w:id="139" w:name="_Toc17820"/>
      <w:bookmarkStart w:id="140" w:name="_Toc30164"/>
      <w:bookmarkStart w:id="141" w:name="_Toc18640"/>
      <w:bookmarkStart w:id="142" w:name="_Toc452032133"/>
      <w:r>
        <w:rPr>
          <w:rFonts w:hint="eastAsia"/>
        </w:rPr>
        <w:t>格式5、投标一览表</w:t>
      </w:r>
      <w:bookmarkEnd w:id="139"/>
      <w:bookmarkEnd w:id="140"/>
      <w:bookmarkEnd w:id="141"/>
      <w:bookmarkEnd w:id="142"/>
    </w:p>
    <w:p>
      <w:pPr>
        <w:jc w:val="center"/>
        <w:rPr>
          <w:rFonts w:ascii="华文中宋" w:hAnsi="华文中宋" w:eastAsia="华文中宋"/>
          <w:b/>
          <w:color w:val="000000"/>
          <w:kern w:val="0"/>
          <w:sz w:val="44"/>
          <w:szCs w:val="22"/>
        </w:rPr>
      </w:pPr>
      <w:r>
        <w:rPr>
          <w:rFonts w:hint="eastAsia" w:ascii="华文中宋" w:hAnsi="华文中宋" w:eastAsia="华文中宋"/>
          <w:b/>
          <w:color w:val="000000"/>
          <w:kern w:val="0"/>
          <w:sz w:val="44"/>
          <w:szCs w:val="22"/>
        </w:rPr>
        <w:t>投标一览表</w:t>
      </w:r>
    </w:p>
    <w:p>
      <w:pPr>
        <w:rPr>
          <w:rFonts w:hint="eastAsia" w:ascii="Arial" w:hAnsi="Arial" w:eastAsia="仿宋" w:cs="Arial"/>
          <w:b/>
          <w:color w:val="000000"/>
          <w:sz w:val="22"/>
          <w:szCs w:val="22"/>
          <w:lang w:eastAsia="zh-CN"/>
        </w:rPr>
      </w:pPr>
      <w:r>
        <w:rPr>
          <w:rFonts w:hint="eastAsia" w:ascii="Arial" w:hAnsi="新宋体" w:cs="Arial"/>
          <w:b/>
          <w:color w:val="000000"/>
          <w:sz w:val="22"/>
          <w:szCs w:val="22"/>
        </w:rPr>
        <w:t>项目</w:t>
      </w:r>
      <w:r>
        <w:rPr>
          <w:rFonts w:ascii="Arial" w:hAnsi="新宋体" w:cs="Arial"/>
          <w:b/>
          <w:color w:val="000000"/>
          <w:sz w:val="22"/>
          <w:szCs w:val="22"/>
        </w:rPr>
        <w:t>名称：</w:t>
      </w:r>
      <w:r>
        <w:rPr>
          <w:rFonts w:hint="eastAsia" w:ascii="Arial" w:hAnsi="Arial" w:cs="Arial"/>
          <w:b/>
          <w:color w:val="000000"/>
          <w:sz w:val="22"/>
          <w:szCs w:val="22"/>
          <w:u w:val="single"/>
          <w:lang w:eastAsia="zh-CN"/>
        </w:rPr>
        <w:t>苍南县人民法院2024年度公款竞争性存放项目</w:t>
      </w:r>
    </w:p>
    <w:p>
      <w:pPr>
        <w:rPr>
          <w:rFonts w:hint="eastAsia" w:ascii="新宋体" w:hAnsi="新宋体" w:eastAsia="仿宋" w:cs="Arial"/>
          <w:b/>
          <w:color w:val="000000"/>
          <w:sz w:val="22"/>
          <w:szCs w:val="22"/>
          <w:u w:val="single"/>
          <w:lang w:eastAsia="zh-CN"/>
        </w:rPr>
      </w:pPr>
      <w:r>
        <w:rPr>
          <w:rFonts w:ascii="Arial" w:hAnsi="新宋体" w:cs="Arial"/>
          <w:b/>
          <w:color w:val="000000"/>
          <w:sz w:val="22"/>
          <w:szCs w:val="22"/>
        </w:rPr>
        <w:t>项目编号：</w:t>
      </w:r>
      <w:r>
        <w:rPr>
          <w:rFonts w:hint="eastAsia" w:ascii="华文中宋" w:hAnsi="华文中宋" w:eastAsia="华文中宋" w:cs="Arial"/>
          <w:b/>
          <w:color w:val="000000"/>
          <w:kern w:val="0"/>
          <w:sz w:val="22"/>
          <w:szCs w:val="22"/>
          <w:u w:val="single"/>
          <w:lang w:eastAsia="zh-CN"/>
        </w:rPr>
        <w:t>苍产告字[2024]04号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0" w:type="dxa"/>
            <w:vAlign w:val="center"/>
          </w:tcPr>
          <w:p>
            <w:pPr>
              <w:jc w:val="center"/>
              <w:rPr>
                <w:rFonts w:ascii="Arial" w:hAnsi="Arial" w:cs="Arial"/>
                <w:b/>
                <w:color w:val="000000"/>
                <w:sz w:val="22"/>
                <w:szCs w:val="22"/>
              </w:rPr>
            </w:pPr>
            <w:r>
              <w:rPr>
                <w:rFonts w:ascii="Arial" w:hAnsi="新宋体" w:cs="Arial"/>
                <w:b/>
                <w:color w:val="000000"/>
                <w:sz w:val="22"/>
                <w:szCs w:val="22"/>
              </w:rPr>
              <w:t>项目名称</w:t>
            </w:r>
          </w:p>
        </w:tc>
        <w:tc>
          <w:tcPr>
            <w:tcW w:w="7230" w:type="dxa"/>
            <w:vAlign w:val="center"/>
          </w:tcPr>
          <w:p>
            <w:pPr>
              <w:jc w:val="left"/>
              <w:rPr>
                <w:rFonts w:hint="eastAsia" w:ascii="Arial" w:hAnsi="Arial" w:eastAsia="仿宋" w:cs="Arial"/>
                <w:color w:val="000000"/>
                <w:sz w:val="22"/>
                <w:szCs w:val="22"/>
                <w:lang w:eastAsia="zh-CN"/>
              </w:rPr>
            </w:pPr>
            <w:r>
              <w:rPr>
                <w:rFonts w:hint="eastAsia" w:ascii="Arial" w:hAnsi="新宋体" w:cs="Arial"/>
                <w:color w:val="000000"/>
                <w:sz w:val="22"/>
                <w:szCs w:val="22"/>
                <w:lang w:eastAsia="zh-CN"/>
              </w:rPr>
              <w:t>苍南县人民法院2024年度公款竞争性存放项目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20" w:type="dxa"/>
            <w:vAlign w:val="center"/>
          </w:tcPr>
          <w:p>
            <w:pPr>
              <w:jc w:val="center"/>
              <w:rPr>
                <w:rFonts w:ascii="Arial" w:hAnsi="新宋体" w:cs="Arial"/>
                <w:b/>
                <w:color w:val="000000"/>
                <w:sz w:val="22"/>
                <w:szCs w:val="22"/>
              </w:rPr>
            </w:pPr>
            <w:r>
              <w:rPr>
                <w:rFonts w:hint="eastAsia" w:ascii="Arial" w:hAnsi="新宋体" w:cs="Arial"/>
                <w:b/>
                <w:color w:val="000000"/>
                <w:sz w:val="22"/>
                <w:szCs w:val="22"/>
              </w:rPr>
              <w:t>投标报价</w:t>
            </w:r>
          </w:p>
        </w:tc>
        <w:tc>
          <w:tcPr>
            <w:tcW w:w="7230" w:type="dxa"/>
            <w:vAlign w:val="center"/>
          </w:tcPr>
          <w:p>
            <w:pPr>
              <w:jc w:val="left"/>
              <w:rPr>
                <w:rFonts w:ascii="Arial" w:hAnsi="新宋体" w:cs="Arial"/>
                <w:i/>
                <w:color w:val="FF0000"/>
                <w:w w:val="90"/>
                <w:kern w:val="0"/>
                <w:sz w:val="22"/>
                <w:szCs w:val="22"/>
                <w:u w:val="single"/>
              </w:rPr>
            </w:pPr>
            <w:r>
              <w:rPr>
                <w:rFonts w:hint="eastAsia" w:ascii="宋体" w:hAnsi="宋体"/>
              </w:rPr>
              <w:t>定期存款利率为央行存款基准利率基础上加</w:t>
            </w:r>
            <w:r>
              <w:rPr>
                <w:rFonts w:hint="eastAsia" w:ascii="Arial" w:hAnsi="新宋体" w:cs="Arial"/>
                <w:color w:val="000000"/>
                <w:sz w:val="22"/>
                <w:szCs w:val="22"/>
                <w:u w:val="single"/>
              </w:rPr>
              <w:t xml:space="preserve">     </w:t>
            </w:r>
            <w:r>
              <w:rPr>
                <w:rFonts w:hint="eastAsia" w:ascii="微软雅黑" w:hAnsi="微软雅黑" w:eastAsia="微软雅黑" w:cs="微软雅黑"/>
                <w:color w:val="333333"/>
                <w:shd w:val="clear" w:color="auto" w:fill="FFFFFF"/>
              </w:rPr>
              <w:t>BP</w:t>
            </w:r>
            <w:r>
              <w:rPr>
                <w:rFonts w:hint="eastAsia" w:ascii="宋体" w:hAnsi="宋体"/>
              </w:rPr>
              <w:t>（如遇央行调整存款利率，存款利率同步调整。）</w:t>
            </w:r>
          </w:p>
        </w:tc>
      </w:tr>
    </w:tbl>
    <w:p>
      <w:pPr>
        <w:rPr>
          <w:rFonts w:ascii="Arial" w:hAnsi="Arial" w:cs="Arial"/>
          <w:color w:val="000000"/>
          <w:kern w:val="0"/>
          <w:sz w:val="22"/>
          <w:szCs w:val="22"/>
        </w:rPr>
      </w:pPr>
      <w:r>
        <w:rPr>
          <w:rFonts w:ascii="Arial" w:hAnsi="新宋体" w:cs="Arial"/>
          <w:b/>
          <w:color w:val="000000"/>
          <w:kern w:val="0"/>
          <w:sz w:val="22"/>
          <w:szCs w:val="22"/>
          <w:u w:val="single"/>
        </w:rPr>
        <w:t>注：报价一经涂改，应在涂改处加盖单位公章或者由法定代表人或授权委托人签字或盖章，否则其投标作无效标处理。</w:t>
      </w:r>
    </w:p>
    <w:p>
      <w:pPr>
        <w:rPr>
          <w:rFonts w:ascii="Arial" w:hAnsi="新宋体" w:cs="Arial"/>
          <w:color w:val="000000"/>
          <w:kern w:val="0"/>
          <w:sz w:val="22"/>
          <w:szCs w:val="22"/>
        </w:rPr>
      </w:pPr>
    </w:p>
    <w:p>
      <w:pPr>
        <w:rPr>
          <w:rFonts w:ascii="Arial" w:hAnsi="新宋体" w:cs="Arial"/>
          <w:color w:val="000000"/>
          <w:kern w:val="0"/>
          <w:sz w:val="22"/>
          <w:szCs w:val="22"/>
        </w:rPr>
      </w:pPr>
    </w:p>
    <w:p>
      <w:pPr>
        <w:snapToGrid w:val="0"/>
        <w:rPr>
          <w:rFonts w:ascii="Arial" w:hAnsi="Arial" w:cs="Arial"/>
          <w:color w:val="000000"/>
          <w:sz w:val="22"/>
          <w:szCs w:val="22"/>
        </w:rPr>
      </w:pPr>
      <w:r>
        <w:rPr>
          <w:rFonts w:hint="eastAsia" w:ascii="Arial" w:hAnsi="Arial" w:cs="Arial"/>
          <w:color w:val="000000"/>
          <w:sz w:val="22"/>
          <w:szCs w:val="22"/>
        </w:rPr>
        <w:t>投标银行名称（盖章）：</w:t>
      </w:r>
      <w:r>
        <w:rPr>
          <w:rFonts w:hint="eastAsia" w:ascii="Arial" w:hAnsi="Arial" w:cs="Arial"/>
          <w:color w:val="000000"/>
          <w:sz w:val="22"/>
          <w:szCs w:val="22"/>
          <w:u w:val="single"/>
        </w:rPr>
        <w:t xml:space="preserve">                            </w:t>
      </w:r>
    </w:p>
    <w:p>
      <w:pPr>
        <w:snapToGrid w:val="0"/>
        <w:rPr>
          <w:rFonts w:ascii="Arial" w:hAnsi="Arial" w:cs="Arial"/>
          <w:color w:val="000000"/>
          <w:sz w:val="22"/>
          <w:szCs w:val="22"/>
        </w:rPr>
      </w:pPr>
      <w:r>
        <w:rPr>
          <w:rFonts w:hint="eastAsia" w:ascii="Arial" w:hAnsi="Arial" w:cs="Arial"/>
          <w:color w:val="000000"/>
          <w:sz w:val="22"/>
          <w:szCs w:val="22"/>
        </w:rPr>
        <w:t>法定代表人或其授权代表（签字或盖章）：</w:t>
      </w:r>
      <w:r>
        <w:rPr>
          <w:rFonts w:hint="eastAsia" w:ascii="Arial" w:hAnsi="Arial" w:cs="Arial"/>
          <w:color w:val="000000"/>
          <w:sz w:val="22"/>
          <w:szCs w:val="22"/>
          <w:u w:val="single"/>
        </w:rPr>
        <w:t xml:space="preserve">                </w:t>
      </w:r>
    </w:p>
    <w:p>
      <w:r>
        <w:rPr>
          <w:rFonts w:hint="eastAsia"/>
        </w:rPr>
        <w:t xml:space="preserve">日期：                                         </w:t>
      </w:r>
    </w:p>
    <w:p>
      <w:pPr>
        <w:pStyle w:val="3"/>
      </w:pPr>
      <w:r>
        <w:rPr>
          <w:rFonts w:ascii="Arial" w:hAnsi="Arial" w:eastAsia="新宋体" w:cs="Arial"/>
          <w:color w:val="000000"/>
          <w:sz w:val="22"/>
          <w:szCs w:val="22"/>
          <w:u w:val="single"/>
        </w:rPr>
        <w:br w:type="page"/>
      </w:r>
      <w:bookmarkStart w:id="143" w:name="_Toc25712"/>
      <w:bookmarkStart w:id="144" w:name="_Toc6200"/>
      <w:bookmarkStart w:id="145" w:name="_Toc452032134"/>
      <w:bookmarkStart w:id="146" w:name="_Toc11824"/>
      <w:r>
        <w:rPr>
          <w:rFonts w:hint="eastAsia"/>
        </w:rPr>
        <w:t>格式6、营业执照</w:t>
      </w:r>
      <w:bookmarkEnd w:id="143"/>
      <w:bookmarkEnd w:id="144"/>
      <w:bookmarkEnd w:id="145"/>
      <w:bookmarkEnd w:id="146"/>
    </w:p>
    <w:p>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营业执照</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jc w:val="center"/>
              <w:rPr>
                <w:rFonts w:ascii="Arial" w:hAnsi="新宋体" w:cs="Arial"/>
                <w:i/>
                <w:color w:val="FF0000"/>
                <w:szCs w:val="21"/>
              </w:rPr>
            </w:pPr>
            <w:r>
              <w:rPr>
                <w:rFonts w:hint="eastAsia" w:ascii="Arial" w:hAnsi="Arial" w:cs="Arial"/>
                <w:i/>
                <w:color w:val="000000"/>
                <w:kern w:val="0"/>
                <w:sz w:val="28"/>
                <w:szCs w:val="22"/>
              </w:rPr>
              <w:t>投标银行营业执照复印件（加盖投标银行公章）</w:t>
            </w:r>
          </w:p>
        </w:tc>
      </w:tr>
    </w:tbl>
    <w:p>
      <w:pPr>
        <w:rPr>
          <w:rFonts w:ascii="Arial" w:hAnsi="Arial" w:cs="Arial"/>
          <w:i/>
          <w:color w:val="000000"/>
          <w:sz w:val="22"/>
          <w:szCs w:val="22"/>
        </w:rPr>
      </w:pPr>
    </w:p>
    <w:p>
      <w:pPr>
        <w:rPr>
          <w:rFonts w:ascii="Arial" w:hAnsi="Arial" w:cs="Arial"/>
          <w:i/>
          <w:color w:val="000000"/>
          <w:sz w:val="22"/>
          <w:szCs w:val="22"/>
        </w:rPr>
      </w:pPr>
    </w:p>
    <w:p>
      <w:pPr>
        <w:pStyle w:val="3"/>
      </w:pPr>
      <w:r>
        <w:rPr>
          <w:rFonts w:ascii="Arial" w:hAnsi="Arial" w:eastAsia="新宋体" w:cs="Arial"/>
          <w:color w:val="000000"/>
          <w:sz w:val="22"/>
          <w:szCs w:val="22"/>
          <w:u w:val="single"/>
        </w:rPr>
        <w:br w:type="page"/>
      </w:r>
      <w:bookmarkStart w:id="147" w:name="_Toc452032136"/>
      <w:bookmarkStart w:id="148" w:name="_Toc22957"/>
      <w:bookmarkStart w:id="149" w:name="_Toc31827"/>
      <w:bookmarkStart w:id="150" w:name="_Toc15833"/>
      <w:r>
        <w:rPr>
          <w:rFonts w:hint="eastAsia"/>
        </w:rPr>
        <w:t>格式7、中华人民共和国金融许可证</w:t>
      </w:r>
      <w:bookmarkEnd w:id="147"/>
      <w:bookmarkEnd w:id="148"/>
      <w:bookmarkEnd w:id="149"/>
      <w:bookmarkEnd w:id="150"/>
    </w:p>
    <w:p>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中华人民共和国金融许可证</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jc w:val="center"/>
              <w:rPr>
                <w:rFonts w:ascii="Arial" w:hAnsi="新宋体" w:cs="Arial"/>
                <w:i/>
                <w:color w:val="FF0000"/>
                <w:szCs w:val="21"/>
              </w:rPr>
            </w:pPr>
            <w:r>
              <w:rPr>
                <w:rFonts w:hint="eastAsia" w:ascii="Arial" w:hAnsi="Arial" w:cs="Arial"/>
                <w:i/>
                <w:color w:val="FF0000"/>
                <w:kern w:val="0"/>
                <w:sz w:val="28"/>
                <w:szCs w:val="22"/>
              </w:rPr>
              <w:t>提供总机构中华人民共和国金融许可证</w:t>
            </w:r>
            <w:r>
              <w:rPr>
                <w:rFonts w:hint="eastAsia" w:ascii="Arial" w:hAnsi="Arial" w:cs="Arial"/>
                <w:i/>
                <w:color w:val="000000"/>
                <w:kern w:val="0"/>
                <w:sz w:val="28"/>
                <w:szCs w:val="22"/>
              </w:rPr>
              <w:t>（加盖投标银行公章）</w:t>
            </w:r>
          </w:p>
        </w:tc>
      </w:tr>
    </w:tbl>
    <w:p>
      <w:pPr>
        <w:pStyle w:val="3"/>
      </w:pPr>
      <w:r>
        <w:rPr>
          <w:rFonts w:ascii="Arial" w:hAnsi="Arial" w:cs="Arial"/>
          <w:i/>
          <w:color w:val="000000"/>
          <w:sz w:val="22"/>
          <w:szCs w:val="22"/>
        </w:rPr>
        <w:br w:type="page"/>
      </w:r>
      <w:bookmarkStart w:id="151" w:name="_Toc11154"/>
      <w:bookmarkStart w:id="152" w:name="_Toc452032137"/>
      <w:bookmarkStart w:id="153" w:name="_Toc8499"/>
      <w:bookmarkStart w:id="154" w:name="_Toc30706"/>
      <w:r>
        <w:rPr>
          <w:rFonts w:hint="eastAsia"/>
        </w:rPr>
        <w:t>格式8、中国人民银行苍南县支行上年度综合评价证明材料</w:t>
      </w:r>
      <w:bookmarkEnd w:id="151"/>
      <w:bookmarkEnd w:id="152"/>
      <w:bookmarkEnd w:id="153"/>
      <w:bookmarkEnd w:id="154"/>
    </w:p>
    <w:p>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中国人民银行苍南县支行上年度综合评价证明材料</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079" w:hRule="atLeast"/>
        </w:trPr>
        <w:tc>
          <w:tcPr>
            <w:tcW w:w="9145" w:type="dxa"/>
            <w:vAlign w:val="center"/>
          </w:tcPr>
          <w:p>
            <w:pPr>
              <w:jc w:val="center"/>
              <w:rPr>
                <w:rFonts w:ascii="Arial" w:hAnsi="新宋体" w:cs="Arial"/>
                <w:i/>
                <w:color w:val="FF0000"/>
                <w:szCs w:val="21"/>
              </w:rPr>
            </w:pPr>
            <w:r>
              <w:rPr>
                <w:rFonts w:hint="eastAsia" w:ascii="Arial" w:hAnsi="Arial" w:cs="Arial"/>
                <w:i/>
                <w:color w:val="000000"/>
                <w:kern w:val="0"/>
                <w:sz w:val="28"/>
                <w:szCs w:val="22"/>
              </w:rPr>
              <w:t>（加盖投标银行公章）</w:t>
            </w:r>
          </w:p>
        </w:tc>
      </w:tr>
    </w:tbl>
    <w:p/>
    <w:p>
      <w:pPr>
        <w:snapToGrid w:val="0"/>
        <w:rPr>
          <w:rFonts w:ascii="Arial" w:hAnsi="Arial" w:cs="Arial"/>
          <w:color w:val="000000"/>
          <w:sz w:val="22"/>
          <w:szCs w:val="22"/>
          <w:u w:val="single"/>
        </w:rPr>
      </w:pPr>
    </w:p>
    <w:p>
      <w:pPr>
        <w:pStyle w:val="3"/>
      </w:pPr>
      <w:r>
        <w:rPr>
          <w:rFonts w:ascii="Arial" w:hAnsi="Arial" w:cs="Arial"/>
          <w:color w:val="000000"/>
          <w:sz w:val="22"/>
          <w:szCs w:val="22"/>
          <w:u w:val="single"/>
        </w:rPr>
        <w:br w:type="page"/>
      </w:r>
      <w:bookmarkStart w:id="155" w:name="_Toc11980"/>
      <w:bookmarkStart w:id="156" w:name="_Toc452032139"/>
      <w:bookmarkStart w:id="157" w:name="_Toc825"/>
      <w:bookmarkStart w:id="158" w:name="_Toc8642"/>
      <w:r>
        <w:rPr>
          <w:rFonts w:hint="eastAsia"/>
        </w:rPr>
        <w:t>格式9、</w:t>
      </w:r>
      <w:r>
        <w:rPr>
          <w:rFonts w:hint="eastAsia"/>
          <w:szCs w:val="22"/>
        </w:rPr>
        <w:t>近三年内未发生金融风险及重大违约违法违纪声明</w:t>
      </w:r>
      <w:bookmarkEnd w:id="155"/>
      <w:bookmarkEnd w:id="156"/>
      <w:bookmarkEnd w:id="157"/>
      <w:bookmarkEnd w:id="158"/>
    </w:p>
    <w:p>
      <w:pPr>
        <w:ind w:firstLine="389"/>
        <w:rPr>
          <w:color w:val="000000"/>
        </w:rPr>
      </w:pPr>
    </w:p>
    <w:p>
      <w:pPr>
        <w:widowControl/>
        <w:jc w:val="center"/>
        <w:rPr>
          <w:rFonts w:ascii="华文中宋" w:hAnsi="华文中宋" w:eastAsia="华文中宋" w:cs="Arial"/>
          <w:b/>
          <w:color w:val="000000"/>
          <w:w w:val="80"/>
          <w:kern w:val="0"/>
          <w:sz w:val="44"/>
          <w:szCs w:val="44"/>
        </w:rPr>
      </w:pPr>
      <w:r>
        <w:rPr>
          <w:rFonts w:hint="eastAsia" w:ascii="华文中宋" w:hAnsi="华文中宋" w:eastAsia="华文中宋" w:cs="Arial"/>
          <w:b/>
          <w:color w:val="000000"/>
          <w:w w:val="80"/>
          <w:kern w:val="0"/>
          <w:sz w:val="44"/>
          <w:szCs w:val="44"/>
        </w:rPr>
        <w:t>近三年内未发生金融风险及重大违约违法违纪事件声明</w:t>
      </w:r>
    </w:p>
    <w:p>
      <w:pPr>
        <w:widowControl/>
        <w:jc w:val="center"/>
        <w:rPr>
          <w:rFonts w:ascii="华文中宋" w:hAnsi="华文中宋" w:eastAsia="华文中宋" w:cs="Arial"/>
          <w:b/>
          <w:color w:val="000000"/>
          <w:w w:val="80"/>
          <w:kern w:val="0"/>
          <w:sz w:val="28"/>
          <w:szCs w:val="44"/>
        </w:rPr>
      </w:pPr>
    </w:p>
    <w:p>
      <w:pPr>
        <w:rPr>
          <w:rFonts w:ascii="新宋体" w:hAnsi="新宋体" w:cs="Arial"/>
          <w:color w:val="000000"/>
          <w:sz w:val="22"/>
          <w:szCs w:val="22"/>
        </w:rPr>
      </w:pPr>
      <w:r>
        <w:rPr>
          <w:rFonts w:hint="eastAsia" w:ascii="华文中宋" w:hAnsi="华文中宋" w:eastAsia="华文中宋" w:cs="Arial"/>
          <w:b/>
          <w:color w:val="000000"/>
          <w:w w:val="90"/>
          <w:kern w:val="0"/>
          <w:u w:val="single"/>
        </w:rPr>
        <w:t>苍南县人民法院、杭州华旗招标代理有限公司：</w:t>
      </w:r>
    </w:p>
    <w:p>
      <w:pPr>
        <w:rPr>
          <w:rFonts w:ascii="华文中宋" w:hAnsi="华文中宋" w:eastAsia="华文中宋" w:cs="Arial"/>
          <w:color w:val="000000"/>
          <w:u w:val="single"/>
        </w:rPr>
      </w:pPr>
    </w:p>
    <w:p>
      <w:pPr>
        <w:ind w:firstLine="470" w:firstLineChars="196"/>
        <w:rPr>
          <w:rFonts w:ascii="华文中宋" w:hAnsi="华文中宋" w:eastAsia="华文中宋" w:cs="Arial"/>
          <w:color w:val="000000"/>
          <w:kern w:val="0"/>
        </w:rPr>
      </w:pPr>
      <w:r>
        <w:rPr>
          <w:rFonts w:hint="eastAsia" w:ascii="华文中宋" w:hAnsi="华文中宋" w:eastAsia="华文中宋" w:cs="Arial"/>
          <w:color w:val="000000"/>
        </w:rPr>
        <w:t>我方</w:t>
      </w:r>
      <w:r>
        <w:rPr>
          <w:rFonts w:ascii="华文中宋" w:hAnsi="华文中宋" w:eastAsia="华文中宋" w:cs="Arial"/>
          <w:color w:val="000000"/>
          <w:u w:val="single"/>
        </w:rPr>
        <w:t xml:space="preserve">        </w:t>
      </w:r>
      <w:r>
        <w:rPr>
          <w:rFonts w:hint="eastAsia" w:ascii="华文中宋" w:hAnsi="华文中宋" w:eastAsia="华文中宋" w:cs="Arial"/>
          <w:color w:val="000000"/>
          <w:u w:val="single"/>
        </w:rPr>
        <w:t>（投标银行名称）</w:t>
      </w:r>
      <w:r>
        <w:rPr>
          <w:rFonts w:ascii="华文中宋" w:hAnsi="华文中宋" w:eastAsia="华文中宋" w:cs="Arial"/>
          <w:color w:val="000000"/>
          <w:u w:val="single"/>
        </w:rPr>
        <w:t xml:space="preserve">             </w:t>
      </w:r>
      <w:r>
        <w:rPr>
          <w:rFonts w:hint="eastAsia" w:ascii="华文中宋" w:hAnsi="华文中宋" w:eastAsia="华文中宋" w:cs="Arial"/>
          <w:color w:val="000000"/>
        </w:rPr>
        <w:t>在参加本项目投标活动前三年内，未发生金融风险、重大违约、违法违纪行为</w:t>
      </w:r>
      <w:r>
        <w:rPr>
          <w:rFonts w:hint="eastAsia" w:ascii="华文中宋" w:hAnsi="华文中宋" w:eastAsia="华文中宋" w:cs="Arial"/>
          <w:color w:val="000000"/>
          <w:kern w:val="0"/>
        </w:rPr>
        <w:t>。如有虚假，招标人可取消我方任何资格（投标/谈判</w:t>
      </w:r>
      <w:r>
        <w:rPr>
          <w:rFonts w:ascii="华文中宋" w:hAnsi="华文中宋" w:eastAsia="华文中宋" w:cs="Arial"/>
          <w:color w:val="000000"/>
          <w:kern w:val="0"/>
        </w:rPr>
        <w:t>/</w:t>
      </w:r>
      <w:r>
        <w:rPr>
          <w:rFonts w:hint="eastAsia" w:ascii="华文中宋" w:hAnsi="华文中宋" w:eastAsia="华文中宋" w:cs="Arial"/>
          <w:color w:val="000000"/>
          <w:kern w:val="0"/>
        </w:rPr>
        <w:t>中标（成交）</w:t>
      </w:r>
      <w:r>
        <w:rPr>
          <w:rFonts w:ascii="华文中宋" w:hAnsi="华文中宋" w:eastAsia="华文中宋" w:cs="Arial"/>
          <w:color w:val="000000"/>
          <w:kern w:val="0"/>
        </w:rPr>
        <w:t>/</w:t>
      </w:r>
      <w:r>
        <w:rPr>
          <w:rFonts w:hint="eastAsia" w:ascii="华文中宋" w:hAnsi="华文中宋" w:eastAsia="华文中宋" w:cs="Arial"/>
          <w:color w:val="000000"/>
          <w:kern w:val="0"/>
        </w:rPr>
        <w:t>签订合同），我方对此无任何异议。</w:t>
      </w:r>
    </w:p>
    <w:p>
      <w:pPr>
        <w:ind w:firstLine="470" w:firstLineChars="196"/>
        <w:rPr>
          <w:rFonts w:ascii="华文中宋" w:hAnsi="华文中宋" w:eastAsia="华文中宋" w:cs="Arial"/>
          <w:color w:val="000000"/>
          <w:kern w:val="0"/>
        </w:rPr>
      </w:pPr>
    </w:p>
    <w:p>
      <w:pPr>
        <w:ind w:firstLine="480" w:firstLineChars="200"/>
        <w:rPr>
          <w:rFonts w:ascii="华文中宋" w:hAnsi="华文中宋" w:eastAsia="华文中宋" w:cs="Arial"/>
          <w:color w:val="000000"/>
        </w:rPr>
      </w:pPr>
      <w:r>
        <w:rPr>
          <w:rFonts w:hint="eastAsia" w:ascii="华文中宋" w:hAnsi="华文中宋" w:eastAsia="华文中宋" w:cs="Arial"/>
          <w:color w:val="000000"/>
        </w:rPr>
        <w:t>特此声明</w:t>
      </w:r>
    </w:p>
    <w:p>
      <w:pPr>
        <w:rPr>
          <w:rFonts w:ascii="华文中宋" w:hAnsi="华文中宋" w:eastAsia="华文中宋" w:cs="Arial"/>
          <w:color w:val="000000"/>
        </w:rPr>
      </w:pPr>
    </w:p>
    <w:p>
      <w:pPr>
        <w:snapToGrid w:val="0"/>
        <w:rPr>
          <w:rFonts w:ascii="华文中宋" w:hAnsi="华文中宋" w:eastAsia="华文中宋" w:cs="Arial"/>
          <w:color w:val="000000"/>
        </w:rPr>
      </w:pPr>
      <w:r>
        <w:rPr>
          <w:rFonts w:hint="eastAsia" w:ascii="华文中宋" w:hAnsi="华文中宋" w:eastAsia="华文中宋" w:cs="Arial"/>
          <w:color w:val="000000"/>
        </w:rPr>
        <w:t>投标银行名称（盖章）：</w:t>
      </w:r>
      <w:r>
        <w:rPr>
          <w:rFonts w:hint="eastAsia" w:ascii="华文中宋" w:hAnsi="华文中宋" w:eastAsia="华文中宋" w:cs="Arial"/>
          <w:color w:val="000000"/>
          <w:u w:val="single"/>
        </w:rPr>
        <w:t xml:space="preserve">                            </w:t>
      </w:r>
    </w:p>
    <w:p>
      <w:pPr>
        <w:snapToGrid w:val="0"/>
        <w:rPr>
          <w:rFonts w:ascii="华文中宋" w:hAnsi="华文中宋" w:eastAsia="华文中宋" w:cs="Arial"/>
          <w:color w:val="000000"/>
        </w:rPr>
      </w:pPr>
      <w:r>
        <w:rPr>
          <w:rFonts w:hint="eastAsia" w:ascii="华文中宋" w:hAnsi="华文中宋" w:eastAsia="华文中宋" w:cs="Arial"/>
          <w:color w:val="000000"/>
        </w:rPr>
        <w:t>法定代表人或其授权代表（签字或盖章）：</w:t>
      </w:r>
      <w:r>
        <w:rPr>
          <w:rFonts w:hint="eastAsia" w:ascii="华文中宋" w:hAnsi="华文中宋" w:eastAsia="华文中宋" w:cs="Arial"/>
          <w:color w:val="000000"/>
          <w:u w:val="single"/>
        </w:rPr>
        <w:t xml:space="preserve">                </w:t>
      </w:r>
    </w:p>
    <w:p>
      <w:pPr>
        <w:rPr>
          <w:rFonts w:ascii="华文中宋" w:hAnsi="华文中宋" w:eastAsia="华文中宋" w:cs="Arial"/>
          <w:color w:val="000000"/>
          <w:u w:val="single"/>
        </w:rPr>
      </w:pPr>
      <w:r>
        <w:rPr>
          <w:rFonts w:hint="eastAsia" w:ascii="华文中宋" w:hAnsi="华文中宋" w:eastAsia="华文中宋" w:cs="Arial"/>
          <w:color w:val="000000"/>
        </w:rPr>
        <w:t>日期：</w:t>
      </w:r>
      <w:r>
        <w:rPr>
          <w:rFonts w:hint="eastAsia" w:ascii="华文中宋" w:hAnsi="华文中宋" w:eastAsia="华文中宋" w:cs="Arial"/>
          <w:color w:val="000000"/>
          <w:u w:val="single"/>
        </w:rPr>
        <w:t xml:space="preserve">                                         </w:t>
      </w:r>
    </w:p>
    <w:p>
      <w:pPr>
        <w:pStyle w:val="3"/>
      </w:pPr>
      <w:r>
        <w:rPr>
          <w:rFonts w:cs="Arial"/>
          <w:color w:val="000000"/>
          <w:sz w:val="24"/>
          <w:u w:val="single"/>
        </w:rPr>
        <w:br w:type="page"/>
      </w:r>
      <w:bookmarkStart w:id="159" w:name="_Toc12313"/>
      <w:bookmarkStart w:id="160" w:name="_Toc452032140"/>
      <w:bookmarkStart w:id="161" w:name="_Toc16123"/>
      <w:bookmarkStart w:id="162" w:name="_Toc15117"/>
      <w:r>
        <w:rPr>
          <w:rFonts w:hint="eastAsia"/>
        </w:rPr>
        <w:t>格式10、</w:t>
      </w:r>
      <w:r>
        <w:rPr>
          <w:rFonts w:hint="eastAsia"/>
          <w:szCs w:val="22"/>
        </w:rPr>
        <w:t>关于财务稳健的书面声明</w:t>
      </w:r>
      <w:bookmarkEnd w:id="159"/>
      <w:bookmarkEnd w:id="160"/>
      <w:bookmarkEnd w:id="161"/>
      <w:bookmarkEnd w:id="162"/>
    </w:p>
    <w:p>
      <w:pPr>
        <w:ind w:firstLine="389"/>
        <w:rPr>
          <w:color w:val="000000"/>
        </w:rPr>
      </w:pPr>
    </w:p>
    <w:p>
      <w:pPr>
        <w:widowControl/>
        <w:jc w:val="center"/>
        <w:rPr>
          <w:rFonts w:ascii="华文中宋" w:hAnsi="华文中宋" w:eastAsia="华文中宋" w:cs="Arial"/>
          <w:b/>
          <w:color w:val="000000"/>
          <w:w w:val="80"/>
          <w:kern w:val="0"/>
          <w:sz w:val="44"/>
          <w:szCs w:val="44"/>
        </w:rPr>
      </w:pPr>
      <w:r>
        <w:rPr>
          <w:rFonts w:hint="eastAsia" w:ascii="华文中宋" w:hAnsi="华文中宋" w:eastAsia="华文中宋" w:cs="Arial"/>
          <w:b/>
          <w:color w:val="000000"/>
          <w:w w:val="80"/>
          <w:kern w:val="0"/>
          <w:sz w:val="44"/>
          <w:szCs w:val="44"/>
        </w:rPr>
        <w:t>关于财务稳健的书面声明</w:t>
      </w:r>
    </w:p>
    <w:p>
      <w:pPr>
        <w:widowControl/>
        <w:jc w:val="center"/>
        <w:rPr>
          <w:rFonts w:ascii="华文中宋" w:hAnsi="华文中宋" w:eastAsia="华文中宋" w:cs="Arial"/>
          <w:b/>
          <w:color w:val="000000"/>
          <w:w w:val="80"/>
          <w:kern w:val="0"/>
          <w:sz w:val="28"/>
          <w:szCs w:val="44"/>
        </w:rPr>
      </w:pPr>
    </w:p>
    <w:p>
      <w:pPr>
        <w:rPr>
          <w:rFonts w:ascii="新宋体" w:hAnsi="新宋体" w:cs="Arial"/>
          <w:color w:val="000000"/>
          <w:sz w:val="22"/>
          <w:szCs w:val="22"/>
        </w:rPr>
      </w:pPr>
      <w:r>
        <w:rPr>
          <w:rFonts w:hint="eastAsia" w:ascii="华文中宋" w:hAnsi="华文中宋" w:eastAsia="华文中宋" w:cs="Arial"/>
          <w:b/>
          <w:color w:val="000000"/>
          <w:w w:val="90"/>
          <w:kern w:val="0"/>
          <w:u w:val="single"/>
        </w:rPr>
        <w:t>苍南县人民法院、杭州华旗招标代理有限公司：</w:t>
      </w:r>
    </w:p>
    <w:p>
      <w:pPr>
        <w:rPr>
          <w:rFonts w:ascii="华文中宋" w:hAnsi="华文中宋" w:eastAsia="华文中宋" w:cs="Arial"/>
          <w:color w:val="000000"/>
          <w:u w:val="single"/>
        </w:rPr>
      </w:pPr>
    </w:p>
    <w:p>
      <w:pPr>
        <w:ind w:firstLine="470" w:firstLineChars="196"/>
        <w:rPr>
          <w:rFonts w:ascii="华文中宋" w:hAnsi="华文中宋" w:eastAsia="华文中宋" w:cs="Arial"/>
          <w:color w:val="000000"/>
          <w:kern w:val="0"/>
        </w:rPr>
      </w:pPr>
      <w:r>
        <w:rPr>
          <w:rFonts w:hint="eastAsia" w:ascii="华文中宋" w:hAnsi="华文中宋" w:eastAsia="华文中宋" w:cs="Arial"/>
          <w:color w:val="000000"/>
        </w:rPr>
        <w:t>我方</w:t>
      </w:r>
      <w:r>
        <w:rPr>
          <w:rFonts w:ascii="华文中宋" w:hAnsi="华文中宋" w:eastAsia="华文中宋" w:cs="Arial"/>
          <w:color w:val="000000"/>
          <w:u w:val="single"/>
        </w:rPr>
        <w:t xml:space="preserve">        </w:t>
      </w:r>
      <w:r>
        <w:rPr>
          <w:rFonts w:hint="eastAsia" w:ascii="华文中宋" w:hAnsi="华文中宋" w:eastAsia="华文中宋" w:cs="Arial"/>
          <w:color w:val="000000"/>
          <w:u w:val="single"/>
        </w:rPr>
        <w:t>（投标银行名称）</w:t>
      </w:r>
      <w:r>
        <w:rPr>
          <w:rFonts w:ascii="华文中宋" w:hAnsi="华文中宋" w:eastAsia="华文中宋" w:cs="Arial"/>
          <w:color w:val="000000"/>
          <w:u w:val="single"/>
        </w:rPr>
        <w:t xml:space="preserve">             </w:t>
      </w:r>
      <w:r>
        <w:rPr>
          <w:rFonts w:hint="eastAsia" w:ascii="华文中宋" w:hAnsi="华文中宋" w:eastAsia="华文中宋" w:cs="Arial"/>
          <w:color w:val="000000"/>
        </w:rPr>
        <w:t>目前各项财务指标正常，财务稳健，资金充足率、不良贷款率、拨备覆盖率、流动性覆盖率、流动性比例等指标均达到监管标准。</w:t>
      </w:r>
      <w:r>
        <w:rPr>
          <w:rFonts w:hint="eastAsia" w:ascii="华文中宋" w:hAnsi="华文中宋" w:eastAsia="华文中宋" w:cs="Arial"/>
          <w:color w:val="000000"/>
          <w:kern w:val="0"/>
        </w:rPr>
        <w:t>如有虚假，招标人可取消我方任何资格（投标/谈判</w:t>
      </w:r>
      <w:r>
        <w:rPr>
          <w:rFonts w:ascii="华文中宋" w:hAnsi="华文中宋" w:eastAsia="华文中宋" w:cs="Arial"/>
          <w:color w:val="000000"/>
          <w:kern w:val="0"/>
        </w:rPr>
        <w:t>/</w:t>
      </w:r>
      <w:r>
        <w:rPr>
          <w:rFonts w:hint="eastAsia" w:ascii="华文中宋" w:hAnsi="华文中宋" w:eastAsia="华文中宋" w:cs="Arial"/>
          <w:color w:val="000000"/>
          <w:kern w:val="0"/>
        </w:rPr>
        <w:t>中标（成交）</w:t>
      </w:r>
      <w:r>
        <w:rPr>
          <w:rFonts w:ascii="华文中宋" w:hAnsi="华文中宋" w:eastAsia="华文中宋" w:cs="Arial"/>
          <w:color w:val="000000"/>
          <w:kern w:val="0"/>
        </w:rPr>
        <w:t>/</w:t>
      </w:r>
      <w:r>
        <w:rPr>
          <w:rFonts w:hint="eastAsia" w:ascii="华文中宋" w:hAnsi="华文中宋" w:eastAsia="华文中宋" w:cs="Arial"/>
          <w:color w:val="000000"/>
          <w:kern w:val="0"/>
        </w:rPr>
        <w:t>签订合同），我方对此无任何异议。</w:t>
      </w:r>
    </w:p>
    <w:p>
      <w:pPr>
        <w:ind w:firstLine="470" w:firstLineChars="196"/>
        <w:rPr>
          <w:rFonts w:ascii="华文中宋" w:hAnsi="华文中宋" w:eastAsia="华文中宋" w:cs="Arial"/>
          <w:color w:val="000000"/>
          <w:kern w:val="0"/>
        </w:rPr>
      </w:pPr>
    </w:p>
    <w:p>
      <w:pPr>
        <w:ind w:firstLine="480" w:firstLineChars="200"/>
        <w:rPr>
          <w:rFonts w:ascii="华文中宋" w:hAnsi="华文中宋" w:eastAsia="华文中宋" w:cs="Arial"/>
          <w:color w:val="000000"/>
        </w:rPr>
      </w:pPr>
      <w:r>
        <w:rPr>
          <w:rFonts w:hint="eastAsia" w:ascii="华文中宋" w:hAnsi="华文中宋" w:eastAsia="华文中宋" w:cs="Arial"/>
          <w:color w:val="000000"/>
        </w:rPr>
        <w:t>特此声明</w:t>
      </w:r>
    </w:p>
    <w:p>
      <w:pPr>
        <w:rPr>
          <w:rFonts w:ascii="华文中宋" w:hAnsi="华文中宋" w:eastAsia="华文中宋" w:cs="Arial"/>
          <w:color w:val="000000"/>
        </w:rPr>
      </w:pPr>
    </w:p>
    <w:p>
      <w:pPr>
        <w:snapToGrid w:val="0"/>
        <w:rPr>
          <w:rFonts w:ascii="华文中宋" w:hAnsi="华文中宋" w:eastAsia="华文中宋" w:cs="Arial"/>
          <w:color w:val="000000"/>
        </w:rPr>
      </w:pPr>
      <w:r>
        <w:rPr>
          <w:rFonts w:hint="eastAsia" w:ascii="华文中宋" w:hAnsi="华文中宋" w:eastAsia="华文中宋" w:cs="Arial"/>
          <w:color w:val="000000"/>
        </w:rPr>
        <w:t>投标银行名称（盖章）：</w:t>
      </w:r>
      <w:r>
        <w:rPr>
          <w:rFonts w:hint="eastAsia" w:ascii="华文中宋" w:hAnsi="华文中宋" w:eastAsia="华文中宋" w:cs="Arial"/>
          <w:color w:val="000000"/>
          <w:u w:val="single"/>
        </w:rPr>
        <w:t xml:space="preserve">                            </w:t>
      </w:r>
    </w:p>
    <w:p>
      <w:pPr>
        <w:snapToGrid w:val="0"/>
        <w:rPr>
          <w:rFonts w:ascii="华文中宋" w:hAnsi="华文中宋" w:eastAsia="华文中宋" w:cs="Arial"/>
          <w:color w:val="000000"/>
        </w:rPr>
      </w:pPr>
      <w:r>
        <w:rPr>
          <w:rFonts w:hint="eastAsia" w:ascii="华文中宋" w:hAnsi="华文中宋" w:eastAsia="华文中宋" w:cs="Arial"/>
          <w:color w:val="000000"/>
        </w:rPr>
        <w:t>法定代表人或其授权代表（签字或盖章）：</w:t>
      </w:r>
      <w:r>
        <w:rPr>
          <w:rFonts w:hint="eastAsia" w:ascii="华文中宋" w:hAnsi="华文中宋" w:eastAsia="华文中宋" w:cs="Arial"/>
          <w:color w:val="000000"/>
          <w:u w:val="single"/>
        </w:rPr>
        <w:t xml:space="preserve">                </w:t>
      </w:r>
    </w:p>
    <w:p>
      <w:pPr>
        <w:rPr>
          <w:rFonts w:ascii="Arial" w:hAnsi="Arial" w:cs="Arial"/>
          <w:color w:val="000000"/>
          <w:sz w:val="22"/>
          <w:szCs w:val="22"/>
          <w:u w:val="single"/>
        </w:rPr>
      </w:pPr>
      <w:r>
        <w:rPr>
          <w:rFonts w:hint="eastAsia" w:ascii="华文中宋" w:hAnsi="华文中宋" w:eastAsia="华文中宋" w:cs="Arial"/>
          <w:color w:val="000000"/>
        </w:rPr>
        <w:t>日期：</w:t>
      </w:r>
      <w:r>
        <w:rPr>
          <w:rFonts w:hint="eastAsia" w:ascii="华文中宋" w:hAnsi="华文中宋" w:eastAsia="华文中宋" w:cs="Arial"/>
          <w:color w:val="000000"/>
          <w:u w:val="single"/>
        </w:rPr>
        <w:t xml:space="preserve">                                         </w:t>
      </w:r>
    </w:p>
    <w:p>
      <w:pPr>
        <w:pStyle w:val="3"/>
      </w:pPr>
      <w:r>
        <w:rPr>
          <w:rFonts w:ascii="Arial" w:hAnsi="Arial" w:cs="Arial"/>
          <w:color w:val="000000"/>
          <w:sz w:val="22"/>
          <w:szCs w:val="22"/>
          <w:u w:val="single"/>
        </w:rPr>
        <w:br w:type="page"/>
      </w:r>
      <w:bookmarkStart w:id="163" w:name="_Toc7601"/>
      <w:bookmarkStart w:id="164" w:name="_Toc452032141"/>
      <w:bookmarkStart w:id="165" w:name="_Toc13492"/>
      <w:bookmarkStart w:id="166" w:name="_Toc30718"/>
      <w:r>
        <w:rPr>
          <w:rFonts w:hint="eastAsia"/>
        </w:rPr>
        <w:t>格式11、其他证书等材料</w:t>
      </w:r>
      <w:bookmarkEnd w:id="163"/>
      <w:bookmarkEnd w:id="164"/>
      <w:bookmarkEnd w:id="165"/>
      <w:bookmarkEnd w:id="166"/>
    </w:p>
    <w:p>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其他证书等材料</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006" w:hRule="atLeast"/>
        </w:trPr>
        <w:tc>
          <w:tcPr>
            <w:tcW w:w="9145" w:type="dxa"/>
            <w:vAlign w:val="center"/>
          </w:tcPr>
          <w:p>
            <w:pPr>
              <w:jc w:val="center"/>
              <w:rPr>
                <w:rFonts w:ascii="Arial" w:hAnsi="新宋体" w:cs="Arial"/>
                <w:i/>
                <w:color w:val="FF0000"/>
                <w:szCs w:val="21"/>
              </w:rPr>
            </w:pPr>
            <w:r>
              <w:rPr>
                <w:rFonts w:hint="eastAsia" w:ascii="Arial" w:hAnsi="Arial" w:cs="Arial"/>
                <w:i/>
                <w:color w:val="FF0000"/>
                <w:kern w:val="0"/>
                <w:sz w:val="28"/>
                <w:szCs w:val="22"/>
              </w:rPr>
              <w:t>投标银行其他资质、资格、许可证书以及技术资信评审中要求提供的其他材料</w:t>
            </w:r>
            <w:r>
              <w:rPr>
                <w:rFonts w:hint="eastAsia" w:ascii="Arial" w:hAnsi="Arial" w:cs="Arial"/>
                <w:i/>
                <w:color w:val="000000"/>
                <w:kern w:val="0"/>
                <w:sz w:val="28"/>
                <w:szCs w:val="22"/>
              </w:rPr>
              <w:t>（加盖投标银行公章）</w:t>
            </w:r>
          </w:p>
        </w:tc>
      </w:tr>
    </w:tbl>
    <w:p>
      <w:pPr>
        <w:rPr>
          <w:rFonts w:ascii="Arial" w:hAnsi="Arial" w:cs="Arial"/>
          <w:color w:val="000000"/>
          <w:sz w:val="22"/>
          <w:szCs w:val="22"/>
          <w:u w:val="single"/>
        </w:rPr>
      </w:pPr>
    </w:p>
    <w:p>
      <w:pPr>
        <w:pStyle w:val="3"/>
      </w:pPr>
      <w:r>
        <w:rPr>
          <w:rFonts w:ascii="Arial" w:hAnsi="Arial" w:cs="Arial"/>
          <w:color w:val="000000"/>
          <w:sz w:val="22"/>
          <w:szCs w:val="22"/>
          <w:u w:val="single"/>
        </w:rPr>
        <w:br w:type="page"/>
      </w:r>
      <w:bookmarkStart w:id="167" w:name="_Toc20608"/>
      <w:bookmarkStart w:id="168" w:name="_Toc3140"/>
      <w:bookmarkStart w:id="169" w:name="_Toc12603"/>
      <w:bookmarkStart w:id="170" w:name="_Toc452032142"/>
      <w:r>
        <w:rPr>
          <w:rFonts w:hint="eastAsia"/>
        </w:rPr>
        <w:t>格式12、投标银行情况介绍</w:t>
      </w:r>
      <w:bookmarkEnd w:id="167"/>
      <w:bookmarkEnd w:id="168"/>
      <w:bookmarkEnd w:id="169"/>
      <w:bookmarkEnd w:id="170"/>
    </w:p>
    <w:p>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投标银行情况介绍</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006" w:hRule="atLeast"/>
        </w:trPr>
        <w:tc>
          <w:tcPr>
            <w:tcW w:w="9145" w:type="dxa"/>
            <w:vAlign w:val="center"/>
          </w:tcPr>
          <w:p>
            <w:pPr>
              <w:jc w:val="center"/>
              <w:rPr>
                <w:rFonts w:ascii="Arial" w:hAnsi="新宋体" w:cs="Arial"/>
                <w:i/>
                <w:color w:val="FF0000"/>
                <w:szCs w:val="21"/>
              </w:rPr>
            </w:pPr>
          </w:p>
        </w:tc>
      </w:tr>
    </w:tbl>
    <w:p>
      <w:pPr>
        <w:rPr>
          <w:rFonts w:ascii="Arial" w:hAnsi="Arial" w:cs="Arial"/>
          <w:color w:val="000000"/>
          <w:sz w:val="22"/>
          <w:szCs w:val="22"/>
          <w:u w:val="single"/>
        </w:rPr>
      </w:pPr>
    </w:p>
    <w:p>
      <w:pPr>
        <w:pStyle w:val="3"/>
      </w:pPr>
      <w:r>
        <w:br w:type="page"/>
      </w:r>
      <w:bookmarkStart w:id="171" w:name="_Toc452032143"/>
      <w:bookmarkStart w:id="172" w:name="_Toc24163"/>
      <w:bookmarkStart w:id="173" w:name="_Toc3884"/>
      <w:bookmarkStart w:id="174" w:name="_Toc32134"/>
      <w:r>
        <w:rPr>
          <w:rFonts w:hint="eastAsia"/>
        </w:rPr>
        <w:t>格式</w:t>
      </w:r>
      <w:r>
        <w:t>1</w:t>
      </w:r>
      <w:r>
        <w:rPr>
          <w:rFonts w:hint="eastAsia"/>
        </w:rPr>
        <w:t>3、针对本项目的服务方案与承诺</w:t>
      </w:r>
      <w:bookmarkEnd w:id="171"/>
      <w:bookmarkEnd w:id="172"/>
      <w:bookmarkEnd w:id="173"/>
      <w:bookmarkEnd w:id="174"/>
    </w:p>
    <w:p>
      <w:pPr>
        <w:jc w:val="center"/>
        <w:rPr>
          <w:rFonts w:ascii="华文中宋" w:hAnsi="华文中宋" w:eastAsia="华文中宋"/>
          <w:b/>
          <w:color w:val="000000"/>
          <w:sz w:val="40"/>
        </w:rPr>
      </w:pPr>
      <w:r>
        <w:rPr>
          <w:rFonts w:hint="eastAsia" w:ascii="华文中宋" w:hAnsi="华文中宋" w:eastAsia="华文中宋"/>
          <w:b/>
          <w:color w:val="000000"/>
          <w:sz w:val="40"/>
        </w:rPr>
        <w:t>服务方案与承诺</w:t>
      </w:r>
    </w:p>
    <w:p>
      <w:pPr>
        <w:rPr>
          <w:rFonts w:hint="eastAsia" w:ascii="Arial" w:hAnsi="Arial" w:eastAsia="仿宋" w:cs="Arial"/>
          <w:b/>
          <w:color w:val="000000"/>
          <w:sz w:val="22"/>
          <w:szCs w:val="22"/>
          <w:lang w:eastAsia="zh-CN"/>
        </w:rPr>
      </w:pPr>
      <w:r>
        <w:rPr>
          <w:rFonts w:hint="eastAsia" w:ascii="Arial" w:hAnsi="新宋体" w:cs="Arial"/>
          <w:b/>
          <w:color w:val="000000"/>
          <w:sz w:val="22"/>
          <w:szCs w:val="22"/>
        </w:rPr>
        <w:t>项目</w:t>
      </w:r>
      <w:r>
        <w:rPr>
          <w:rFonts w:ascii="Arial" w:hAnsi="新宋体" w:cs="Arial"/>
          <w:b/>
          <w:color w:val="000000"/>
          <w:sz w:val="22"/>
          <w:szCs w:val="22"/>
        </w:rPr>
        <w:t>名称：</w:t>
      </w:r>
      <w:r>
        <w:rPr>
          <w:rFonts w:hint="eastAsia" w:ascii="Arial" w:hAnsi="Arial" w:cs="Arial"/>
          <w:b/>
          <w:color w:val="000000"/>
          <w:sz w:val="22"/>
          <w:szCs w:val="22"/>
          <w:u w:val="single"/>
          <w:lang w:eastAsia="zh-CN"/>
        </w:rPr>
        <w:t>苍南县人民法院2024年度公款竞争性存放项目</w:t>
      </w:r>
    </w:p>
    <w:p>
      <w:pPr>
        <w:rPr>
          <w:rFonts w:hint="eastAsia" w:ascii="华文中宋" w:hAnsi="华文中宋" w:eastAsia="仿宋" w:cs="Arial"/>
          <w:b/>
          <w:color w:val="000000"/>
          <w:kern w:val="0"/>
          <w:sz w:val="22"/>
          <w:szCs w:val="22"/>
          <w:u w:val="single"/>
          <w:lang w:eastAsia="zh-CN"/>
        </w:rPr>
      </w:pPr>
      <w:r>
        <w:rPr>
          <w:rFonts w:ascii="Arial" w:hAnsi="新宋体" w:cs="Arial"/>
          <w:b/>
          <w:color w:val="000000"/>
          <w:sz w:val="22"/>
          <w:szCs w:val="22"/>
        </w:rPr>
        <w:t>项目编号：</w:t>
      </w:r>
      <w:r>
        <w:rPr>
          <w:rFonts w:hint="eastAsia" w:ascii="华文中宋" w:hAnsi="华文中宋" w:eastAsia="华文中宋" w:cs="Arial"/>
          <w:b/>
          <w:color w:val="000000"/>
          <w:kern w:val="0"/>
          <w:sz w:val="22"/>
          <w:szCs w:val="22"/>
          <w:u w:val="single"/>
          <w:lang w:eastAsia="zh-CN"/>
        </w:rPr>
        <w:t>苍产告字[2024]04号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72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725" w:type="dxa"/>
            <w:vAlign w:val="center"/>
          </w:tcPr>
          <w:p>
            <w:pPr>
              <w:jc w:val="center"/>
              <w:rPr>
                <w:rFonts w:ascii="Arial" w:hAnsi="新宋体" w:cs="Arial"/>
                <w:i/>
                <w:color w:val="FF0000"/>
                <w:szCs w:val="21"/>
              </w:rPr>
            </w:pPr>
          </w:p>
        </w:tc>
      </w:tr>
    </w:tbl>
    <w:p>
      <w:pPr>
        <w:snapToGrid w:val="0"/>
        <w:rPr>
          <w:rFonts w:ascii="新宋体" w:hAnsi="新宋体" w:cs="Arial"/>
          <w:color w:val="000000"/>
          <w:sz w:val="22"/>
          <w:szCs w:val="22"/>
        </w:rPr>
      </w:pPr>
      <w:r>
        <w:rPr>
          <w:rFonts w:hint="eastAsia" w:ascii="新宋体" w:hAnsi="新宋体" w:cs="Arial"/>
          <w:color w:val="000000"/>
          <w:sz w:val="22"/>
          <w:szCs w:val="22"/>
        </w:rPr>
        <w:t>投标银行名称（盖章）：</w:t>
      </w:r>
      <w:r>
        <w:rPr>
          <w:rFonts w:hint="eastAsia" w:ascii="新宋体" w:hAnsi="新宋体" w:cs="Arial"/>
          <w:color w:val="000000"/>
          <w:sz w:val="22"/>
          <w:szCs w:val="22"/>
          <w:u w:val="single"/>
        </w:rPr>
        <w:t xml:space="preserve">                            </w:t>
      </w:r>
    </w:p>
    <w:p>
      <w:pPr>
        <w:snapToGrid w:val="0"/>
        <w:rPr>
          <w:rFonts w:ascii="新宋体" w:hAnsi="新宋体" w:cs="Arial"/>
          <w:color w:val="000000"/>
          <w:sz w:val="22"/>
          <w:szCs w:val="22"/>
        </w:rPr>
      </w:pPr>
      <w:r>
        <w:rPr>
          <w:rFonts w:hint="eastAsia" w:ascii="新宋体" w:hAnsi="新宋体" w:cs="Arial"/>
          <w:color w:val="000000"/>
          <w:sz w:val="22"/>
          <w:szCs w:val="22"/>
        </w:rPr>
        <w:t>法定代表人或其授权代表（签字或盖章）：</w:t>
      </w:r>
      <w:r>
        <w:rPr>
          <w:rFonts w:hint="eastAsia" w:ascii="新宋体" w:hAnsi="新宋体" w:cs="Arial"/>
          <w:color w:val="000000"/>
          <w:sz w:val="22"/>
          <w:szCs w:val="22"/>
          <w:u w:val="single"/>
        </w:rPr>
        <w:t xml:space="preserve">                </w:t>
      </w:r>
    </w:p>
    <w:p>
      <w:pPr>
        <w:rPr>
          <w:u w:val="single"/>
        </w:rPr>
      </w:pPr>
      <w:r>
        <w:rPr>
          <w:rFonts w:hint="eastAsia"/>
        </w:rPr>
        <w:t>日期：</w:t>
      </w:r>
      <w:r>
        <w:rPr>
          <w:rFonts w:hint="eastAsia"/>
          <w:u w:val="single"/>
        </w:rPr>
        <w:t xml:space="preserve">                                         </w:t>
      </w:r>
    </w:p>
    <w:p>
      <w:pPr>
        <w:pStyle w:val="3"/>
      </w:pPr>
      <w:r>
        <w:br w:type="page"/>
      </w:r>
      <w:bookmarkStart w:id="175" w:name="_Toc2784"/>
      <w:bookmarkStart w:id="176" w:name="_Toc18517"/>
      <w:bookmarkStart w:id="177" w:name="_Toc452032144"/>
      <w:bookmarkStart w:id="178" w:name="_Toc2480"/>
      <w:r>
        <w:rPr>
          <w:rFonts w:hint="eastAsia"/>
        </w:rPr>
        <w:t>格式</w:t>
      </w:r>
      <w:r>
        <w:t>1</w:t>
      </w:r>
      <w:r>
        <w:rPr>
          <w:rFonts w:hint="eastAsia"/>
        </w:rPr>
        <w:t>4、指标说明</w:t>
      </w:r>
      <w:bookmarkEnd w:id="175"/>
      <w:bookmarkEnd w:id="176"/>
      <w:bookmarkEnd w:id="177"/>
      <w:bookmarkEnd w:id="178"/>
    </w:p>
    <w:p>
      <w:pPr>
        <w:jc w:val="center"/>
        <w:rPr>
          <w:rFonts w:ascii="华文中宋" w:hAnsi="华文中宋" w:eastAsia="华文中宋"/>
          <w:b/>
          <w:color w:val="000000"/>
          <w:sz w:val="40"/>
        </w:rPr>
      </w:pPr>
      <w:r>
        <w:rPr>
          <w:rFonts w:hint="eastAsia" w:ascii="华文中宋" w:hAnsi="华文中宋" w:eastAsia="华文中宋"/>
          <w:b/>
          <w:color w:val="000000"/>
          <w:sz w:val="40"/>
        </w:rPr>
        <w:t>指标说明</w:t>
      </w:r>
    </w:p>
    <w:p>
      <w:pPr>
        <w:rPr>
          <w:rFonts w:hint="eastAsia" w:ascii="Arial" w:hAnsi="Arial" w:eastAsia="仿宋" w:cs="Arial"/>
          <w:b/>
          <w:color w:val="000000"/>
          <w:sz w:val="22"/>
          <w:szCs w:val="22"/>
          <w:lang w:eastAsia="zh-CN"/>
        </w:rPr>
      </w:pPr>
      <w:r>
        <w:rPr>
          <w:rFonts w:hint="eastAsia" w:ascii="Arial" w:hAnsi="新宋体" w:cs="Arial"/>
          <w:b/>
          <w:color w:val="000000"/>
          <w:sz w:val="22"/>
          <w:szCs w:val="22"/>
        </w:rPr>
        <w:t>项目</w:t>
      </w:r>
      <w:r>
        <w:rPr>
          <w:rFonts w:ascii="Arial" w:hAnsi="新宋体" w:cs="Arial"/>
          <w:b/>
          <w:color w:val="000000"/>
          <w:sz w:val="22"/>
          <w:szCs w:val="22"/>
        </w:rPr>
        <w:t>名称：</w:t>
      </w:r>
      <w:r>
        <w:rPr>
          <w:rFonts w:hint="eastAsia" w:ascii="Arial" w:hAnsi="Arial" w:cs="Arial"/>
          <w:b/>
          <w:color w:val="000000"/>
          <w:sz w:val="22"/>
          <w:szCs w:val="22"/>
          <w:u w:val="single"/>
          <w:lang w:eastAsia="zh-CN"/>
        </w:rPr>
        <w:t>苍南县人民法院2024年度公款竞争性存放项目</w:t>
      </w:r>
    </w:p>
    <w:p>
      <w:pPr>
        <w:rPr>
          <w:rFonts w:hint="eastAsia" w:ascii="华文中宋" w:hAnsi="华文中宋" w:eastAsia="仿宋" w:cs="Arial"/>
          <w:b/>
          <w:color w:val="000000"/>
          <w:kern w:val="0"/>
          <w:sz w:val="22"/>
          <w:szCs w:val="22"/>
          <w:u w:val="single"/>
          <w:lang w:eastAsia="zh-CN"/>
        </w:rPr>
      </w:pPr>
      <w:r>
        <w:rPr>
          <w:rFonts w:ascii="Arial" w:hAnsi="新宋体" w:cs="Arial"/>
          <w:b/>
          <w:color w:val="000000"/>
          <w:sz w:val="22"/>
          <w:szCs w:val="22"/>
        </w:rPr>
        <w:t>项目编号：</w:t>
      </w:r>
      <w:r>
        <w:rPr>
          <w:rFonts w:hint="eastAsia" w:ascii="华文中宋" w:hAnsi="华文中宋" w:eastAsia="华文中宋" w:cs="Arial"/>
          <w:b/>
          <w:color w:val="000000"/>
          <w:kern w:val="0"/>
          <w:sz w:val="22"/>
          <w:szCs w:val="22"/>
          <w:u w:val="single"/>
          <w:lang w:eastAsia="zh-CN"/>
        </w:rPr>
        <w:t>苍产告字[2024]04号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739"/>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739" w:type="dxa"/>
            <w:vAlign w:val="center"/>
          </w:tcPr>
          <w:p>
            <w:pPr>
              <w:jc w:val="center"/>
              <w:rPr>
                <w:rFonts w:ascii="Arial" w:hAnsi="新宋体" w:cs="Arial"/>
                <w:i/>
                <w:color w:val="FF0000"/>
                <w:szCs w:val="21"/>
              </w:rPr>
            </w:pPr>
            <w:r>
              <w:rPr>
                <w:rFonts w:hint="eastAsia" w:ascii="Arial" w:hAnsi="新宋体" w:cs="Arial"/>
                <w:color w:val="000000"/>
                <w:w w:val="90"/>
                <w:sz w:val="22"/>
                <w:szCs w:val="22"/>
              </w:rPr>
              <w:t>包括经营状况指标、服务水平指标、经济发展贡献指标、综合收益水平指标</w:t>
            </w:r>
          </w:p>
        </w:tc>
      </w:tr>
    </w:tbl>
    <w:p>
      <w:pPr>
        <w:snapToGrid w:val="0"/>
        <w:rPr>
          <w:rFonts w:ascii="新宋体" w:hAnsi="新宋体" w:cs="Arial"/>
          <w:color w:val="000000"/>
          <w:sz w:val="22"/>
          <w:szCs w:val="22"/>
        </w:rPr>
      </w:pPr>
      <w:r>
        <w:rPr>
          <w:rFonts w:hint="eastAsia" w:ascii="新宋体" w:hAnsi="新宋体" w:cs="Arial"/>
          <w:color w:val="000000"/>
          <w:sz w:val="22"/>
          <w:szCs w:val="22"/>
        </w:rPr>
        <w:t>投标银行名称（盖章）：</w:t>
      </w:r>
      <w:r>
        <w:rPr>
          <w:rFonts w:hint="eastAsia" w:ascii="新宋体" w:hAnsi="新宋体" w:cs="Arial"/>
          <w:color w:val="000000"/>
          <w:sz w:val="22"/>
          <w:szCs w:val="22"/>
          <w:u w:val="single"/>
        </w:rPr>
        <w:t xml:space="preserve">                            </w:t>
      </w:r>
    </w:p>
    <w:p>
      <w:pPr>
        <w:snapToGrid w:val="0"/>
        <w:rPr>
          <w:rFonts w:ascii="新宋体" w:hAnsi="新宋体" w:cs="Arial"/>
          <w:color w:val="000000"/>
          <w:sz w:val="22"/>
          <w:szCs w:val="22"/>
        </w:rPr>
      </w:pPr>
      <w:r>
        <w:rPr>
          <w:rFonts w:hint="eastAsia" w:ascii="新宋体" w:hAnsi="新宋体" w:cs="Arial"/>
          <w:color w:val="000000"/>
          <w:sz w:val="22"/>
          <w:szCs w:val="22"/>
        </w:rPr>
        <w:t>法定代表人或其授权代表（签字或盖章）：</w:t>
      </w:r>
      <w:r>
        <w:rPr>
          <w:rFonts w:hint="eastAsia" w:ascii="新宋体" w:hAnsi="新宋体" w:cs="Arial"/>
          <w:color w:val="000000"/>
          <w:sz w:val="22"/>
          <w:szCs w:val="22"/>
          <w:u w:val="single"/>
        </w:rPr>
        <w:t xml:space="preserve">                </w:t>
      </w:r>
    </w:p>
    <w:p>
      <w:pPr>
        <w:rPr>
          <w:u w:val="single"/>
        </w:rPr>
      </w:pPr>
      <w:r>
        <w:rPr>
          <w:rFonts w:hint="eastAsia"/>
        </w:rPr>
        <w:t>日期：</w:t>
      </w:r>
      <w:r>
        <w:rPr>
          <w:rFonts w:hint="eastAsia"/>
          <w:u w:val="single"/>
        </w:rPr>
        <w:t xml:space="preserve">                                         </w:t>
      </w:r>
    </w:p>
    <w:p>
      <w:pPr>
        <w:pStyle w:val="3"/>
      </w:pPr>
      <w:r>
        <w:rPr>
          <w:u w:val="single"/>
        </w:rPr>
        <w:br w:type="page"/>
      </w:r>
      <w:bookmarkStart w:id="179" w:name="_Toc452032145"/>
      <w:bookmarkStart w:id="180" w:name="_Toc31138"/>
      <w:bookmarkStart w:id="181" w:name="_Toc18127"/>
      <w:bookmarkStart w:id="182" w:name="_Toc26975"/>
      <w:r>
        <w:rPr>
          <w:rFonts w:hint="eastAsia"/>
        </w:rPr>
        <w:t>格式</w:t>
      </w:r>
      <w:r>
        <w:t>1</w:t>
      </w:r>
      <w:r>
        <w:rPr>
          <w:rFonts w:hint="eastAsia"/>
        </w:rPr>
        <w:t>5、优惠承诺</w:t>
      </w:r>
      <w:bookmarkEnd w:id="179"/>
      <w:bookmarkEnd w:id="180"/>
      <w:bookmarkEnd w:id="181"/>
      <w:bookmarkEnd w:id="182"/>
    </w:p>
    <w:p>
      <w:pPr>
        <w:jc w:val="center"/>
        <w:rPr>
          <w:rFonts w:ascii="华文中宋" w:hAnsi="华文中宋" w:eastAsia="华文中宋"/>
          <w:b/>
          <w:color w:val="000000"/>
          <w:sz w:val="40"/>
        </w:rPr>
      </w:pPr>
      <w:r>
        <w:rPr>
          <w:rFonts w:hint="eastAsia" w:ascii="华文中宋" w:hAnsi="华文中宋" w:eastAsia="华文中宋"/>
          <w:b/>
          <w:color w:val="000000"/>
          <w:sz w:val="40"/>
        </w:rPr>
        <w:t>优惠承诺</w:t>
      </w:r>
    </w:p>
    <w:p>
      <w:pPr>
        <w:rPr>
          <w:rFonts w:hint="eastAsia" w:ascii="Arial" w:hAnsi="Arial" w:eastAsia="仿宋" w:cs="Arial"/>
          <w:b/>
          <w:color w:val="000000"/>
          <w:sz w:val="22"/>
          <w:szCs w:val="22"/>
          <w:lang w:eastAsia="zh-CN"/>
        </w:rPr>
      </w:pPr>
      <w:r>
        <w:rPr>
          <w:rFonts w:hint="eastAsia" w:ascii="Arial" w:hAnsi="新宋体" w:cs="Arial"/>
          <w:b/>
          <w:color w:val="000000"/>
          <w:sz w:val="22"/>
          <w:szCs w:val="22"/>
        </w:rPr>
        <w:t>项目</w:t>
      </w:r>
      <w:r>
        <w:rPr>
          <w:rFonts w:ascii="Arial" w:hAnsi="新宋体" w:cs="Arial"/>
          <w:b/>
          <w:color w:val="000000"/>
          <w:sz w:val="22"/>
          <w:szCs w:val="22"/>
        </w:rPr>
        <w:t>名称：</w:t>
      </w:r>
      <w:r>
        <w:rPr>
          <w:rFonts w:hint="eastAsia" w:ascii="Arial" w:hAnsi="Arial" w:cs="Arial"/>
          <w:b/>
          <w:color w:val="000000"/>
          <w:sz w:val="22"/>
          <w:szCs w:val="22"/>
          <w:u w:val="single"/>
          <w:lang w:eastAsia="zh-CN"/>
        </w:rPr>
        <w:t>苍南县人民法院2024年度公款竞争性存放项目</w:t>
      </w:r>
    </w:p>
    <w:p>
      <w:pPr>
        <w:rPr>
          <w:rFonts w:hint="eastAsia" w:ascii="华文中宋" w:hAnsi="华文中宋" w:eastAsia="仿宋" w:cs="Arial"/>
          <w:b/>
          <w:color w:val="000000"/>
          <w:kern w:val="0"/>
          <w:sz w:val="22"/>
          <w:szCs w:val="22"/>
          <w:u w:val="single"/>
          <w:lang w:eastAsia="zh-CN"/>
        </w:rPr>
      </w:pPr>
      <w:r>
        <w:rPr>
          <w:rFonts w:ascii="Arial" w:hAnsi="新宋体" w:cs="Arial"/>
          <w:b/>
          <w:color w:val="000000"/>
          <w:sz w:val="22"/>
          <w:szCs w:val="22"/>
        </w:rPr>
        <w:t>项目编号：</w:t>
      </w:r>
      <w:r>
        <w:rPr>
          <w:rFonts w:hint="eastAsia" w:ascii="华文中宋" w:hAnsi="华文中宋" w:eastAsia="华文中宋" w:cs="Arial"/>
          <w:b/>
          <w:color w:val="000000"/>
          <w:kern w:val="0"/>
          <w:sz w:val="22"/>
          <w:szCs w:val="22"/>
          <w:u w:val="single"/>
          <w:lang w:eastAsia="zh-CN"/>
        </w:rPr>
        <w:t>苍产告字[2024]04号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900"/>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900" w:type="dxa"/>
            <w:vAlign w:val="center"/>
          </w:tcPr>
          <w:p>
            <w:pPr>
              <w:jc w:val="center"/>
              <w:rPr>
                <w:rFonts w:ascii="Arial" w:hAnsi="新宋体" w:cs="Arial"/>
                <w:i/>
                <w:color w:val="FF0000"/>
                <w:szCs w:val="21"/>
              </w:rPr>
            </w:pPr>
          </w:p>
        </w:tc>
      </w:tr>
    </w:tbl>
    <w:p>
      <w:pPr>
        <w:snapToGrid w:val="0"/>
        <w:rPr>
          <w:rFonts w:ascii="新宋体" w:hAnsi="新宋体" w:cs="Arial"/>
          <w:color w:val="000000"/>
          <w:sz w:val="22"/>
          <w:szCs w:val="22"/>
        </w:rPr>
      </w:pPr>
      <w:r>
        <w:rPr>
          <w:rFonts w:hint="eastAsia" w:ascii="新宋体" w:hAnsi="新宋体" w:cs="Arial"/>
          <w:color w:val="000000"/>
          <w:sz w:val="22"/>
          <w:szCs w:val="22"/>
        </w:rPr>
        <w:t>投标银行名称（盖章）：</w:t>
      </w:r>
      <w:r>
        <w:rPr>
          <w:rFonts w:hint="eastAsia" w:ascii="新宋体" w:hAnsi="新宋体" w:cs="Arial"/>
          <w:color w:val="000000"/>
          <w:sz w:val="22"/>
          <w:szCs w:val="22"/>
          <w:u w:val="single"/>
        </w:rPr>
        <w:t xml:space="preserve">                            </w:t>
      </w:r>
    </w:p>
    <w:p>
      <w:pPr>
        <w:snapToGrid w:val="0"/>
        <w:rPr>
          <w:rFonts w:ascii="新宋体" w:hAnsi="新宋体" w:cs="Arial"/>
          <w:color w:val="000000"/>
          <w:sz w:val="22"/>
          <w:szCs w:val="22"/>
        </w:rPr>
      </w:pPr>
      <w:r>
        <w:rPr>
          <w:rFonts w:hint="eastAsia" w:ascii="新宋体" w:hAnsi="新宋体" w:cs="Arial"/>
          <w:color w:val="000000"/>
          <w:sz w:val="22"/>
          <w:szCs w:val="22"/>
        </w:rPr>
        <w:t>法定代表人或其授权代表（签字或盖章）：</w:t>
      </w:r>
      <w:r>
        <w:rPr>
          <w:rFonts w:hint="eastAsia" w:ascii="新宋体" w:hAnsi="新宋体" w:cs="Arial"/>
          <w:color w:val="000000"/>
          <w:sz w:val="22"/>
          <w:szCs w:val="22"/>
          <w:u w:val="single"/>
        </w:rPr>
        <w:t xml:space="preserve">                </w:t>
      </w:r>
    </w:p>
    <w:p>
      <w:pPr>
        <w:rPr>
          <w:u w:val="single"/>
        </w:rPr>
      </w:pPr>
      <w:r>
        <w:rPr>
          <w:rFonts w:hint="eastAsia"/>
        </w:rPr>
        <w:t>日期：</w:t>
      </w:r>
      <w:r>
        <w:rPr>
          <w:rFonts w:hint="eastAsia"/>
          <w:u w:val="single"/>
        </w:rPr>
        <w:t xml:space="preserve">                                         </w:t>
      </w:r>
    </w:p>
    <w:p>
      <w:pPr>
        <w:pStyle w:val="3"/>
      </w:pPr>
      <w:bookmarkStart w:id="183" w:name="_Toc9809"/>
      <w:bookmarkStart w:id="184" w:name="_Toc452032146"/>
      <w:bookmarkStart w:id="185" w:name="_Toc24689"/>
      <w:bookmarkStart w:id="186" w:name="_Toc23696"/>
      <w:r>
        <w:rPr>
          <w:rFonts w:hint="eastAsia"/>
        </w:rPr>
        <w:t>格式16、拟派项目团队组成情况</w:t>
      </w:r>
      <w:bookmarkEnd w:id="183"/>
      <w:bookmarkEnd w:id="184"/>
      <w:bookmarkEnd w:id="185"/>
      <w:bookmarkEnd w:id="186"/>
    </w:p>
    <w:p>
      <w:pPr>
        <w:jc w:val="center"/>
        <w:rPr>
          <w:rFonts w:ascii="华文中宋" w:hAnsi="华文中宋" w:eastAsia="华文中宋"/>
          <w:b/>
          <w:color w:val="000000"/>
          <w:sz w:val="40"/>
        </w:rPr>
      </w:pPr>
      <w:r>
        <w:rPr>
          <w:rFonts w:hint="eastAsia" w:ascii="华文中宋" w:hAnsi="华文中宋" w:eastAsia="华文中宋"/>
          <w:b/>
          <w:color w:val="000000"/>
          <w:sz w:val="40"/>
        </w:rPr>
        <w:t>拟派项目团队组成情况</w:t>
      </w:r>
    </w:p>
    <w:p>
      <w:pPr>
        <w:rPr>
          <w:rFonts w:hint="eastAsia" w:ascii="Arial" w:hAnsi="Arial" w:eastAsia="仿宋" w:cs="Arial"/>
          <w:b/>
          <w:color w:val="000000"/>
          <w:sz w:val="22"/>
          <w:szCs w:val="22"/>
          <w:lang w:eastAsia="zh-CN"/>
        </w:rPr>
      </w:pPr>
      <w:r>
        <w:rPr>
          <w:rFonts w:hint="eastAsia" w:ascii="Arial" w:hAnsi="新宋体" w:cs="Arial"/>
          <w:b/>
          <w:color w:val="000000"/>
          <w:sz w:val="22"/>
          <w:szCs w:val="22"/>
        </w:rPr>
        <w:t>项目</w:t>
      </w:r>
      <w:r>
        <w:rPr>
          <w:rFonts w:ascii="Arial" w:hAnsi="新宋体" w:cs="Arial"/>
          <w:b/>
          <w:color w:val="000000"/>
          <w:sz w:val="22"/>
          <w:szCs w:val="22"/>
        </w:rPr>
        <w:t>名称：</w:t>
      </w:r>
      <w:r>
        <w:rPr>
          <w:rFonts w:hint="eastAsia" w:ascii="Arial" w:hAnsi="Arial" w:cs="Arial"/>
          <w:b/>
          <w:color w:val="000000"/>
          <w:sz w:val="22"/>
          <w:szCs w:val="22"/>
          <w:u w:val="single"/>
          <w:lang w:eastAsia="zh-CN"/>
        </w:rPr>
        <w:t>苍南县人民法院2024年度公款竞争性存放项目</w:t>
      </w:r>
    </w:p>
    <w:p>
      <w:pPr>
        <w:rPr>
          <w:rFonts w:hint="eastAsia" w:ascii="华文中宋" w:hAnsi="华文中宋" w:eastAsia="仿宋" w:cs="Arial"/>
          <w:color w:val="000000"/>
          <w:kern w:val="0"/>
          <w:sz w:val="22"/>
          <w:szCs w:val="22"/>
          <w:u w:val="single"/>
          <w:lang w:eastAsia="zh-CN"/>
        </w:rPr>
      </w:pPr>
      <w:r>
        <w:rPr>
          <w:rFonts w:ascii="Arial" w:hAnsi="新宋体" w:cs="Arial"/>
          <w:b/>
          <w:color w:val="000000"/>
          <w:sz w:val="22"/>
          <w:szCs w:val="22"/>
        </w:rPr>
        <w:t>项目编号：</w:t>
      </w:r>
      <w:r>
        <w:rPr>
          <w:rFonts w:hint="eastAsia" w:ascii="华文中宋" w:hAnsi="华文中宋" w:eastAsia="华文中宋" w:cs="Arial"/>
          <w:b/>
          <w:color w:val="000000"/>
          <w:kern w:val="0"/>
          <w:sz w:val="22"/>
          <w:szCs w:val="22"/>
          <w:u w:val="single"/>
          <w:lang w:eastAsia="zh-CN"/>
        </w:rPr>
        <w:t>苍产告字[2024]04号</w:t>
      </w:r>
    </w:p>
    <w:tbl>
      <w:tblPr>
        <w:tblStyle w:val="39"/>
        <w:tblW w:w="895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538"/>
        <w:gridCol w:w="1380"/>
        <w:gridCol w:w="1701"/>
        <w:gridCol w:w="176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spacing w:line="240" w:lineRule="auto"/>
              <w:jc w:val="center"/>
              <w:rPr>
                <w:rFonts w:ascii="Arial" w:hAnsi="Arial" w:cs="Arial"/>
                <w:b/>
                <w:color w:val="000000"/>
                <w:w w:val="90"/>
                <w:sz w:val="22"/>
                <w:szCs w:val="22"/>
              </w:rPr>
            </w:pPr>
            <w:r>
              <w:rPr>
                <w:rFonts w:ascii="Arial" w:hAnsi="新宋体" w:cs="Arial"/>
                <w:b/>
                <w:color w:val="000000"/>
                <w:w w:val="90"/>
                <w:sz w:val="22"/>
                <w:szCs w:val="22"/>
              </w:rPr>
              <w:t>序号</w:t>
            </w:r>
          </w:p>
        </w:tc>
        <w:tc>
          <w:tcPr>
            <w:tcW w:w="1538" w:type="dxa"/>
            <w:vAlign w:val="center"/>
          </w:tcPr>
          <w:p>
            <w:pPr>
              <w:spacing w:line="240" w:lineRule="auto"/>
              <w:jc w:val="center"/>
              <w:rPr>
                <w:rFonts w:ascii="Arial" w:hAnsi="Arial" w:cs="Arial"/>
                <w:b/>
                <w:color w:val="000000"/>
                <w:w w:val="90"/>
                <w:sz w:val="22"/>
                <w:szCs w:val="22"/>
              </w:rPr>
            </w:pPr>
            <w:r>
              <w:rPr>
                <w:rFonts w:ascii="Arial" w:hAnsi="新宋体" w:cs="Arial"/>
                <w:b/>
                <w:color w:val="000000"/>
                <w:w w:val="90"/>
                <w:sz w:val="22"/>
                <w:szCs w:val="22"/>
              </w:rPr>
              <w:t>姓名</w:t>
            </w:r>
          </w:p>
        </w:tc>
        <w:tc>
          <w:tcPr>
            <w:tcW w:w="1380" w:type="dxa"/>
            <w:vAlign w:val="center"/>
          </w:tcPr>
          <w:p>
            <w:pPr>
              <w:spacing w:line="240" w:lineRule="auto"/>
              <w:jc w:val="center"/>
              <w:rPr>
                <w:rFonts w:ascii="Arial" w:hAnsi="Arial" w:cs="Arial"/>
                <w:b/>
                <w:color w:val="000000"/>
                <w:w w:val="90"/>
                <w:sz w:val="22"/>
                <w:szCs w:val="22"/>
              </w:rPr>
            </w:pPr>
            <w:r>
              <w:rPr>
                <w:rFonts w:hint="eastAsia" w:ascii="Arial" w:hAnsi="Arial" w:cs="Arial"/>
                <w:b/>
                <w:color w:val="000000"/>
                <w:w w:val="90"/>
                <w:sz w:val="22"/>
                <w:szCs w:val="22"/>
              </w:rPr>
              <w:t>职务职称</w:t>
            </w:r>
          </w:p>
        </w:tc>
        <w:tc>
          <w:tcPr>
            <w:tcW w:w="1701" w:type="dxa"/>
            <w:vAlign w:val="center"/>
          </w:tcPr>
          <w:p>
            <w:pPr>
              <w:spacing w:line="240" w:lineRule="auto"/>
              <w:jc w:val="center"/>
              <w:rPr>
                <w:rFonts w:ascii="Arial" w:hAnsi="Arial" w:cs="Arial"/>
                <w:b/>
                <w:color w:val="000000"/>
                <w:w w:val="90"/>
                <w:sz w:val="22"/>
                <w:szCs w:val="22"/>
              </w:rPr>
            </w:pPr>
            <w:r>
              <w:rPr>
                <w:rFonts w:ascii="Arial" w:hAnsi="新宋体" w:cs="Arial"/>
                <w:b/>
                <w:color w:val="000000"/>
                <w:w w:val="90"/>
                <w:sz w:val="22"/>
                <w:szCs w:val="22"/>
              </w:rPr>
              <w:t>出生年月</w:t>
            </w:r>
          </w:p>
        </w:tc>
        <w:tc>
          <w:tcPr>
            <w:tcW w:w="1769" w:type="dxa"/>
            <w:vAlign w:val="center"/>
          </w:tcPr>
          <w:p>
            <w:pPr>
              <w:spacing w:line="240" w:lineRule="auto"/>
              <w:jc w:val="center"/>
              <w:rPr>
                <w:rFonts w:ascii="Arial" w:hAnsi="Arial" w:cs="Arial"/>
                <w:b/>
                <w:color w:val="000000"/>
                <w:w w:val="90"/>
                <w:sz w:val="22"/>
                <w:szCs w:val="22"/>
              </w:rPr>
            </w:pPr>
            <w:r>
              <w:rPr>
                <w:rFonts w:hint="eastAsia" w:ascii="Arial" w:hAnsi="新宋体" w:cs="Arial"/>
                <w:b/>
                <w:color w:val="000000"/>
                <w:w w:val="90"/>
                <w:sz w:val="22"/>
                <w:szCs w:val="22"/>
              </w:rPr>
              <w:t>拟任岗位</w:t>
            </w:r>
          </w:p>
        </w:tc>
        <w:tc>
          <w:tcPr>
            <w:tcW w:w="1500" w:type="dxa"/>
            <w:vAlign w:val="center"/>
          </w:tcPr>
          <w:p>
            <w:pPr>
              <w:spacing w:line="240" w:lineRule="auto"/>
              <w:jc w:val="center"/>
              <w:rPr>
                <w:rFonts w:ascii="Arial" w:hAnsi="Arial" w:cs="Arial"/>
                <w:b/>
                <w:color w:val="000000"/>
                <w:w w:val="90"/>
                <w:sz w:val="22"/>
                <w:szCs w:val="22"/>
              </w:rPr>
            </w:pPr>
            <w:r>
              <w:rPr>
                <w:rFonts w:ascii="Arial" w:hAnsi="新宋体" w:cs="Arial"/>
                <w:b/>
                <w:color w:val="000000"/>
                <w:w w:val="90"/>
                <w:sz w:val="22"/>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pPr>
              <w:rPr>
                <w:rFonts w:ascii="Arial" w:hAnsi="新宋体" w:cs="Arial"/>
                <w:color w:val="000000"/>
                <w:w w:val="90"/>
                <w:sz w:val="22"/>
                <w:szCs w:val="22"/>
              </w:rPr>
            </w:pPr>
          </w:p>
        </w:tc>
        <w:tc>
          <w:tcPr>
            <w:tcW w:w="1538" w:type="dxa"/>
            <w:vAlign w:val="center"/>
          </w:tcPr>
          <w:p>
            <w:pPr>
              <w:rPr>
                <w:rFonts w:ascii="Arial" w:hAnsi="新宋体" w:cs="Arial"/>
                <w:color w:val="000000"/>
                <w:w w:val="90"/>
                <w:sz w:val="22"/>
                <w:szCs w:val="22"/>
              </w:rPr>
            </w:pPr>
          </w:p>
        </w:tc>
        <w:tc>
          <w:tcPr>
            <w:tcW w:w="1380" w:type="dxa"/>
            <w:vAlign w:val="center"/>
          </w:tcPr>
          <w:p>
            <w:pPr>
              <w:rPr>
                <w:rFonts w:ascii="Arial" w:hAnsi="新宋体" w:cs="Arial"/>
                <w:color w:val="000000"/>
                <w:w w:val="90"/>
                <w:sz w:val="22"/>
                <w:szCs w:val="22"/>
              </w:rPr>
            </w:pPr>
          </w:p>
        </w:tc>
        <w:tc>
          <w:tcPr>
            <w:tcW w:w="1701" w:type="dxa"/>
            <w:vAlign w:val="center"/>
          </w:tcPr>
          <w:p>
            <w:pPr>
              <w:rPr>
                <w:rFonts w:ascii="Arial" w:hAnsi="新宋体" w:cs="Arial"/>
                <w:color w:val="000000"/>
                <w:w w:val="90"/>
                <w:sz w:val="22"/>
                <w:szCs w:val="22"/>
              </w:rPr>
            </w:pPr>
          </w:p>
        </w:tc>
        <w:tc>
          <w:tcPr>
            <w:tcW w:w="1769" w:type="dxa"/>
            <w:vAlign w:val="center"/>
          </w:tcPr>
          <w:p>
            <w:pPr>
              <w:rPr>
                <w:rFonts w:ascii="Arial" w:hAnsi="新宋体" w:cs="Arial"/>
                <w:color w:val="000000"/>
                <w:w w:val="90"/>
                <w:sz w:val="22"/>
                <w:szCs w:val="22"/>
              </w:rPr>
            </w:pPr>
          </w:p>
        </w:tc>
        <w:tc>
          <w:tcPr>
            <w:tcW w:w="1500" w:type="dxa"/>
            <w:vAlign w:val="center"/>
          </w:tcPr>
          <w:p>
            <w:pPr>
              <w:rPr>
                <w:rFonts w:ascii="Arial" w:hAnsi="新宋体" w:cs="Arial"/>
                <w:color w:val="000000"/>
                <w:w w:val="90"/>
                <w:sz w:val="22"/>
                <w:szCs w:val="22"/>
              </w:rPr>
            </w:pPr>
          </w:p>
        </w:tc>
      </w:tr>
    </w:tbl>
    <w:p>
      <w:pPr>
        <w:rPr>
          <w:rFonts w:ascii="华文中宋" w:hAnsi="华文中宋" w:eastAsia="华文中宋" w:cs="Arial"/>
          <w:color w:val="000000"/>
          <w:kern w:val="0"/>
          <w:sz w:val="22"/>
          <w:szCs w:val="22"/>
        </w:rPr>
      </w:pPr>
      <w:r>
        <w:rPr>
          <w:rFonts w:hint="eastAsia" w:ascii="华文中宋" w:hAnsi="华文中宋" w:eastAsia="华文中宋" w:cs="Arial"/>
          <w:color w:val="000000"/>
          <w:kern w:val="0"/>
          <w:sz w:val="22"/>
          <w:szCs w:val="22"/>
        </w:rPr>
        <w:t xml:space="preserve"> </w:t>
      </w:r>
    </w:p>
    <w:p>
      <w:pPr>
        <w:snapToGrid w:val="0"/>
        <w:rPr>
          <w:rFonts w:ascii="Arial" w:hAnsi="Arial" w:cs="Arial"/>
          <w:color w:val="000000"/>
          <w:sz w:val="22"/>
          <w:szCs w:val="22"/>
        </w:rPr>
      </w:pPr>
    </w:p>
    <w:p>
      <w:pPr>
        <w:snapToGrid w:val="0"/>
        <w:rPr>
          <w:rFonts w:ascii="Arial" w:hAnsi="Arial" w:cs="Arial"/>
          <w:color w:val="000000"/>
          <w:sz w:val="22"/>
          <w:szCs w:val="22"/>
        </w:rPr>
      </w:pPr>
      <w:r>
        <w:rPr>
          <w:rFonts w:hint="eastAsia" w:ascii="Arial" w:hAnsi="Arial" w:cs="Arial"/>
          <w:color w:val="000000"/>
          <w:sz w:val="22"/>
          <w:szCs w:val="22"/>
        </w:rPr>
        <w:t>投标银行名称（盖章）：</w:t>
      </w:r>
      <w:r>
        <w:rPr>
          <w:rFonts w:hint="eastAsia" w:ascii="Arial" w:hAnsi="Arial" w:cs="Arial"/>
          <w:color w:val="000000"/>
          <w:sz w:val="22"/>
          <w:szCs w:val="22"/>
          <w:u w:val="single"/>
        </w:rPr>
        <w:t xml:space="preserve">                                </w:t>
      </w:r>
    </w:p>
    <w:p>
      <w:pPr>
        <w:snapToGrid w:val="0"/>
        <w:rPr>
          <w:rFonts w:ascii="Arial" w:hAnsi="Arial" w:cs="Arial"/>
          <w:color w:val="000000"/>
          <w:sz w:val="22"/>
          <w:szCs w:val="22"/>
        </w:rPr>
      </w:pPr>
      <w:r>
        <w:rPr>
          <w:rFonts w:hint="eastAsia" w:ascii="Arial" w:hAnsi="Arial" w:cs="Arial"/>
          <w:color w:val="000000"/>
          <w:sz w:val="22"/>
          <w:szCs w:val="22"/>
        </w:rPr>
        <w:t>法定代表人或其授权代表（签字或盖章）：</w:t>
      </w:r>
      <w:r>
        <w:rPr>
          <w:rFonts w:hint="eastAsia" w:ascii="Arial" w:hAnsi="Arial" w:cs="Arial"/>
          <w:color w:val="000000"/>
          <w:sz w:val="22"/>
          <w:szCs w:val="22"/>
          <w:u w:val="single"/>
        </w:rPr>
        <w:t xml:space="preserve">                </w:t>
      </w:r>
    </w:p>
    <w:p>
      <w:pPr>
        <w:jc w:val="left"/>
        <w:rPr>
          <w:color w:val="000000"/>
        </w:rPr>
      </w:pPr>
      <w:r>
        <w:rPr>
          <w:rFonts w:hint="eastAsia" w:ascii="Arial" w:hAnsi="Arial" w:cs="Arial"/>
          <w:color w:val="000000"/>
          <w:sz w:val="22"/>
          <w:szCs w:val="22"/>
        </w:rPr>
        <w:t>日期：</w:t>
      </w:r>
      <w:r>
        <w:rPr>
          <w:rFonts w:hint="eastAsia" w:ascii="Arial" w:hAnsi="Arial" w:cs="Arial"/>
          <w:color w:val="000000"/>
          <w:sz w:val="22"/>
          <w:szCs w:val="22"/>
          <w:u w:val="single"/>
        </w:rPr>
        <w:t xml:space="preserve">                                                </w:t>
      </w:r>
    </w:p>
    <w:sectPr>
      <w:headerReference r:id="rId9" w:type="default"/>
      <w:pgSz w:w="11906" w:h="16838"/>
      <w:pgMar w:top="1440" w:right="1418" w:bottom="1440" w:left="1559" w:header="851" w:footer="992"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细圆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b/>
        <w:sz w:val="24"/>
        <w:szCs w:val="24"/>
      </w:rPr>
      <w:fldChar w:fldCharType="begin"/>
    </w:r>
    <w:r>
      <w:rPr>
        <w:rStyle w:val="44"/>
        <w:b/>
        <w:sz w:val="24"/>
        <w:szCs w:val="24"/>
      </w:rPr>
      <w:instrText xml:space="preserve"> PAGE </w:instrText>
    </w:r>
    <w:r>
      <w:rPr>
        <w:b/>
        <w:sz w:val="24"/>
        <w:szCs w:val="24"/>
      </w:rPr>
      <w:fldChar w:fldCharType="separate"/>
    </w:r>
    <w:r>
      <w:rPr>
        <w:rStyle w:val="44"/>
        <w:b/>
        <w:sz w:val="24"/>
        <w:szCs w:val="24"/>
      </w:rPr>
      <w:t>- 42 -</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9000"/>
        <w:tab w:val="clear" w:pos="8306"/>
      </w:tabs>
      <w:jc w:val="both"/>
    </w:pPr>
    <w:r>
      <w:rPr>
        <w:rFonts w:hint="eastAsia"/>
      </w:rPr>
      <w:t xml:space="preserve">杭州华旗招标代理有限公司  Tel:0577-68810100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9000"/>
        <w:tab w:val="clear" w:pos="8306"/>
      </w:tabs>
      <w:jc w:val="right"/>
    </w:pP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9000"/>
        <w:tab w:val="clear" w:pos="8306"/>
      </w:tabs>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D247F"/>
    <w:multiLevelType w:val="singleLevel"/>
    <w:tmpl w:val="ED8D247F"/>
    <w:lvl w:ilvl="0" w:tentative="0">
      <w:start w:val="1"/>
      <w:numFmt w:val="decimal"/>
      <w:pStyle w:val="11"/>
      <w:lvlText w:val="%1."/>
      <w:lvlJc w:val="left"/>
      <w:pPr>
        <w:tabs>
          <w:tab w:val="left" w:pos="360"/>
        </w:tabs>
        <w:ind w:left="360" w:hanging="360"/>
      </w:pPr>
    </w:lvl>
  </w:abstractNum>
  <w:abstractNum w:abstractNumId="1">
    <w:nsid w:val="FFFFFF7D"/>
    <w:multiLevelType w:val="singleLevel"/>
    <w:tmpl w:val="FFFFFF7D"/>
    <w:lvl w:ilvl="0" w:tentative="0">
      <w:start w:val="1"/>
      <w:numFmt w:val="decimal"/>
      <w:pStyle w:val="23"/>
      <w:lvlText w:val="%1."/>
      <w:lvlJc w:val="left"/>
      <w:pPr>
        <w:tabs>
          <w:tab w:val="left" w:pos="1620"/>
        </w:tabs>
        <w:ind w:left="1620" w:hanging="360"/>
      </w:pPr>
    </w:lvl>
  </w:abstractNum>
  <w:abstractNum w:abstractNumId="2">
    <w:nsid w:val="00000016"/>
    <w:multiLevelType w:val="multilevel"/>
    <w:tmpl w:val="00000016"/>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882"/>
        </w:tabs>
        <w:ind w:left="882" w:hanging="567"/>
      </w:pPr>
      <w:rPr>
        <w:rFonts w:hint="default"/>
        <w:b w:val="0"/>
        <w:i w:val="0"/>
        <w:color w:val="000000"/>
        <w:sz w:val="21"/>
        <w:szCs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1347244"/>
    <w:multiLevelType w:val="singleLevel"/>
    <w:tmpl w:val="21347244"/>
    <w:lvl w:ilvl="0" w:tentative="0">
      <w:start w:val="5"/>
      <w:numFmt w:val="chineseCounting"/>
      <w:suff w:val="space"/>
      <w:lvlText w:val="第%1章"/>
      <w:lvlJc w:val="left"/>
      <w:rPr>
        <w:rFonts w:hint="eastAsia"/>
      </w:rPr>
    </w:lvl>
  </w:abstractNum>
  <w:abstractNum w:abstractNumId="4">
    <w:nsid w:val="5383AE80"/>
    <w:multiLevelType w:val="singleLevel"/>
    <w:tmpl w:val="5383AE80"/>
    <w:lvl w:ilvl="0" w:tentative="0">
      <w:start w:val="1"/>
      <w:numFmt w:val="decimal"/>
      <w:suff w:val="nothing"/>
      <w:lvlText w:val="（%1）"/>
      <w:lvlJc w:val="left"/>
    </w:lvl>
  </w:abstractNum>
  <w:abstractNum w:abstractNumId="5">
    <w:nsid w:val="638BF215"/>
    <w:multiLevelType w:val="singleLevel"/>
    <w:tmpl w:val="638BF215"/>
    <w:lvl w:ilvl="0" w:tentative="0">
      <w:start w:val="2"/>
      <w:numFmt w:val="chineseCounting"/>
      <w:suff w:val="space"/>
      <w:lvlText w:val="第%1章"/>
      <w:lvlJc w:val="left"/>
      <w:rPr>
        <w:rFonts w:hint="eastAsia"/>
      </w:rPr>
    </w:lvl>
  </w:abstractNum>
  <w:abstractNum w:abstractNumId="6">
    <w:nsid w:val="7519315D"/>
    <w:multiLevelType w:val="singleLevel"/>
    <w:tmpl w:val="7519315D"/>
    <w:lvl w:ilvl="0" w:tentative="0">
      <w:start w:val="1"/>
      <w:numFmt w:val="decimal"/>
      <w:suff w:val="nothing"/>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MzAyZTY4MmUwMTVjZWU4NWE0YjMwYmQ2MDY0OGIifQ=="/>
  </w:docVars>
  <w:rsids>
    <w:rsidRoot w:val="00174C54"/>
    <w:rsid w:val="0000200E"/>
    <w:rsid w:val="00004470"/>
    <w:rsid w:val="00005E97"/>
    <w:rsid w:val="000063F9"/>
    <w:rsid w:val="00006C80"/>
    <w:rsid w:val="0001085C"/>
    <w:rsid w:val="00010A21"/>
    <w:rsid w:val="00015565"/>
    <w:rsid w:val="00016322"/>
    <w:rsid w:val="00016828"/>
    <w:rsid w:val="00017DBC"/>
    <w:rsid w:val="000202F7"/>
    <w:rsid w:val="000207F1"/>
    <w:rsid w:val="0002257A"/>
    <w:rsid w:val="00022D78"/>
    <w:rsid w:val="000246CD"/>
    <w:rsid w:val="00025EF2"/>
    <w:rsid w:val="0003015C"/>
    <w:rsid w:val="00030EAE"/>
    <w:rsid w:val="00031888"/>
    <w:rsid w:val="000345C2"/>
    <w:rsid w:val="0003583A"/>
    <w:rsid w:val="00035FCF"/>
    <w:rsid w:val="000361CF"/>
    <w:rsid w:val="000367F1"/>
    <w:rsid w:val="00037D29"/>
    <w:rsid w:val="00040A4D"/>
    <w:rsid w:val="00041693"/>
    <w:rsid w:val="000420A3"/>
    <w:rsid w:val="00042F8B"/>
    <w:rsid w:val="0004434B"/>
    <w:rsid w:val="00044F04"/>
    <w:rsid w:val="00045447"/>
    <w:rsid w:val="0004662E"/>
    <w:rsid w:val="0004687E"/>
    <w:rsid w:val="00047119"/>
    <w:rsid w:val="000471F3"/>
    <w:rsid w:val="000509FE"/>
    <w:rsid w:val="00050DDE"/>
    <w:rsid w:val="00052B1E"/>
    <w:rsid w:val="000538DF"/>
    <w:rsid w:val="0005797E"/>
    <w:rsid w:val="00060487"/>
    <w:rsid w:val="00060F29"/>
    <w:rsid w:val="00062119"/>
    <w:rsid w:val="00065304"/>
    <w:rsid w:val="000656F4"/>
    <w:rsid w:val="00070EDF"/>
    <w:rsid w:val="000714D5"/>
    <w:rsid w:val="00073BE5"/>
    <w:rsid w:val="000744FD"/>
    <w:rsid w:val="0007484F"/>
    <w:rsid w:val="00074AD1"/>
    <w:rsid w:val="00074DDF"/>
    <w:rsid w:val="00075D64"/>
    <w:rsid w:val="00076E50"/>
    <w:rsid w:val="00077C5B"/>
    <w:rsid w:val="00077EA4"/>
    <w:rsid w:val="00077F9B"/>
    <w:rsid w:val="000803CD"/>
    <w:rsid w:val="00080603"/>
    <w:rsid w:val="00081B8F"/>
    <w:rsid w:val="00083FD2"/>
    <w:rsid w:val="0008742B"/>
    <w:rsid w:val="000909F9"/>
    <w:rsid w:val="00091AF6"/>
    <w:rsid w:val="000943E3"/>
    <w:rsid w:val="0009482F"/>
    <w:rsid w:val="00094973"/>
    <w:rsid w:val="0009499A"/>
    <w:rsid w:val="00094C88"/>
    <w:rsid w:val="00094C9B"/>
    <w:rsid w:val="00094E50"/>
    <w:rsid w:val="00094F14"/>
    <w:rsid w:val="00095EE0"/>
    <w:rsid w:val="0009602E"/>
    <w:rsid w:val="000A05A7"/>
    <w:rsid w:val="000A0642"/>
    <w:rsid w:val="000A097F"/>
    <w:rsid w:val="000A37BB"/>
    <w:rsid w:val="000A3EF5"/>
    <w:rsid w:val="000A559A"/>
    <w:rsid w:val="000A5E45"/>
    <w:rsid w:val="000A6373"/>
    <w:rsid w:val="000A65AB"/>
    <w:rsid w:val="000A717D"/>
    <w:rsid w:val="000B02A6"/>
    <w:rsid w:val="000B257A"/>
    <w:rsid w:val="000B27F0"/>
    <w:rsid w:val="000B42F6"/>
    <w:rsid w:val="000B4B2A"/>
    <w:rsid w:val="000B62B3"/>
    <w:rsid w:val="000C0197"/>
    <w:rsid w:val="000C0390"/>
    <w:rsid w:val="000C1640"/>
    <w:rsid w:val="000C229A"/>
    <w:rsid w:val="000C287C"/>
    <w:rsid w:val="000C3995"/>
    <w:rsid w:val="000C4001"/>
    <w:rsid w:val="000C4F6F"/>
    <w:rsid w:val="000C5267"/>
    <w:rsid w:val="000C5309"/>
    <w:rsid w:val="000C5395"/>
    <w:rsid w:val="000C54FC"/>
    <w:rsid w:val="000C767D"/>
    <w:rsid w:val="000D021C"/>
    <w:rsid w:val="000D08DF"/>
    <w:rsid w:val="000D0CF9"/>
    <w:rsid w:val="000D30CB"/>
    <w:rsid w:val="000D378E"/>
    <w:rsid w:val="000D3B38"/>
    <w:rsid w:val="000D432A"/>
    <w:rsid w:val="000D5FC2"/>
    <w:rsid w:val="000D64C3"/>
    <w:rsid w:val="000D665D"/>
    <w:rsid w:val="000D6C48"/>
    <w:rsid w:val="000E063A"/>
    <w:rsid w:val="000E075A"/>
    <w:rsid w:val="000E12DD"/>
    <w:rsid w:val="000E1336"/>
    <w:rsid w:val="000E186E"/>
    <w:rsid w:val="000E337E"/>
    <w:rsid w:val="000E363A"/>
    <w:rsid w:val="000E378F"/>
    <w:rsid w:val="000E3B77"/>
    <w:rsid w:val="000E44B6"/>
    <w:rsid w:val="000E4F04"/>
    <w:rsid w:val="000E7D20"/>
    <w:rsid w:val="000E7F35"/>
    <w:rsid w:val="000F0996"/>
    <w:rsid w:val="000F378B"/>
    <w:rsid w:val="000F4178"/>
    <w:rsid w:val="000F48D9"/>
    <w:rsid w:val="000F558C"/>
    <w:rsid w:val="000F59FD"/>
    <w:rsid w:val="000F5BE7"/>
    <w:rsid w:val="001000F4"/>
    <w:rsid w:val="00100194"/>
    <w:rsid w:val="00101CE8"/>
    <w:rsid w:val="001052A4"/>
    <w:rsid w:val="001063F4"/>
    <w:rsid w:val="0010657B"/>
    <w:rsid w:val="00106E1D"/>
    <w:rsid w:val="001108C4"/>
    <w:rsid w:val="001110C6"/>
    <w:rsid w:val="0011157F"/>
    <w:rsid w:val="00111AC8"/>
    <w:rsid w:val="00111E01"/>
    <w:rsid w:val="001128DB"/>
    <w:rsid w:val="00112E98"/>
    <w:rsid w:val="00114F69"/>
    <w:rsid w:val="00115220"/>
    <w:rsid w:val="001165DE"/>
    <w:rsid w:val="00116D68"/>
    <w:rsid w:val="00116E4A"/>
    <w:rsid w:val="00120144"/>
    <w:rsid w:val="00120147"/>
    <w:rsid w:val="0012041A"/>
    <w:rsid w:val="0012074C"/>
    <w:rsid w:val="0012153E"/>
    <w:rsid w:val="00121753"/>
    <w:rsid w:val="00121EDE"/>
    <w:rsid w:val="0012233A"/>
    <w:rsid w:val="00125FA2"/>
    <w:rsid w:val="001266E2"/>
    <w:rsid w:val="00126BD5"/>
    <w:rsid w:val="00126FDE"/>
    <w:rsid w:val="001300D6"/>
    <w:rsid w:val="00131199"/>
    <w:rsid w:val="00132C8F"/>
    <w:rsid w:val="001335BF"/>
    <w:rsid w:val="00134552"/>
    <w:rsid w:val="001346C1"/>
    <w:rsid w:val="00135A5E"/>
    <w:rsid w:val="00136522"/>
    <w:rsid w:val="00136D1F"/>
    <w:rsid w:val="0014108D"/>
    <w:rsid w:val="00141AE9"/>
    <w:rsid w:val="00142DC4"/>
    <w:rsid w:val="00146E56"/>
    <w:rsid w:val="001471F7"/>
    <w:rsid w:val="00150997"/>
    <w:rsid w:val="00152414"/>
    <w:rsid w:val="00152ED2"/>
    <w:rsid w:val="0015340B"/>
    <w:rsid w:val="00153BF2"/>
    <w:rsid w:val="00154005"/>
    <w:rsid w:val="0015418C"/>
    <w:rsid w:val="00154B19"/>
    <w:rsid w:val="00154D2E"/>
    <w:rsid w:val="0015774B"/>
    <w:rsid w:val="00160415"/>
    <w:rsid w:val="00160F77"/>
    <w:rsid w:val="0016122E"/>
    <w:rsid w:val="0016140C"/>
    <w:rsid w:val="001655AB"/>
    <w:rsid w:val="00167774"/>
    <w:rsid w:val="001711E8"/>
    <w:rsid w:val="0017132F"/>
    <w:rsid w:val="001713E6"/>
    <w:rsid w:val="00172134"/>
    <w:rsid w:val="001731AA"/>
    <w:rsid w:val="00174C54"/>
    <w:rsid w:val="00174DA3"/>
    <w:rsid w:val="00174EF6"/>
    <w:rsid w:val="00176B96"/>
    <w:rsid w:val="00177064"/>
    <w:rsid w:val="001811F8"/>
    <w:rsid w:val="00181343"/>
    <w:rsid w:val="00181A02"/>
    <w:rsid w:val="00181AFD"/>
    <w:rsid w:val="00181D04"/>
    <w:rsid w:val="00185475"/>
    <w:rsid w:val="001925C8"/>
    <w:rsid w:val="001932A8"/>
    <w:rsid w:val="00193A80"/>
    <w:rsid w:val="00197E2A"/>
    <w:rsid w:val="001A107E"/>
    <w:rsid w:val="001A12EF"/>
    <w:rsid w:val="001A198E"/>
    <w:rsid w:val="001A2237"/>
    <w:rsid w:val="001A22AD"/>
    <w:rsid w:val="001A4584"/>
    <w:rsid w:val="001A48B6"/>
    <w:rsid w:val="001A571F"/>
    <w:rsid w:val="001A5C51"/>
    <w:rsid w:val="001A673C"/>
    <w:rsid w:val="001B120C"/>
    <w:rsid w:val="001B13AA"/>
    <w:rsid w:val="001B5B78"/>
    <w:rsid w:val="001B6242"/>
    <w:rsid w:val="001B6813"/>
    <w:rsid w:val="001B7707"/>
    <w:rsid w:val="001C0785"/>
    <w:rsid w:val="001C0A92"/>
    <w:rsid w:val="001C0AC1"/>
    <w:rsid w:val="001C0B64"/>
    <w:rsid w:val="001C33EF"/>
    <w:rsid w:val="001C3D46"/>
    <w:rsid w:val="001C3F79"/>
    <w:rsid w:val="001C4E86"/>
    <w:rsid w:val="001C562A"/>
    <w:rsid w:val="001C57B7"/>
    <w:rsid w:val="001C77D1"/>
    <w:rsid w:val="001D05DC"/>
    <w:rsid w:val="001D0AE8"/>
    <w:rsid w:val="001D25AA"/>
    <w:rsid w:val="001D3A4C"/>
    <w:rsid w:val="001D6175"/>
    <w:rsid w:val="001D72C8"/>
    <w:rsid w:val="001E105A"/>
    <w:rsid w:val="001E23FE"/>
    <w:rsid w:val="001E312C"/>
    <w:rsid w:val="001E33FF"/>
    <w:rsid w:val="001E3DDE"/>
    <w:rsid w:val="001E4961"/>
    <w:rsid w:val="001E7478"/>
    <w:rsid w:val="001E7D3E"/>
    <w:rsid w:val="001F07FF"/>
    <w:rsid w:val="001F1191"/>
    <w:rsid w:val="001F53EE"/>
    <w:rsid w:val="001F5B71"/>
    <w:rsid w:val="001F613B"/>
    <w:rsid w:val="001F7E36"/>
    <w:rsid w:val="002002A5"/>
    <w:rsid w:val="00200C8D"/>
    <w:rsid w:val="00200D14"/>
    <w:rsid w:val="00203D29"/>
    <w:rsid w:val="00205F57"/>
    <w:rsid w:val="002070C6"/>
    <w:rsid w:val="002076B4"/>
    <w:rsid w:val="0021068D"/>
    <w:rsid w:val="00210760"/>
    <w:rsid w:val="00210F74"/>
    <w:rsid w:val="00211B7E"/>
    <w:rsid w:val="002138D6"/>
    <w:rsid w:val="002154C4"/>
    <w:rsid w:val="00216DDD"/>
    <w:rsid w:val="00217CFD"/>
    <w:rsid w:val="00220488"/>
    <w:rsid w:val="00221A94"/>
    <w:rsid w:val="00222814"/>
    <w:rsid w:val="00224882"/>
    <w:rsid w:val="00224906"/>
    <w:rsid w:val="00225306"/>
    <w:rsid w:val="00225780"/>
    <w:rsid w:val="0022618D"/>
    <w:rsid w:val="00226773"/>
    <w:rsid w:val="00226BD1"/>
    <w:rsid w:val="0023031E"/>
    <w:rsid w:val="00230FC8"/>
    <w:rsid w:val="0023124B"/>
    <w:rsid w:val="00231A33"/>
    <w:rsid w:val="00232009"/>
    <w:rsid w:val="00234FAF"/>
    <w:rsid w:val="002362DE"/>
    <w:rsid w:val="0023665F"/>
    <w:rsid w:val="00236925"/>
    <w:rsid w:val="0023739D"/>
    <w:rsid w:val="00240CD5"/>
    <w:rsid w:val="00242B2A"/>
    <w:rsid w:val="002430B2"/>
    <w:rsid w:val="0024377B"/>
    <w:rsid w:val="00244663"/>
    <w:rsid w:val="00244714"/>
    <w:rsid w:val="00244D54"/>
    <w:rsid w:val="00244D84"/>
    <w:rsid w:val="00245EF9"/>
    <w:rsid w:val="00246D7C"/>
    <w:rsid w:val="00247DAD"/>
    <w:rsid w:val="0025070C"/>
    <w:rsid w:val="00250FB6"/>
    <w:rsid w:val="00251848"/>
    <w:rsid w:val="00251B1B"/>
    <w:rsid w:val="00251E45"/>
    <w:rsid w:val="00251E75"/>
    <w:rsid w:val="00252C02"/>
    <w:rsid w:val="00253596"/>
    <w:rsid w:val="00255348"/>
    <w:rsid w:val="00256BA8"/>
    <w:rsid w:val="0025718D"/>
    <w:rsid w:val="00257C0F"/>
    <w:rsid w:val="00263146"/>
    <w:rsid w:val="00263C18"/>
    <w:rsid w:val="00264192"/>
    <w:rsid w:val="002663A3"/>
    <w:rsid w:val="002666F0"/>
    <w:rsid w:val="00267C84"/>
    <w:rsid w:val="00270385"/>
    <w:rsid w:val="002706F7"/>
    <w:rsid w:val="00270A26"/>
    <w:rsid w:val="00272A48"/>
    <w:rsid w:val="0027350F"/>
    <w:rsid w:val="0027371B"/>
    <w:rsid w:val="00274DB2"/>
    <w:rsid w:val="00274EEA"/>
    <w:rsid w:val="002758A2"/>
    <w:rsid w:val="0027633E"/>
    <w:rsid w:val="00276FA2"/>
    <w:rsid w:val="0028048A"/>
    <w:rsid w:val="002810D5"/>
    <w:rsid w:val="0028287D"/>
    <w:rsid w:val="00283393"/>
    <w:rsid w:val="00284542"/>
    <w:rsid w:val="00285473"/>
    <w:rsid w:val="002876CD"/>
    <w:rsid w:val="00290151"/>
    <w:rsid w:val="00290314"/>
    <w:rsid w:val="002908CF"/>
    <w:rsid w:val="002909D7"/>
    <w:rsid w:val="00293D66"/>
    <w:rsid w:val="00295523"/>
    <w:rsid w:val="00296AFB"/>
    <w:rsid w:val="00297FC2"/>
    <w:rsid w:val="002A0B0F"/>
    <w:rsid w:val="002A0DF2"/>
    <w:rsid w:val="002A1E88"/>
    <w:rsid w:val="002A234B"/>
    <w:rsid w:val="002A4791"/>
    <w:rsid w:val="002A620F"/>
    <w:rsid w:val="002A6A92"/>
    <w:rsid w:val="002A7D9F"/>
    <w:rsid w:val="002B0482"/>
    <w:rsid w:val="002B1D4A"/>
    <w:rsid w:val="002B1EE5"/>
    <w:rsid w:val="002B23ED"/>
    <w:rsid w:val="002B296E"/>
    <w:rsid w:val="002B359C"/>
    <w:rsid w:val="002B3A28"/>
    <w:rsid w:val="002B3C9B"/>
    <w:rsid w:val="002B55F9"/>
    <w:rsid w:val="002B563D"/>
    <w:rsid w:val="002B6314"/>
    <w:rsid w:val="002C0CF4"/>
    <w:rsid w:val="002C1775"/>
    <w:rsid w:val="002C1C1C"/>
    <w:rsid w:val="002C53EB"/>
    <w:rsid w:val="002C5435"/>
    <w:rsid w:val="002C5811"/>
    <w:rsid w:val="002C58DF"/>
    <w:rsid w:val="002C5FDA"/>
    <w:rsid w:val="002D14A9"/>
    <w:rsid w:val="002D15F0"/>
    <w:rsid w:val="002D29E9"/>
    <w:rsid w:val="002D2B9D"/>
    <w:rsid w:val="002D2BB1"/>
    <w:rsid w:val="002D34FB"/>
    <w:rsid w:val="002D37D2"/>
    <w:rsid w:val="002D4BBE"/>
    <w:rsid w:val="002D5795"/>
    <w:rsid w:val="002D6915"/>
    <w:rsid w:val="002D736A"/>
    <w:rsid w:val="002D763B"/>
    <w:rsid w:val="002D7822"/>
    <w:rsid w:val="002D78BA"/>
    <w:rsid w:val="002D792E"/>
    <w:rsid w:val="002E0FA7"/>
    <w:rsid w:val="002E27FF"/>
    <w:rsid w:val="002E4A2D"/>
    <w:rsid w:val="002E5174"/>
    <w:rsid w:val="002E5BCD"/>
    <w:rsid w:val="002E5D03"/>
    <w:rsid w:val="002F16E6"/>
    <w:rsid w:val="002F68BE"/>
    <w:rsid w:val="002F72BF"/>
    <w:rsid w:val="00300197"/>
    <w:rsid w:val="0030099F"/>
    <w:rsid w:val="003017EE"/>
    <w:rsid w:val="00301985"/>
    <w:rsid w:val="00301B96"/>
    <w:rsid w:val="00304D2E"/>
    <w:rsid w:val="00306868"/>
    <w:rsid w:val="00310F9F"/>
    <w:rsid w:val="00311A79"/>
    <w:rsid w:val="0031341C"/>
    <w:rsid w:val="00314F75"/>
    <w:rsid w:val="003164E3"/>
    <w:rsid w:val="003165EB"/>
    <w:rsid w:val="003172F5"/>
    <w:rsid w:val="003178C6"/>
    <w:rsid w:val="00320FB6"/>
    <w:rsid w:val="00321809"/>
    <w:rsid w:val="0032217A"/>
    <w:rsid w:val="003240D6"/>
    <w:rsid w:val="0032680D"/>
    <w:rsid w:val="00326CB9"/>
    <w:rsid w:val="003304A8"/>
    <w:rsid w:val="00330F89"/>
    <w:rsid w:val="00331D69"/>
    <w:rsid w:val="00334F16"/>
    <w:rsid w:val="00335655"/>
    <w:rsid w:val="00336687"/>
    <w:rsid w:val="003366CF"/>
    <w:rsid w:val="0033783F"/>
    <w:rsid w:val="00337930"/>
    <w:rsid w:val="00337B19"/>
    <w:rsid w:val="00341FF8"/>
    <w:rsid w:val="0034417D"/>
    <w:rsid w:val="00344B31"/>
    <w:rsid w:val="00345189"/>
    <w:rsid w:val="0034545B"/>
    <w:rsid w:val="0034578E"/>
    <w:rsid w:val="0034696C"/>
    <w:rsid w:val="00346F64"/>
    <w:rsid w:val="00347E20"/>
    <w:rsid w:val="00350750"/>
    <w:rsid w:val="00353E62"/>
    <w:rsid w:val="00354FF2"/>
    <w:rsid w:val="00360AEB"/>
    <w:rsid w:val="00361163"/>
    <w:rsid w:val="00361255"/>
    <w:rsid w:val="00361EAA"/>
    <w:rsid w:val="00363D1D"/>
    <w:rsid w:val="003642C2"/>
    <w:rsid w:val="00364486"/>
    <w:rsid w:val="003651C6"/>
    <w:rsid w:val="00365827"/>
    <w:rsid w:val="0036607B"/>
    <w:rsid w:val="00366BD2"/>
    <w:rsid w:val="00366E9A"/>
    <w:rsid w:val="003705ED"/>
    <w:rsid w:val="003720B1"/>
    <w:rsid w:val="0037222F"/>
    <w:rsid w:val="0037374E"/>
    <w:rsid w:val="00373E38"/>
    <w:rsid w:val="003765AC"/>
    <w:rsid w:val="00376685"/>
    <w:rsid w:val="00376895"/>
    <w:rsid w:val="00380776"/>
    <w:rsid w:val="003808FA"/>
    <w:rsid w:val="0038121F"/>
    <w:rsid w:val="003825D4"/>
    <w:rsid w:val="003832E8"/>
    <w:rsid w:val="00385F29"/>
    <w:rsid w:val="00386495"/>
    <w:rsid w:val="00386DCF"/>
    <w:rsid w:val="00386E7E"/>
    <w:rsid w:val="00392017"/>
    <w:rsid w:val="00393458"/>
    <w:rsid w:val="00393E21"/>
    <w:rsid w:val="003943B8"/>
    <w:rsid w:val="00397A8F"/>
    <w:rsid w:val="003A34F0"/>
    <w:rsid w:val="003A4D16"/>
    <w:rsid w:val="003A70FB"/>
    <w:rsid w:val="003B0105"/>
    <w:rsid w:val="003B07FC"/>
    <w:rsid w:val="003B1852"/>
    <w:rsid w:val="003B3287"/>
    <w:rsid w:val="003B3868"/>
    <w:rsid w:val="003B44F7"/>
    <w:rsid w:val="003B57DB"/>
    <w:rsid w:val="003B59C5"/>
    <w:rsid w:val="003B5CB5"/>
    <w:rsid w:val="003B65ED"/>
    <w:rsid w:val="003C0BF9"/>
    <w:rsid w:val="003C0E83"/>
    <w:rsid w:val="003C1C3B"/>
    <w:rsid w:val="003C213D"/>
    <w:rsid w:val="003C3A44"/>
    <w:rsid w:val="003C40BE"/>
    <w:rsid w:val="003C6BBC"/>
    <w:rsid w:val="003C6D23"/>
    <w:rsid w:val="003C7284"/>
    <w:rsid w:val="003C7F4C"/>
    <w:rsid w:val="003D019E"/>
    <w:rsid w:val="003D0CBF"/>
    <w:rsid w:val="003D0FA5"/>
    <w:rsid w:val="003D15D8"/>
    <w:rsid w:val="003D15DF"/>
    <w:rsid w:val="003D167C"/>
    <w:rsid w:val="003D2099"/>
    <w:rsid w:val="003D2C72"/>
    <w:rsid w:val="003D365E"/>
    <w:rsid w:val="003D5DC6"/>
    <w:rsid w:val="003D647B"/>
    <w:rsid w:val="003D6B79"/>
    <w:rsid w:val="003D7D95"/>
    <w:rsid w:val="003D7E0F"/>
    <w:rsid w:val="003E0827"/>
    <w:rsid w:val="003E0C5B"/>
    <w:rsid w:val="003E1B7E"/>
    <w:rsid w:val="003E2EF5"/>
    <w:rsid w:val="003E30E5"/>
    <w:rsid w:val="003E32B2"/>
    <w:rsid w:val="003E5C0B"/>
    <w:rsid w:val="003E70A0"/>
    <w:rsid w:val="003E78AC"/>
    <w:rsid w:val="003F2B05"/>
    <w:rsid w:val="003F3B2E"/>
    <w:rsid w:val="003F3D23"/>
    <w:rsid w:val="003F47A5"/>
    <w:rsid w:val="003F4FB7"/>
    <w:rsid w:val="003F59A1"/>
    <w:rsid w:val="003F59BC"/>
    <w:rsid w:val="003F7A3E"/>
    <w:rsid w:val="003F7AB7"/>
    <w:rsid w:val="0040200D"/>
    <w:rsid w:val="00403556"/>
    <w:rsid w:val="00403BF4"/>
    <w:rsid w:val="0040702F"/>
    <w:rsid w:val="00407CCF"/>
    <w:rsid w:val="004110D2"/>
    <w:rsid w:val="00411DA1"/>
    <w:rsid w:val="00411F31"/>
    <w:rsid w:val="004122D1"/>
    <w:rsid w:val="00414530"/>
    <w:rsid w:val="004148FA"/>
    <w:rsid w:val="00414F04"/>
    <w:rsid w:val="00420793"/>
    <w:rsid w:val="00423CEA"/>
    <w:rsid w:val="004248C8"/>
    <w:rsid w:val="00424BE1"/>
    <w:rsid w:val="00424E84"/>
    <w:rsid w:val="004254F6"/>
    <w:rsid w:val="00425A9D"/>
    <w:rsid w:val="00425DEB"/>
    <w:rsid w:val="004310D6"/>
    <w:rsid w:val="004313B7"/>
    <w:rsid w:val="004315A4"/>
    <w:rsid w:val="00432385"/>
    <w:rsid w:val="004325CE"/>
    <w:rsid w:val="00433723"/>
    <w:rsid w:val="00434078"/>
    <w:rsid w:val="0043486E"/>
    <w:rsid w:val="004349C5"/>
    <w:rsid w:val="00435159"/>
    <w:rsid w:val="00436FAA"/>
    <w:rsid w:val="00437F43"/>
    <w:rsid w:val="00440894"/>
    <w:rsid w:val="00440D1C"/>
    <w:rsid w:val="0044106C"/>
    <w:rsid w:val="004410F4"/>
    <w:rsid w:val="0044187D"/>
    <w:rsid w:val="0044342D"/>
    <w:rsid w:val="004439B5"/>
    <w:rsid w:val="00443FB7"/>
    <w:rsid w:val="004442C6"/>
    <w:rsid w:val="00444626"/>
    <w:rsid w:val="004468AB"/>
    <w:rsid w:val="00446A82"/>
    <w:rsid w:val="004476D8"/>
    <w:rsid w:val="00450F44"/>
    <w:rsid w:val="004513F2"/>
    <w:rsid w:val="0045140E"/>
    <w:rsid w:val="00452377"/>
    <w:rsid w:val="00454549"/>
    <w:rsid w:val="00455398"/>
    <w:rsid w:val="00455A98"/>
    <w:rsid w:val="00456BF3"/>
    <w:rsid w:val="00456E0C"/>
    <w:rsid w:val="00457FBD"/>
    <w:rsid w:val="00460BFD"/>
    <w:rsid w:val="00460CC4"/>
    <w:rsid w:val="00461706"/>
    <w:rsid w:val="00461FF6"/>
    <w:rsid w:val="00462291"/>
    <w:rsid w:val="00464115"/>
    <w:rsid w:val="00464249"/>
    <w:rsid w:val="00464E01"/>
    <w:rsid w:val="00464F72"/>
    <w:rsid w:val="00465082"/>
    <w:rsid w:val="004654C6"/>
    <w:rsid w:val="004661AD"/>
    <w:rsid w:val="00467D2D"/>
    <w:rsid w:val="00467E9B"/>
    <w:rsid w:val="00470BEA"/>
    <w:rsid w:val="00471F52"/>
    <w:rsid w:val="00471F92"/>
    <w:rsid w:val="00472565"/>
    <w:rsid w:val="00472842"/>
    <w:rsid w:val="00474E52"/>
    <w:rsid w:val="00475AEF"/>
    <w:rsid w:val="00475C2A"/>
    <w:rsid w:val="00476A75"/>
    <w:rsid w:val="00485E36"/>
    <w:rsid w:val="004901CB"/>
    <w:rsid w:val="004919C7"/>
    <w:rsid w:val="00491AC1"/>
    <w:rsid w:val="00491DD1"/>
    <w:rsid w:val="004923AE"/>
    <w:rsid w:val="004925DE"/>
    <w:rsid w:val="00493D6C"/>
    <w:rsid w:val="00494A94"/>
    <w:rsid w:val="0049583B"/>
    <w:rsid w:val="004A00B2"/>
    <w:rsid w:val="004A0832"/>
    <w:rsid w:val="004A13E4"/>
    <w:rsid w:val="004A244A"/>
    <w:rsid w:val="004A2AE1"/>
    <w:rsid w:val="004A2CFD"/>
    <w:rsid w:val="004A3E35"/>
    <w:rsid w:val="004A4908"/>
    <w:rsid w:val="004A57E5"/>
    <w:rsid w:val="004A5E52"/>
    <w:rsid w:val="004A6182"/>
    <w:rsid w:val="004B005E"/>
    <w:rsid w:val="004B05CE"/>
    <w:rsid w:val="004B158A"/>
    <w:rsid w:val="004B1DE7"/>
    <w:rsid w:val="004B46E0"/>
    <w:rsid w:val="004B48AE"/>
    <w:rsid w:val="004B4D8F"/>
    <w:rsid w:val="004B4FD7"/>
    <w:rsid w:val="004B573C"/>
    <w:rsid w:val="004B6DC8"/>
    <w:rsid w:val="004B7AD1"/>
    <w:rsid w:val="004B7BA5"/>
    <w:rsid w:val="004C0333"/>
    <w:rsid w:val="004C0662"/>
    <w:rsid w:val="004C0945"/>
    <w:rsid w:val="004C0BB3"/>
    <w:rsid w:val="004C21DC"/>
    <w:rsid w:val="004C4887"/>
    <w:rsid w:val="004C5422"/>
    <w:rsid w:val="004C57F4"/>
    <w:rsid w:val="004C5DB2"/>
    <w:rsid w:val="004C64B9"/>
    <w:rsid w:val="004C76D4"/>
    <w:rsid w:val="004D0A9D"/>
    <w:rsid w:val="004D15CA"/>
    <w:rsid w:val="004D20DC"/>
    <w:rsid w:val="004D213A"/>
    <w:rsid w:val="004D24E4"/>
    <w:rsid w:val="004D5B75"/>
    <w:rsid w:val="004D64AF"/>
    <w:rsid w:val="004D6E2E"/>
    <w:rsid w:val="004D7BB7"/>
    <w:rsid w:val="004E0C5B"/>
    <w:rsid w:val="004E2113"/>
    <w:rsid w:val="004E2A69"/>
    <w:rsid w:val="004E4407"/>
    <w:rsid w:val="004E5D65"/>
    <w:rsid w:val="004E6237"/>
    <w:rsid w:val="004E6328"/>
    <w:rsid w:val="004E6C6E"/>
    <w:rsid w:val="004F0C58"/>
    <w:rsid w:val="004F1B76"/>
    <w:rsid w:val="004F236D"/>
    <w:rsid w:val="004F45A2"/>
    <w:rsid w:val="004F498E"/>
    <w:rsid w:val="004F519A"/>
    <w:rsid w:val="004F59A1"/>
    <w:rsid w:val="004F61E6"/>
    <w:rsid w:val="004F68A8"/>
    <w:rsid w:val="004F6A4A"/>
    <w:rsid w:val="00500713"/>
    <w:rsid w:val="00500BAA"/>
    <w:rsid w:val="00501207"/>
    <w:rsid w:val="005015AD"/>
    <w:rsid w:val="00501667"/>
    <w:rsid w:val="00501BA1"/>
    <w:rsid w:val="00502161"/>
    <w:rsid w:val="0050224D"/>
    <w:rsid w:val="00502753"/>
    <w:rsid w:val="00502976"/>
    <w:rsid w:val="00502B13"/>
    <w:rsid w:val="00502E53"/>
    <w:rsid w:val="005030DC"/>
    <w:rsid w:val="00504088"/>
    <w:rsid w:val="0050708D"/>
    <w:rsid w:val="00507324"/>
    <w:rsid w:val="00507BAB"/>
    <w:rsid w:val="0051027E"/>
    <w:rsid w:val="005128BE"/>
    <w:rsid w:val="00512BA1"/>
    <w:rsid w:val="00513A67"/>
    <w:rsid w:val="00513E56"/>
    <w:rsid w:val="00514448"/>
    <w:rsid w:val="00514BA6"/>
    <w:rsid w:val="00514BE9"/>
    <w:rsid w:val="00515521"/>
    <w:rsid w:val="00515F20"/>
    <w:rsid w:val="005169B6"/>
    <w:rsid w:val="00516B77"/>
    <w:rsid w:val="005208DE"/>
    <w:rsid w:val="00520B10"/>
    <w:rsid w:val="00520E75"/>
    <w:rsid w:val="00521756"/>
    <w:rsid w:val="005224E0"/>
    <w:rsid w:val="00522724"/>
    <w:rsid w:val="00522D3F"/>
    <w:rsid w:val="005230C0"/>
    <w:rsid w:val="0052398C"/>
    <w:rsid w:val="00523A45"/>
    <w:rsid w:val="005241A3"/>
    <w:rsid w:val="005251E7"/>
    <w:rsid w:val="005263EE"/>
    <w:rsid w:val="0052667B"/>
    <w:rsid w:val="005271C5"/>
    <w:rsid w:val="00527A6F"/>
    <w:rsid w:val="005302EA"/>
    <w:rsid w:val="00530403"/>
    <w:rsid w:val="005309B6"/>
    <w:rsid w:val="005311A4"/>
    <w:rsid w:val="00531673"/>
    <w:rsid w:val="005351B8"/>
    <w:rsid w:val="005354CA"/>
    <w:rsid w:val="00535D3F"/>
    <w:rsid w:val="00537070"/>
    <w:rsid w:val="005371AF"/>
    <w:rsid w:val="00541702"/>
    <w:rsid w:val="005420E9"/>
    <w:rsid w:val="0054279B"/>
    <w:rsid w:val="00542FF5"/>
    <w:rsid w:val="00543598"/>
    <w:rsid w:val="0054440C"/>
    <w:rsid w:val="00544D06"/>
    <w:rsid w:val="00546399"/>
    <w:rsid w:val="00547031"/>
    <w:rsid w:val="005500FE"/>
    <w:rsid w:val="005503EA"/>
    <w:rsid w:val="00550BC2"/>
    <w:rsid w:val="00552EA7"/>
    <w:rsid w:val="00553ECB"/>
    <w:rsid w:val="0055602F"/>
    <w:rsid w:val="00556F5A"/>
    <w:rsid w:val="00557157"/>
    <w:rsid w:val="00560542"/>
    <w:rsid w:val="00560634"/>
    <w:rsid w:val="00562497"/>
    <w:rsid w:val="00563841"/>
    <w:rsid w:val="00564DF5"/>
    <w:rsid w:val="005658F4"/>
    <w:rsid w:val="00566413"/>
    <w:rsid w:val="005677F2"/>
    <w:rsid w:val="005701E7"/>
    <w:rsid w:val="00570351"/>
    <w:rsid w:val="0057207C"/>
    <w:rsid w:val="00572319"/>
    <w:rsid w:val="00572B62"/>
    <w:rsid w:val="00573475"/>
    <w:rsid w:val="005734EA"/>
    <w:rsid w:val="00574122"/>
    <w:rsid w:val="005756D5"/>
    <w:rsid w:val="0057637A"/>
    <w:rsid w:val="005805AA"/>
    <w:rsid w:val="0058092B"/>
    <w:rsid w:val="00582D1C"/>
    <w:rsid w:val="005841E6"/>
    <w:rsid w:val="00584242"/>
    <w:rsid w:val="00584DCF"/>
    <w:rsid w:val="00584DD9"/>
    <w:rsid w:val="00587406"/>
    <w:rsid w:val="005906B8"/>
    <w:rsid w:val="00591018"/>
    <w:rsid w:val="0059245F"/>
    <w:rsid w:val="005927FC"/>
    <w:rsid w:val="005928C6"/>
    <w:rsid w:val="00592D28"/>
    <w:rsid w:val="00593981"/>
    <w:rsid w:val="00594AB8"/>
    <w:rsid w:val="00594D79"/>
    <w:rsid w:val="00595892"/>
    <w:rsid w:val="005977C7"/>
    <w:rsid w:val="005A0B24"/>
    <w:rsid w:val="005A16F1"/>
    <w:rsid w:val="005A236B"/>
    <w:rsid w:val="005A2432"/>
    <w:rsid w:val="005A2818"/>
    <w:rsid w:val="005A33F4"/>
    <w:rsid w:val="005A5BEE"/>
    <w:rsid w:val="005A7203"/>
    <w:rsid w:val="005A73D1"/>
    <w:rsid w:val="005A779E"/>
    <w:rsid w:val="005B1DF7"/>
    <w:rsid w:val="005B28F3"/>
    <w:rsid w:val="005B3A76"/>
    <w:rsid w:val="005B3FBC"/>
    <w:rsid w:val="005B4125"/>
    <w:rsid w:val="005B58F3"/>
    <w:rsid w:val="005B61A3"/>
    <w:rsid w:val="005B6201"/>
    <w:rsid w:val="005B7826"/>
    <w:rsid w:val="005C041C"/>
    <w:rsid w:val="005C0BF9"/>
    <w:rsid w:val="005C2A06"/>
    <w:rsid w:val="005C41E9"/>
    <w:rsid w:val="005C4DCA"/>
    <w:rsid w:val="005C6960"/>
    <w:rsid w:val="005C6C0A"/>
    <w:rsid w:val="005C70F6"/>
    <w:rsid w:val="005D29FD"/>
    <w:rsid w:val="005D31DE"/>
    <w:rsid w:val="005D3D3B"/>
    <w:rsid w:val="005D4860"/>
    <w:rsid w:val="005D5046"/>
    <w:rsid w:val="005E02FA"/>
    <w:rsid w:val="005E0EF5"/>
    <w:rsid w:val="005E2A8F"/>
    <w:rsid w:val="005E4EC3"/>
    <w:rsid w:val="005E59F8"/>
    <w:rsid w:val="005E72FD"/>
    <w:rsid w:val="005E78CA"/>
    <w:rsid w:val="005F1076"/>
    <w:rsid w:val="005F22C8"/>
    <w:rsid w:val="005F2AA9"/>
    <w:rsid w:val="005F3841"/>
    <w:rsid w:val="005F3962"/>
    <w:rsid w:val="005F3B2F"/>
    <w:rsid w:val="005F474B"/>
    <w:rsid w:val="005F59EB"/>
    <w:rsid w:val="005F613F"/>
    <w:rsid w:val="005F647C"/>
    <w:rsid w:val="005F6552"/>
    <w:rsid w:val="005F698B"/>
    <w:rsid w:val="005F6ED4"/>
    <w:rsid w:val="005F7676"/>
    <w:rsid w:val="005F7C57"/>
    <w:rsid w:val="005F7FE3"/>
    <w:rsid w:val="006015D0"/>
    <w:rsid w:val="0060224A"/>
    <w:rsid w:val="00602825"/>
    <w:rsid w:val="00602BBF"/>
    <w:rsid w:val="006043E1"/>
    <w:rsid w:val="0060588A"/>
    <w:rsid w:val="00605A23"/>
    <w:rsid w:val="006101B6"/>
    <w:rsid w:val="006111DF"/>
    <w:rsid w:val="006113B1"/>
    <w:rsid w:val="0061269F"/>
    <w:rsid w:val="006131D3"/>
    <w:rsid w:val="00613C7A"/>
    <w:rsid w:val="00616C02"/>
    <w:rsid w:val="006176CE"/>
    <w:rsid w:val="00617C52"/>
    <w:rsid w:val="006200A6"/>
    <w:rsid w:val="0062058B"/>
    <w:rsid w:val="00620796"/>
    <w:rsid w:val="00620ACF"/>
    <w:rsid w:val="00622F8B"/>
    <w:rsid w:val="006242BA"/>
    <w:rsid w:val="0062553B"/>
    <w:rsid w:val="006257CC"/>
    <w:rsid w:val="0062590C"/>
    <w:rsid w:val="00626716"/>
    <w:rsid w:val="00627C17"/>
    <w:rsid w:val="00630489"/>
    <w:rsid w:val="006311C9"/>
    <w:rsid w:val="0063230C"/>
    <w:rsid w:val="00632784"/>
    <w:rsid w:val="00632BA5"/>
    <w:rsid w:val="00633253"/>
    <w:rsid w:val="00633863"/>
    <w:rsid w:val="00637692"/>
    <w:rsid w:val="006404CB"/>
    <w:rsid w:val="006412F5"/>
    <w:rsid w:val="00641414"/>
    <w:rsid w:val="006415BF"/>
    <w:rsid w:val="006417A8"/>
    <w:rsid w:val="006425BE"/>
    <w:rsid w:val="00642A9F"/>
    <w:rsid w:val="0064426B"/>
    <w:rsid w:val="006464EA"/>
    <w:rsid w:val="0065047D"/>
    <w:rsid w:val="0065222B"/>
    <w:rsid w:val="00652BFB"/>
    <w:rsid w:val="00654083"/>
    <w:rsid w:val="006548D1"/>
    <w:rsid w:val="00655BCC"/>
    <w:rsid w:val="00656BF3"/>
    <w:rsid w:val="006572C4"/>
    <w:rsid w:val="0066055F"/>
    <w:rsid w:val="00663070"/>
    <w:rsid w:val="00663459"/>
    <w:rsid w:val="00663D50"/>
    <w:rsid w:val="006645EE"/>
    <w:rsid w:val="0066624D"/>
    <w:rsid w:val="00666BBF"/>
    <w:rsid w:val="00666FDC"/>
    <w:rsid w:val="0067068B"/>
    <w:rsid w:val="00670BB2"/>
    <w:rsid w:val="00670F3E"/>
    <w:rsid w:val="00671E07"/>
    <w:rsid w:val="00671F0B"/>
    <w:rsid w:val="00673752"/>
    <w:rsid w:val="006739A4"/>
    <w:rsid w:val="00674F15"/>
    <w:rsid w:val="006758CE"/>
    <w:rsid w:val="00675E8D"/>
    <w:rsid w:val="006765D9"/>
    <w:rsid w:val="00677E1C"/>
    <w:rsid w:val="006801E2"/>
    <w:rsid w:val="006803CD"/>
    <w:rsid w:val="00681001"/>
    <w:rsid w:val="00681E03"/>
    <w:rsid w:val="00683D6B"/>
    <w:rsid w:val="00683FA3"/>
    <w:rsid w:val="0068497D"/>
    <w:rsid w:val="00684E28"/>
    <w:rsid w:val="006856A7"/>
    <w:rsid w:val="00685C78"/>
    <w:rsid w:val="00685C97"/>
    <w:rsid w:val="00685FD9"/>
    <w:rsid w:val="0068661D"/>
    <w:rsid w:val="00686AAD"/>
    <w:rsid w:val="00687915"/>
    <w:rsid w:val="00692B52"/>
    <w:rsid w:val="00697C7D"/>
    <w:rsid w:val="00697E84"/>
    <w:rsid w:val="006A00AA"/>
    <w:rsid w:val="006A0210"/>
    <w:rsid w:val="006A0AE2"/>
    <w:rsid w:val="006A1E30"/>
    <w:rsid w:val="006A4843"/>
    <w:rsid w:val="006A49C0"/>
    <w:rsid w:val="006A541F"/>
    <w:rsid w:val="006A5611"/>
    <w:rsid w:val="006A690A"/>
    <w:rsid w:val="006A7E6C"/>
    <w:rsid w:val="006B0AC3"/>
    <w:rsid w:val="006B1140"/>
    <w:rsid w:val="006B2BEB"/>
    <w:rsid w:val="006B3E64"/>
    <w:rsid w:val="006B604A"/>
    <w:rsid w:val="006B745E"/>
    <w:rsid w:val="006C2A05"/>
    <w:rsid w:val="006C3504"/>
    <w:rsid w:val="006C38CF"/>
    <w:rsid w:val="006C594A"/>
    <w:rsid w:val="006C5DC1"/>
    <w:rsid w:val="006C79B4"/>
    <w:rsid w:val="006D01CD"/>
    <w:rsid w:val="006D2025"/>
    <w:rsid w:val="006D30F3"/>
    <w:rsid w:val="006D33B7"/>
    <w:rsid w:val="006D6048"/>
    <w:rsid w:val="006D67DF"/>
    <w:rsid w:val="006E03F1"/>
    <w:rsid w:val="006E1599"/>
    <w:rsid w:val="006E2078"/>
    <w:rsid w:val="006E2741"/>
    <w:rsid w:val="006E3440"/>
    <w:rsid w:val="006E4125"/>
    <w:rsid w:val="006E48D8"/>
    <w:rsid w:val="006E5DE6"/>
    <w:rsid w:val="006E5E30"/>
    <w:rsid w:val="006E6CBE"/>
    <w:rsid w:val="006E70DA"/>
    <w:rsid w:val="006E714C"/>
    <w:rsid w:val="006E71FD"/>
    <w:rsid w:val="006E7796"/>
    <w:rsid w:val="006F16B9"/>
    <w:rsid w:val="006F1BE0"/>
    <w:rsid w:val="006F39AC"/>
    <w:rsid w:val="006F626E"/>
    <w:rsid w:val="006F634E"/>
    <w:rsid w:val="006F64B0"/>
    <w:rsid w:val="00700740"/>
    <w:rsid w:val="00702056"/>
    <w:rsid w:val="0070247B"/>
    <w:rsid w:val="0070264D"/>
    <w:rsid w:val="007041A1"/>
    <w:rsid w:val="00704CB3"/>
    <w:rsid w:val="00710172"/>
    <w:rsid w:val="00710333"/>
    <w:rsid w:val="00712742"/>
    <w:rsid w:val="00714237"/>
    <w:rsid w:val="00716AC7"/>
    <w:rsid w:val="00717950"/>
    <w:rsid w:val="00717AC3"/>
    <w:rsid w:val="007207AF"/>
    <w:rsid w:val="0072085B"/>
    <w:rsid w:val="00720F18"/>
    <w:rsid w:val="0072298D"/>
    <w:rsid w:val="0072451C"/>
    <w:rsid w:val="00724908"/>
    <w:rsid w:val="00726C9D"/>
    <w:rsid w:val="0073033B"/>
    <w:rsid w:val="007309CF"/>
    <w:rsid w:val="00732A9F"/>
    <w:rsid w:val="00733BA6"/>
    <w:rsid w:val="0073534B"/>
    <w:rsid w:val="00736AE4"/>
    <w:rsid w:val="00737A8F"/>
    <w:rsid w:val="0074039C"/>
    <w:rsid w:val="00740FA7"/>
    <w:rsid w:val="00741A21"/>
    <w:rsid w:val="00743307"/>
    <w:rsid w:val="00743E7F"/>
    <w:rsid w:val="0074496A"/>
    <w:rsid w:val="00746391"/>
    <w:rsid w:val="0075054D"/>
    <w:rsid w:val="00752550"/>
    <w:rsid w:val="00752B65"/>
    <w:rsid w:val="00753850"/>
    <w:rsid w:val="00753A2C"/>
    <w:rsid w:val="00754344"/>
    <w:rsid w:val="0075524B"/>
    <w:rsid w:val="007561B7"/>
    <w:rsid w:val="0075622B"/>
    <w:rsid w:val="007569BF"/>
    <w:rsid w:val="0076108F"/>
    <w:rsid w:val="007612C1"/>
    <w:rsid w:val="00762381"/>
    <w:rsid w:val="00765424"/>
    <w:rsid w:val="00765B40"/>
    <w:rsid w:val="00765E5F"/>
    <w:rsid w:val="0076625D"/>
    <w:rsid w:val="00767995"/>
    <w:rsid w:val="00767AD0"/>
    <w:rsid w:val="00767D0B"/>
    <w:rsid w:val="0077027A"/>
    <w:rsid w:val="00770800"/>
    <w:rsid w:val="00770945"/>
    <w:rsid w:val="007721D7"/>
    <w:rsid w:val="007727E6"/>
    <w:rsid w:val="00772C32"/>
    <w:rsid w:val="00773152"/>
    <w:rsid w:val="007732B1"/>
    <w:rsid w:val="00774481"/>
    <w:rsid w:val="00775E9C"/>
    <w:rsid w:val="00776F1F"/>
    <w:rsid w:val="00777212"/>
    <w:rsid w:val="007779CF"/>
    <w:rsid w:val="0078065F"/>
    <w:rsid w:val="00782B97"/>
    <w:rsid w:val="00783137"/>
    <w:rsid w:val="00784D57"/>
    <w:rsid w:val="00784EEC"/>
    <w:rsid w:val="007856D6"/>
    <w:rsid w:val="00785BEB"/>
    <w:rsid w:val="00785CA4"/>
    <w:rsid w:val="00785D90"/>
    <w:rsid w:val="00786CBC"/>
    <w:rsid w:val="00791B65"/>
    <w:rsid w:val="00792EE5"/>
    <w:rsid w:val="0079348B"/>
    <w:rsid w:val="00793D72"/>
    <w:rsid w:val="00796783"/>
    <w:rsid w:val="00796C78"/>
    <w:rsid w:val="00796E82"/>
    <w:rsid w:val="007974C8"/>
    <w:rsid w:val="00797581"/>
    <w:rsid w:val="00797717"/>
    <w:rsid w:val="007A0B7E"/>
    <w:rsid w:val="007A316B"/>
    <w:rsid w:val="007A3A97"/>
    <w:rsid w:val="007A46FA"/>
    <w:rsid w:val="007A64C4"/>
    <w:rsid w:val="007A6D37"/>
    <w:rsid w:val="007A768E"/>
    <w:rsid w:val="007B0D4D"/>
    <w:rsid w:val="007B1714"/>
    <w:rsid w:val="007B5028"/>
    <w:rsid w:val="007B5A29"/>
    <w:rsid w:val="007B6230"/>
    <w:rsid w:val="007B6783"/>
    <w:rsid w:val="007C1C1E"/>
    <w:rsid w:val="007C29C4"/>
    <w:rsid w:val="007C2B43"/>
    <w:rsid w:val="007C2C43"/>
    <w:rsid w:val="007C33F3"/>
    <w:rsid w:val="007C3C2B"/>
    <w:rsid w:val="007C4FF1"/>
    <w:rsid w:val="007C5205"/>
    <w:rsid w:val="007C5DA0"/>
    <w:rsid w:val="007C61AE"/>
    <w:rsid w:val="007C7854"/>
    <w:rsid w:val="007C7E50"/>
    <w:rsid w:val="007D0353"/>
    <w:rsid w:val="007D0EF0"/>
    <w:rsid w:val="007D159D"/>
    <w:rsid w:val="007D2AF9"/>
    <w:rsid w:val="007D3516"/>
    <w:rsid w:val="007D432C"/>
    <w:rsid w:val="007D5016"/>
    <w:rsid w:val="007D5E21"/>
    <w:rsid w:val="007D6B5F"/>
    <w:rsid w:val="007D6CCA"/>
    <w:rsid w:val="007D7378"/>
    <w:rsid w:val="007D777F"/>
    <w:rsid w:val="007E0559"/>
    <w:rsid w:val="007E06B1"/>
    <w:rsid w:val="007E0E7E"/>
    <w:rsid w:val="007E2DC2"/>
    <w:rsid w:val="007E4C75"/>
    <w:rsid w:val="007E4D03"/>
    <w:rsid w:val="007E50A2"/>
    <w:rsid w:val="007E7E30"/>
    <w:rsid w:val="007F0583"/>
    <w:rsid w:val="007F0736"/>
    <w:rsid w:val="007F1D18"/>
    <w:rsid w:val="007F27DA"/>
    <w:rsid w:val="007F28AC"/>
    <w:rsid w:val="007F2E4E"/>
    <w:rsid w:val="007F3763"/>
    <w:rsid w:val="007F5879"/>
    <w:rsid w:val="007F6016"/>
    <w:rsid w:val="007F68FE"/>
    <w:rsid w:val="007F6A60"/>
    <w:rsid w:val="007F74F3"/>
    <w:rsid w:val="007F78A3"/>
    <w:rsid w:val="007F7E30"/>
    <w:rsid w:val="007F7FB0"/>
    <w:rsid w:val="0080040D"/>
    <w:rsid w:val="00803399"/>
    <w:rsid w:val="0080581C"/>
    <w:rsid w:val="00807253"/>
    <w:rsid w:val="008105BF"/>
    <w:rsid w:val="00814524"/>
    <w:rsid w:val="00815A60"/>
    <w:rsid w:val="00821C81"/>
    <w:rsid w:val="00824585"/>
    <w:rsid w:val="00824750"/>
    <w:rsid w:val="00826615"/>
    <w:rsid w:val="0082683A"/>
    <w:rsid w:val="00827B0A"/>
    <w:rsid w:val="00830748"/>
    <w:rsid w:val="00833E45"/>
    <w:rsid w:val="008340DC"/>
    <w:rsid w:val="00834B30"/>
    <w:rsid w:val="00835E04"/>
    <w:rsid w:val="0083770E"/>
    <w:rsid w:val="00837C25"/>
    <w:rsid w:val="00842EB6"/>
    <w:rsid w:val="00846775"/>
    <w:rsid w:val="00846EC7"/>
    <w:rsid w:val="00846F4F"/>
    <w:rsid w:val="008500F9"/>
    <w:rsid w:val="00850FA9"/>
    <w:rsid w:val="0085111A"/>
    <w:rsid w:val="0085174C"/>
    <w:rsid w:val="00856312"/>
    <w:rsid w:val="008603EB"/>
    <w:rsid w:val="00860DA2"/>
    <w:rsid w:val="00861023"/>
    <w:rsid w:val="008610A4"/>
    <w:rsid w:val="008613A7"/>
    <w:rsid w:val="00861F7B"/>
    <w:rsid w:val="00864E07"/>
    <w:rsid w:val="008668CA"/>
    <w:rsid w:val="00866C93"/>
    <w:rsid w:val="00867F1D"/>
    <w:rsid w:val="008714A7"/>
    <w:rsid w:val="00871B17"/>
    <w:rsid w:val="00872FE9"/>
    <w:rsid w:val="00873494"/>
    <w:rsid w:val="00873613"/>
    <w:rsid w:val="008755F8"/>
    <w:rsid w:val="00880235"/>
    <w:rsid w:val="00880753"/>
    <w:rsid w:val="0088194C"/>
    <w:rsid w:val="00882332"/>
    <w:rsid w:val="008839DF"/>
    <w:rsid w:val="00884F44"/>
    <w:rsid w:val="00887662"/>
    <w:rsid w:val="00887899"/>
    <w:rsid w:val="00890899"/>
    <w:rsid w:val="0089094C"/>
    <w:rsid w:val="00890BBA"/>
    <w:rsid w:val="00890CD2"/>
    <w:rsid w:val="00891A0A"/>
    <w:rsid w:val="00891CAD"/>
    <w:rsid w:val="00892AA6"/>
    <w:rsid w:val="00892FCF"/>
    <w:rsid w:val="00893D8A"/>
    <w:rsid w:val="008944BD"/>
    <w:rsid w:val="00894958"/>
    <w:rsid w:val="00896002"/>
    <w:rsid w:val="00896E42"/>
    <w:rsid w:val="008A0060"/>
    <w:rsid w:val="008A065E"/>
    <w:rsid w:val="008A0753"/>
    <w:rsid w:val="008A2B05"/>
    <w:rsid w:val="008A4583"/>
    <w:rsid w:val="008A5966"/>
    <w:rsid w:val="008A60B6"/>
    <w:rsid w:val="008A6D10"/>
    <w:rsid w:val="008A7224"/>
    <w:rsid w:val="008A78F9"/>
    <w:rsid w:val="008B03C0"/>
    <w:rsid w:val="008B07B9"/>
    <w:rsid w:val="008B26C6"/>
    <w:rsid w:val="008B290F"/>
    <w:rsid w:val="008B43AA"/>
    <w:rsid w:val="008B61F9"/>
    <w:rsid w:val="008B6AE3"/>
    <w:rsid w:val="008C013A"/>
    <w:rsid w:val="008C01AC"/>
    <w:rsid w:val="008C1E73"/>
    <w:rsid w:val="008C1F01"/>
    <w:rsid w:val="008C1FC5"/>
    <w:rsid w:val="008C21C2"/>
    <w:rsid w:val="008C2AAE"/>
    <w:rsid w:val="008C6EC0"/>
    <w:rsid w:val="008D0781"/>
    <w:rsid w:val="008D1509"/>
    <w:rsid w:val="008D21B1"/>
    <w:rsid w:val="008D2527"/>
    <w:rsid w:val="008D3CEB"/>
    <w:rsid w:val="008D473B"/>
    <w:rsid w:val="008D5ACD"/>
    <w:rsid w:val="008D6318"/>
    <w:rsid w:val="008D7673"/>
    <w:rsid w:val="008D7C7A"/>
    <w:rsid w:val="008E02DA"/>
    <w:rsid w:val="008E306E"/>
    <w:rsid w:val="008F134F"/>
    <w:rsid w:val="008F2CA9"/>
    <w:rsid w:val="008F2DF9"/>
    <w:rsid w:val="008F45B7"/>
    <w:rsid w:val="008F57A2"/>
    <w:rsid w:val="008F73FE"/>
    <w:rsid w:val="00900EA1"/>
    <w:rsid w:val="00903F15"/>
    <w:rsid w:val="00905AF2"/>
    <w:rsid w:val="00906779"/>
    <w:rsid w:val="009068DC"/>
    <w:rsid w:val="009104FA"/>
    <w:rsid w:val="00914B51"/>
    <w:rsid w:val="009155C2"/>
    <w:rsid w:val="00915B23"/>
    <w:rsid w:val="00916494"/>
    <w:rsid w:val="00916805"/>
    <w:rsid w:val="00917DA6"/>
    <w:rsid w:val="00920FE1"/>
    <w:rsid w:val="0092113A"/>
    <w:rsid w:val="0092118B"/>
    <w:rsid w:val="009219B0"/>
    <w:rsid w:val="009221AB"/>
    <w:rsid w:val="009231DF"/>
    <w:rsid w:val="00924C77"/>
    <w:rsid w:val="009269D4"/>
    <w:rsid w:val="00935F5B"/>
    <w:rsid w:val="00936246"/>
    <w:rsid w:val="00937792"/>
    <w:rsid w:val="00941ABD"/>
    <w:rsid w:val="00943608"/>
    <w:rsid w:val="009448B0"/>
    <w:rsid w:val="0094574A"/>
    <w:rsid w:val="009477EE"/>
    <w:rsid w:val="00950715"/>
    <w:rsid w:val="00950A8E"/>
    <w:rsid w:val="00952237"/>
    <w:rsid w:val="00953353"/>
    <w:rsid w:val="00953D28"/>
    <w:rsid w:val="00954960"/>
    <w:rsid w:val="009554DB"/>
    <w:rsid w:val="009563B5"/>
    <w:rsid w:val="009577C6"/>
    <w:rsid w:val="00960187"/>
    <w:rsid w:val="009612DE"/>
    <w:rsid w:val="009633F6"/>
    <w:rsid w:val="00963803"/>
    <w:rsid w:val="00963E70"/>
    <w:rsid w:val="00965B56"/>
    <w:rsid w:val="009672A0"/>
    <w:rsid w:val="0097110D"/>
    <w:rsid w:val="00973858"/>
    <w:rsid w:val="0097477B"/>
    <w:rsid w:val="0097616F"/>
    <w:rsid w:val="00976D0D"/>
    <w:rsid w:val="009833E4"/>
    <w:rsid w:val="00983B01"/>
    <w:rsid w:val="00983DA8"/>
    <w:rsid w:val="009849A9"/>
    <w:rsid w:val="00985054"/>
    <w:rsid w:val="00990A99"/>
    <w:rsid w:val="00990D82"/>
    <w:rsid w:val="009929E7"/>
    <w:rsid w:val="00993D82"/>
    <w:rsid w:val="0099423A"/>
    <w:rsid w:val="00995561"/>
    <w:rsid w:val="00995955"/>
    <w:rsid w:val="00995A8F"/>
    <w:rsid w:val="00997B5F"/>
    <w:rsid w:val="00997E40"/>
    <w:rsid w:val="009A08B7"/>
    <w:rsid w:val="009A0E56"/>
    <w:rsid w:val="009A475C"/>
    <w:rsid w:val="009A4D82"/>
    <w:rsid w:val="009A5DE2"/>
    <w:rsid w:val="009A7A46"/>
    <w:rsid w:val="009B149C"/>
    <w:rsid w:val="009B599D"/>
    <w:rsid w:val="009B60D4"/>
    <w:rsid w:val="009B60F2"/>
    <w:rsid w:val="009B6E7C"/>
    <w:rsid w:val="009B6FE6"/>
    <w:rsid w:val="009B7AC6"/>
    <w:rsid w:val="009C0BAA"/>
    <w:rsid w:val="009C100A"/>
    <w:rsid w:val="009C165B"/>
    <w:rsid w:val="009C1FED"/>
    <w:rsid w:val="009C25C7"/>
    <w:rsid w:val="009C2C9B"/>
    <w:rsid w:val="009C2FFC"/>
    <w:rsid w:val="009C3069"/>
    <w:rsid w:val="009C36F6"/>
    <w:rsid w:val="009C3BDF"/>
    <w:rsid w:val="009C4204"/>
    <w:rsid w:val="009C52FA"/>
    <w:rsid w:val="009C57CD"/>
    <w:rsid w:val="009C6089"/>
    <w:rsid w:val="009C7C85"/>
    <w:rsid w:val="009C7FEF"/>
    <w:rsid w:val="009D04F0"/>
    <w:rsid w:val="009D11A8"/>
    <w:rsid w:val="009D454C"/>
    <w:rsid w:val="009D474E"/>
    <w:rsid w:val="009D56E3"/>
    <w:rsid w:val="009D5DD6"/>
    <w:rsid w:val="009D6727"/>
    <w:rsid w:val="009D7607"/>
    <w:rsid w:val="009D7A8A"/>
    <w:rsid w:val="009E00FE"/>
    <w:rsid w:val="009E023A"/>
    <w:rsid w:val="009E1FAE"/>
    <w:rsid w:val="009E452F"/>
    <w:rsid w:val="009E5368"/>
    <w:rsid w:val="009E680A"/>
    <w:rsid w:val="009E70D5"/>
    <w:rsid w:val="009E72E6"/>
    <w:rsid w:val="009E7A61"/>
    <w:rsid w:val="009F165D"/>
    <w:rsid w:val="009F58DE"/>
    <w:rsid w:val="009F5A18"/>
    <w:rsid w:val="009F7A8B"/>
    <w:rsid w:val="009F7C05"/>
    <w:rsid w:val="00A008A5"/>
    <w:rsid w:val="00A0149C"/>
    <w:rsid w:val="00A014D3"/>
    <w:rsid w:val="00A01C19"/>
    <w:rsid w:val="00A01D8D"/>
    <w:rsid w:val="00A028FF"/>
    <w:rsid w:val="00A045C2"/>
    <w:rsid w:val="00A04649"/>
    <w:rsid w:val="00A04AF6"/>
    <w:rsid w:val="00A05AA1"/>
    <w:rsid w:val="00A06405"/>
    <w:rsid w:val="00A067E6"/>
    <w:rsid w:val="00A07133"/>
    <w:rsid w:val="00A07483"/>
    <w:rsid w:val="00A12524"/>
    <w:rsid w:val="00A13EE0"/>
    <w:rsid w:val="00A1419F"/>
    <w:rsid w:val="00A143E4"/>
    <w:rsid w:val="00A14BED"/>
    <w:rsid w:val="00A16E59"/>
    <w:rsid w:val="00A20549"/>
    <w:rsid w:val="00A20D4B"/>
    <w:rsid w:val="00A22378"/>
    <w:rsid w:val="00A22469"/>
    <w:rsid w:val="00A22D73"/>
    <w:rsid w:val="00A269FD"/>
    <w:rsid w:val="00A27152"/>
    <w:rsid w:val="00A30DA9"/>
    <w:rsid w:val="00A33E18"/>
    <w:rsid w:val="00A3453F"/>
    <w:rsid w:val="00A35036"/>
    <w:rsid w:val="00A3614F"/>
    <w:rsid w:val="00A3621C"/>
    <w:rsid w:val="00A40D43"/>
    <w:rsid w:val="00A40F6D"/>
    <w:rsid w:val="00A412BF"/>
    <w:rsid w:val="00A412C2"/>
    <w:rsid w:val="00A44274"/>
    <w:rsid w:val="00A464B1"/>
    <w:rsid w:val="00A47398"/>
    <w:rsid w:val="00A50F27"/>
    <w:rsid w:val="00A527DE"/>
    <w:rsid w:val="00A52E8D"/>
    <w:rsid w:val="00A5332E"/>
    <w:rsid w:val="00A54EE2"/>
    <w:rsid w:val="00A557EC"/>
    <w:rsid w:val="00A55BF1"/>
    <w:rsid w:val="00A55D82"/>
    <w:rsid w:val="00A57689"/>
    <w:rsid w:val="00A57CB6"/>
    <w:rsid w:val="00A63982"/>
    <w:rsid w:val="00A662A3"/>
    <w:rsid w:val="00A668C1"/>
    <w:rsid w:val="00A706D4"/>
    <w:rsid w:val="00A70D28"/>
    <w:rsid w:val="00A7152D"/>
    <w:rsid w:val="00A72A88"/>
    <w:rsid w:val="00A72B95"/>
    <w:rsid w:val="00A7431B"/>
    <w:rsid w:val="00A77270"/>
    <w:rsid w:val="00A777D4"/>
    <w:rsid w:val="00A77DD6"/>
    <w:rsid w:val="00A80915"/>
    <w:rsid w:val="00A81B39"/>
    <w:rsid w:val="00A81DF0"/>
    <w:rsid w:val="00A82289"/>
    <w:rsid w:val="00A82922"/>
    <w:rsid w:val="00A862DE"/>
    <w:rsid w:val="00A86C3A"/>
    <w:rsid w:val="00A86FCB"/>
    <w:rsid w:val="00A90243"/>
    <w:rsid w:val="00A903F8"/>
    <w:rsid w:val="00A921F0"/>
    <w:rsid w:val="00A93493"/>
    <w:rsid w:val="00A951DB"/>
    <w:rsid w:val="00A96CEE"/>
    <w:rsid w:val="00A97ADF"/>
    <w:rsid w:val="00AA2401"/>
    <w:rsid w:val="00AA66CE"/>
    <w:rsid w:val="00AA6935"/>
    <w:rsid w:val="00AB0AB7"/>
    <w:rsid w:val="00AB17C5"/>
    <w:rsid w:val="00AB229C"/>
    <w:rsid w:val="00AB585C"/>
    <w:rsid w:val="00AB6B2F"/>
    <w:rsid w:val="00AB7512"/>
    <w:rsid w:val="00AB7C82"/>
    <w:rsid w:val="00AC0C32"/>
    <w:rsid w:val="00AC13FF"/>
    <w:rsid w:val="00AC2DC4"/>
    <w:rsid w:val="00AC37D7"/>
    <w:rsid w:val="00AC3D5E"/>
    <w:rsid w:val="00AC474A"/>
    <w:rsid w:val="00AC5E46"/>
    <w:rsid w:val="00AD0140"/>
    <w:rsid w:val="00AD3303"/>
    <w:rsid w:val="00AD3549"/>
    <w:rsid w:val="00AD374D"/>
    <w:rsid w:val="00AD4A9F"/>
    <w:rsid w:val="00AD4E3D"/>
    <w:rsid w:val="00AD681B"/>
    <w:rsid w:val="00AD6DFB"/>
    <w:rsid w:val="00AD6EDA"/>
    <w:rsid w:val="00AD7534"/>
    <w:rsid w:val="00AD78AB"/>
    <w:rsid w:val="00AD79B8"/>
    <w:rsid w:val="00AD7B1A"/>
    <w:rsid w:val="00AE06FD"/>
    <w:rsid w:val="00AE1A21"/>
    <w:rsid w:val="00AE3CEA"/>
    <w:rsid w:val="00AE41A0"/>
    <w:rsid w:val="00AE5F63"/>
    <w:rsid w:val="00AE6528"/>
    <w:rsid w:val="00AE6843"/>
    <w:rsid w:val="00AE7B9D"/>
    <w:rsid w:val="00AF0449"/>
    <w:rsid w:val="00AF17B0"/>
    <w:rsid w:val="00AF1E4A"/>
    <w:rsid w:val="00AF20AC"/>
    <w:rsid w:val="00AF25B3"/>
    <w:rsid w:val="00AF2C93"/>
    <w:rsid w:val="00AF2DF6"/>
    <w:rsid w:val="00AF2FE0"/>
    <w:rsid w:val="00AF302B"/>
    <w:rsid w:val="00AF4403"/>
    <w:rsid w:val="00AF4BEA"/>
    <w:rsid w:val="00AF4C75"/>
    <w:rsid w:val="00AF4F93"/>
    <w:rsid w:val="00AF6C13"/>
    <w:rsid w:val="00B0272F"/>
    <w:rsid w:val="00B03327"/>
    <w:rsid w:val="00B033EE"/>
    <w:rsid w:val="00B03B90"/>
    <w:rsid w:val="00B05E51"/>
    <w:rsid w:val="00B06619"/>
    <w:rsid w:val="00B0789C"/>
    <w:rsid w:val="00B07C0F"/>
    <w:rsid w:val="00B113D5"/>
    <w:rsid w:val="00B114B2"/>
    <w:rsid w:val="00B11582"/>
    <w:rsid w:val="00B1162D"/>
    <w:rsid w:val="00B12B54"/>
    <w:rsid w:val="00B12F4D"/>
    <w:rsid w:val="00B200DE"/>
    <w:rsid w:val="00B206A0"/>
    <w:rsid w:val="00B229D6"/>
    <w:rsid w:val="00B230E7"/>
    <w:rsid w:val="00B23DDE"/>
    <w:rsid w:val="00B25F81"/>
    <w:rsid w:val="00B262BD"/>
    <w:rsid w:val="00B26575"/>
    <w:rsid w:val="00B269C0"/>
    <w:rsid w:val="00B26A2C"/>
    <w:rsid w:val="00B30115"/>
    <w:rsid w:val="00B32D2C"/>
    <w:rsid w:val="00B33D7C"/>
    <w:rsid w:val="00B342F8"/>
    <w:rsid w:val="00B34382"/>
    <w:rsid w:val="00B365E3"/>
    <w:rsid w:val="00B36A20"/>
    <w:rsid w:val="00B403DF"/>
    <w:rsid w:val="00B41114"/>
    <w:rsid w:val="00B4145D"/>
    <w:rsid w:val="00B429C5"/>
    <w:rsid w:val="00B43301"/>
    <w:rsid w:val="00B458E8"/>
    <w:rsid w:val="00B4715E"/>
    <w:rsid w:val="00B503E4"/>
    <w:rsid w:val="00B51275"/>
    <w:rsid w:val="00B53481"/>
    <w:rsid w:val="00B53AC9"/>
    <w:rsid w:val="00B53C68"/>
    <w:rsid w:val="00B54609"/>
    <w:rsid w:val="00B546D1"/>
    <w:rsid w:val="00B553C2"/>
    <w:rsid w:val="00B57D7A"/>
    <w:rsid w:val="00B61613"/>
    <w:rsid w:val="00B639F9"/>
    <w:rsid w:val="00B64B03"/>
    <w:rsid w:val="00B65A0A"/>
    <w:rsid w:val="00B65D99"/>
    <w:rsid w:val="00B660DF"/>
    <w:rsid w:val="00B665BC"/>
    <w:rsid w:val="00B667DB"/>
    <w:rsid w:val="00B67E16"/>
    <w:rsid w:val="00B67F5A"/>
    <w:rsid w:val="00B71FCE"/>
    <w:rsid w:val="00B810AB"/>
    <w:rsid w:val="00B82679"/>
    <w:rsid w:val="00B82BDF"/>
    <w:rsid w:val="00B84FDC"/>
    <w:rsid w:val="00B86C0C"/>
    <w:rsid w:val="00B87026"/>
    <w:rsid w:val="00B87444"/>
    <w:rsid w:val="00B87579"/>
    <w:rsid w:val="00B87614"/>
    <w:rsid w:val="00B879D1"/>
    <w:rsid w:val="00B87E4C"/>
    <w:rsid w:val="00B90725"/>
    <w:rsid w:val="00B90919"/>
    <w:rsid w:val="00B90E18"/>
    <w:rsid w:val="00B91649"/>
    <w:rsid w:val="00B91787"/>
    <w:rsid w:val="00B925E7"/>
    <w:rsid w:val="00B94EFC"/>
    <w:rsid w:val="00B94F08"/>
    <w:rsid w:val="00B966F0"/>
    <w:rsid w:val="00B96F3E"/>
    <w:rsid w:val="00BA0AD8"/>
    <w:rsid w:val="00BA0CFA"/>
    <w:rsid w:val="00BA196C"/>
    <w:rsid w:val="00BA1D94"/>
    <w:rsid w:val="00BA1E06"/>
    <w:rsid w:val="00BA23A2"/>
    <w:rsid w:val="00BA2511"/>
    <w:rsid w:val="00BA4916"/>
    <w:rsid w:val="00BA4BC6"/>
    <w:rsid w:val="00BA66C5"/>
    <w:rsid w:val="00BA7357"/>
    <w:rsid w:val="00BA7815"/>
    <w:rsid w:val="00BB0DBC"/>
    <w:rsid w:val="00BB2966"/>
    <w:rsid w:val="00BB2BD6"/>
    <w:rsid w:val="00BB3939"/>
    <w:rsid w:val="00BC25A1"/>
    <w:rsid w:val="00BC2DB6"/>
    <w:rsid w:val="00BC4806"/>
    <w:rsid w:val="00BC4859"/>
    <w:rsid w:val="00BC4E8E"/>
    <w:rsid w:val="00BC7F24"/>
    <w:rsid w:val="00BD08D7"/>
    <w:rsid w:val="00BD1F69"/>
    <w:rsid w:val="00BD4985"/>
    <w:rsid w:val="00BD678E"/>
    <w:rsid w:val="00BD6B7E"/>
    <w:rsid w:val="00BD7E69"/>
    <w:rsid w:val="00BE2117"/>
    <w:rsid w:val="00BE3A29"/>
    <w:rsid w:val="00BE6F94"/>
    <w:rsid w:val="00BE7E69"/>
    <w:rsid w:val="00BF0667"/>
    <w:rsid w:val="00BF106C"/>
    <w:rsid w:val="00BF3A89"/>
    <w:rsid w:val="00BF3D0E"/>
    <w:rsid w:val="00BF3D12"/>
    <w:rsid w:val="00BF5B2B"/>
    <w:rsid w:val="00BF5D8D"/>
    <w:rsid w:val="00BF65BE"/>
    <w:rsid w:val="00BF6CBB"/>
    <w:rsid w:val="00C011DE"/>
    <w:rsid w:val="00C03DA5"/>
    <w:rsid w:val="00C04C28"/>
    <w:rsid w:val="00C0647E"/>
    <w:rsid w:val="00C07E1A"/>
    <w:rsid w:val="00C15C4A"/>
    <w:rsid w:val="00C168CB"/>
    <w:rsid w:val="00C1705A"/>
    <w:rsid w:val="00C20920"/>
    <w:rsid w:val="00C20FB2"/>
    <w:rsid w:val="00C213A0"/>
    <w:rsid w:val="00C21742"/>
    <w:rsid w:val="00C218A3"/>
    <w:rsid w:val="00C219F3"/>
    <w:rsid w:val="00C22180"/>
    <w:rsid w:val="00C226E3"/>
    <w:rsid w:val="00C2406C"/>
    <w:rsid w:val="00C268F4"/>
    <w:rsid w:val="00C271FA"/>
    <w:rsid w:val="00C27F24"/>
    <w:rsid w:val="00C3037A"/>
    <w:rsid w:val="00C3124A"/>
    <w:rsid w:val="00C32F6F"/>
    <w:rsid w:val="00C33A25"/>
    <w:rsid w:val="00C33AD0"/>
    <w:rsid w:val="00C34109"/>
    <w:rsid w:val="00C35003"/>
    <w:rsid w:val="00C36068"/>
    <w:rsid w:val="00C37A18"/>
    <w:rsid w:val="00C41ACC"/>
    <w:rsid w:val="00C41CCF"/>
    <w:rsid w:val="00C41E9F"/>
    <w:rsid w:val="00C4239F"/>
    <w:rsid w:val="00C4242D"/>
    <w:rsid w:val="00C425A6"/>
    <w:rsid w:val="00C43726"/>
    <w:rsid w:val="00C43FEC"/>
    <w:rsid w:val="00C4461F"/>
    <w:rsid w:val="00C44D44"/>
    <w:rsid w:val="00C46311"/>
    <w:rsid w:val="00C50D40"/>
    <w:rsid w:val="00C50E4C"/>
    <w:rsid w:val="00C50EA2"/>
    <w:rsid w:val="00C53465"/>
    <w:rsid w:val="00C559D1"/>
    <w:rsid w:val="00C55BCF"/>
    <w:rsid w:val="00C56C5C"/>
    <w:rsid w:val="00C57005"/>
    <w:rsid w:val="00C573AC"/>
    <w:rsid w:val="00C6339F"/>
    <w:rsid w:val="00C635B9"/>
    <w:rsid w:val="00C63BC1"/>
    <w:rsid w:val="00C63F94"/>
    <w:rsid w:val="00C659FC"/>
    <w:rsid w:val="00C65C81"/>
    <w:rsid w:val="00C71434"/>
    <w:rsid w:val="00C71B5A"/>
    <w:rsid w:val="00C74044"/>
    <w:rsid w:val="00C7637B"/>
    <w:rsid w:val="00C775AE"/>
    <w:rsid w:val="00C77ACA"/>
    <w:rsid w:val="00C82361"/>
    <w:rsid w:val="00C826C4"/>
    <w:rsid w:val="00C82797"/>
    <w:rsid w:val="00C84A0C"/>
    <w:rsid w:val="00C85198"/>
    <w:rsid w:val="00C85AF1"/>
    <w:rsid w:val="00C85DB6"/>
    <w:rsid w:val="00C872A8"/>
    <w:rsid w:val="00C90F85"/>
    <w:rsid w:val="00C9586D"/>
    <w:rsid w:val="00C9591E"/>
    <w:rsid w:val="00C96B64"/>
    <w:rsid w:val="00CA0335"/>
    <w:rsid w:val="00CA2C6A"/>
    <w:rsid w:val="00CA45DE"/>
    <w:rsid w:val="00CA57D2"/>
    <w:rsid w:val="00CB0F60"/>
    <w:rsid w:val="00CB1D40"/>
    <w:rsid w:val="00CB2F4D"/>
    <w:rsid w:val="00CB4459"/>
    <w:rsid w:val="00CB44C1"/>
    <w:rsid w:val="00CB4506"/>
    <w:rsid w:val="00CB5E27"/>
    <w:rsid w:val="00CB6CE3"/>
    <w:rsid w:val="00CB7997"/>
    <w:rsid w:val="00CC15AD"/>
    <w:rsid w:val="00CC4F1C"/>
    <w:rsid w:val="00CC52A1"/>
    <w:rsid w:val="00CC5508"/>
    <w:rsid w:val="00CC7DA8"/>
    <w:rsid w:val="00CD0F0F"/>
    <w:rsid w:val="00CD138C"/>
    <w:rsid w:val="00CD13C1"/>
    <w:rsid w:val="00CD2544"/>
    <w:rsid w:val="00CD64DF"/>
    <w:rsid w:val="00CD6A8B"/>
    <w:rsid w:val="00CD7ED3"/>
    <w:rsid w:val="00CE0D84"/>
    <w:rsid w:val="00CE1959"/>
    <w:rsid w:val="00CE1E23"/>
    <w:rsid w:val="00CE2043"/>
    <w:rsid w:val="00CE50BD"/>
    <w:rsid w:val="00CE6DF2"/>
    <w:rsid w:val="00CE7911"/>
    <w:rsid w:val="00CF09B5"/>
    <w:rsid w:val="00CF2182"/>
    <w:rsid w:val="00CF34EE"/>
    <w:rsid w:val="00CF3DB5"/>
    <w:rsid w:val="00CF431A"/>
    <w:rsid w:val="00CF76FB"/>
    <w:rsid w:val="00D02100"/>
    <w:rsid w:val="00D02182"/>
    <w:rsid w:val="00D024B9"/>
    <w:rsid w:val="00D0344F"/>
    <w:rsid w:val="00D04F8B"/>
    <w:rsid w:val="00D10683"/>
    <w:rsid w:val="00D12CDB"/>
    <w:rsid w:val="00D13E07"/>
    <w:rsid w:val="00D16137"/>
    <w:rsid w:val="00D16827"/>
    <w:rsid w:val="00D17A89"/>
    <w:rsid w:val="00D17CB7"/>
    <w:rsid w:val="00D2050F"/>
    <w:rsid w:val="00D213A5"/>
    <w:rsid w:val="00D21BDB"/>
    <w:rsid w:val="00D21D9C"/>
    <w:rsid w:val="00D229C5"/>
    <w:rsid w:val="00D24996"/>
    <w:rsid w:val="00D25760"/>
    <w:rsid w:val="00D25C45"/>
    <w:rsid w:val="00D27D81"/>
    <w:rsid w:val="00D3012D"/>
    <w:rsid w:val="00D31BBC"/>
    <w:rsid w:val="00D32BEA"/>
    <w:rsid w:val="00D34BB9"/>
    <w:rsid w:val="00D35819"/>
    <w:rsid w:val="00D3697A"/>
    <w:rsid w:val="00D37A9A"/>
    <w:rsid w:val="00D40985"/>
    <w:rsid w:val="00D419DB"/>
    <w:rsid w:val="00D43532"/>
    <w:rsid w:val="00D43C0B"/>
    <w:rsid w:val="00D43DA4"/>
    <w:rsid w:val="00D44C69"/>
    <w:rsid w:val="00D45A88"/>
    <w:rsid w:val="00D464F4"/>
    <w:rsid w:val="00D47148"/>
    <w:rsid w:val="00D50729"/>
    <w:rsid w:val="00D51DBA"/>
    <w:rsid w:val="00D522E9"/>
    <w:rsid w:val="00D543B4"/>
    <w:rsid w:val="00D553D2"/>
    <w:rsid w:val="00D55707"/>
    <w:rsid w:val="00D55BE0"/>
    <w:rsid w:val="00D55C18"/>
    <w:rsid w:val="00D56C89"/>
    <w:rsid w:val="00D570F5"/>
    <w:rsid w:val="00D60932"/>
    <w:rsid w:val="00D6152D"/>
    <w:rsid w:val="00D62480"/>
    <w:rsid w:val="00D62AC5"/>
    <w:rsid w:val="00D6424B"/>
    <w:rsid w:val="00D648A4"/>
    <w:rsid w:val="00D64C43"/>
    <w:rsid w:val="00D655EE"/>
    <w:rsid w:val="00D667C5"/>
    <w:rsid w:val="00D66802"/>
    <w:rsid w:val="00D66C73"/>
    <w:rsid w:val="00D67BC9"/>
    <w:rsid w:val="00D707A2"/>
    <w:rsid w:val="00D70AB5"/>
    <w:rsid w:val="00D72AB7"/>
    <w:rsid w:val="00D732D5"/>
    <w:rsid w:val="00D7331F"/>
    <w:rsid w:val="00D74C2E"/>
    <w:rsid w:val="00D74E62"/>
    <w:rsid w:val="00D75856"/>
    <w:rsid w:val="00D770ED"/>
    <w:rsid w:val="00D807C9"/>
    <w:rsid w:val="00D80947"/>
    <w:rsid w:val="00D80F54"/>
    <w:rsid w:val="00D80F6F"/>
    <w:rsid w:val="00D81300"/>
    <w:rsid w:val="00D81955"/>
    <w:rsid w:val="00D83267"/>
    <w:rsid w:val="00D83C44"/>
    <w:rsid w:val="00D87256"/>
    <w:rsid w:val="00D878A9"/>
    <w:rsid w:val="00D90A96"/>
    <w:rsid w:val="00D9112F"/>
    <w:rsid w:val="00D9169F"/>
    <w:rsid w:val="00D91AA6"/>
    <w:rsid w:val="00D91E94"/>
    <w:rsid w:val="00D924FD"/>
    <w:rsid w:val="00D925EF"/>
    <w:rsid w:val="00D94C6B"/>
    <w:rsid w:val="00D95AAB"/>
    <w:rsid w:val="00D96058"/>
    <w:rsid w:val="00D966B2"/>
    <w:rsid w:val="00D96AD3"/>
    <w:rsid w:val="00D97043"/>
    <w:rsid w:val="00D97164"/>
    <w:rsid w:val="00DA054F"/>
    <w:rsid w:val="00DA1AF5"/>
    <w:rsid w:val="00DA26D8"/>
    <w:rsid w:val="00DA2DAB"/>
    <w:rsid w:val="00DA2F74"/>
    <w:rsid w:val="00DA52DD"/>
    <w:rsid w:val="00DA5355"/>
    <w:rsid w:val="00DA5599"/>
    <w:rsid w:val="00DA5CA4"/>
    <w:rsid w:val="00DA67C6"/>
    <w:rsid w:val="00DA74BB"/>
    <w:rsid w:val="00DB0175"/>
    <w:rsid w:val="00DB0711"/>
    <w:rsid w:val="00DB17D1"/>
    <w:rsid w:val="00DB1F7A"/>
    <w:rsid w:val="00DB2393"/>
    <w:rsid w:val="00DB3739"/>
    <w:rsid w:val="00DB58C4"/>
    <w:rsid w:val="00DB5E93"/>
    <w:rsid w:val="00DB5EBD"/>
    <w:rsid w:val="00DB6238"/>
    <w:rsid w:val="00DB6536"/>
    <w:rsid w:val="00DB7B28"/>
    <w:rsid w:val="00DC03C9"/>
    <w:rsid w:val="00DC13DE"/>
    <w:rsid w:val="00DC18CE"/>
    <w:rsid w:val="00DC3503"/>
    <w:rsid w:val="00DC4ABF"/>
    <w:rsid w:val="00DC69DF"/>
    <w:rsid w:val="00DC6AE6"/>
    <w:rsid w:val="00DC6C0F"/>
    <w:rsid w:val="00DD0014"/>
    <w:rsid w:val="00DD00FA"/>
    <w:rsid w:val="00DD0B81"/>
    <w:rsid w:val="00DD14AE"/>
    <w:rsid w:val="00DD2486"/>
    <w:rsid w:val="00DD33E2"/>
    <w:rsid w:val="00DD4DCA"/>
    <w:rsid w:val="00DD52E3"/>
    <w:rsid w:val="00DD5BA7"/>
    <w:rsid w:val="00DE08BB"/>
    <w:rsid w:val="00DE0C3F"/>
    <w:rsid w:val="00DE26D5"/>
    <w:rsid w:val="00DE5193"/>
    <w:rsid w:val="00DE52FA"/>
    <w:rsid w:val="00DE5816"/>
    <w:rsid w:val="00DE6612"/>
    <w:rsid w:val="00DE671C"/>
    <w:rsid w:val="00DE7194"/>
    <w:rsid w:val="00DE721F"/>
    <w:rsid w:val="00DE732D"/>
    <w:rsid w:val="00DF054A"/>
    <w:rsid w:val="00DF0794"/>
    <w:rsid w:val="00DF2F15"/>
    <w:rsid w:val="00DF4D9A"/>
    <w:rsid w:val="00DF50FC"/>
    <w:rsid w:val="00DF66EF"/>
    <w:rsid w:val="00DF6885"/>
    <w:rsid w:val="00E00F58"/>
    <w:rsid w:val="00E01167"/>
    <w:rsid w:val="00E01D73"/>
    <w:rsid w:val="00E01DDD"/>
    <w:rsid w:val="00E02FC6"/>
    <w:rsid w:val="00E03BC9"/>
    <w:rsid w:val="00E03D3A"/>
    <w:rsid w:val="00E05979"/>
    <w:rsid w:val="00E05CC6"/>
    <w:rsid w:val="00E06C50"/>
    <w:rsid w:val="00E070FA"/>
    <w:rsid w:val="00E12986"/>
    <w:rsid w:val="00E131DF"/>
    <w:rsid w:val="00E147E4"/>
    <w:rsid w:val="00E16416"/>
    <w:rsid w:val="00E20807"/>
    <w:rsid w:val="00E20908"/>
    <w:rsid w:val="00E21A63"/>
    <w:rsid w:val="00E22182"/>
    <w:rsid w:val="00E235CD"/>
    <w:rsid w:val="00E23683"/>
    <w:rsid w:val="00E24DB5"/>
    <w:rsid w:val="00E25C1C"/>
    <w:rsid w:val="00E25EA2"/>
    <w:rsid w:val="00E2769A"/>
    <w:rsid w:val="00E31F47"/>
    <w:rsid w:val="00E327CB"/>
    <w:rsid w:val="00E33056"/>
    <w:rsid w:val="00E340A3"/>
    <w:rsid w:val="00E344F0"/>
    <w:rsid w:val="00E34FB2"/>
    <w:rsid w:val="00E376F6"/>
    <w:rsid w:val="00E4012E"/>
    <w:rsid w:val="00E42EED"/>
    <w:rsid w:val="00E43054"/>
    <w:rsid w:val="00E43210"/>
    <w:rsid w:val="00E433E4"/>
    <w:rsid w:val="00E43AC9"/>
    <w:rsid w:val="00E43AF9"/>
    <w:rsid w:val="00E43D55"/>
    <w:rsid w:val="00E4439C"/>
    <w:rsid w:val="00E458BE"/>
    <w:rsid w:val="00E45D5A"/>
    <w:rsid w:val="00E4641D"/>
    <w:rsid w:val="00E46827"/>
    <w:rsid w:val="00E46F63"/>
    <w:rsid w:val="00E4789A"/>
    <w:rsid w:val="00E47D46"/>
    <w:rsid w:val="00E502D3"/>
    <w:rsid w:val="00E50BE2"/>
    <w:rsid w:val="00E51F3C"/>
    <w:rsid w:val="00E520C2"/>
    <w:rsid w:val="00E524CC"/>
    <w:rsid w:val="00E527A4"/>
    <w:rsid w:val="00E52CF9"/>
    <w:rsid w:val="00E53157"/>
    <w:rsid w:val="00E540E0"/>
    <w:rsid w:val="00E55EEE"/>
    <w:rsid w:val="00E55F25"/>
    <w:rsid w:val="00E562E5"/>
    <w:rsid w:val="00E56E8B"/>
    <w:rsid w:val="00E574FD"/>
    <w:rsid w:val="00E601B0"/>
    <w:rsid w:val="00E60521"/>
    <w:rsid w:val="00E61920"/>
    <w:rsid w:val="00E61B90"/>
    <w:rsid w:val="00E62C7E"/>
    <w:rsid w:val="00E637A6"/>
    <w:rsid w:val="00E637C2"/>
    <w:rsid w:val="00E63A0A"/>
    <w:rsid w:val="00E64CA3"/>
    <w:rsid w:val="00E66D3F"/>
    <w:rsid w:val="00E674C8"/>
    <w:rsid w:val="00E6795F"/>
    <w:rsid w:val="00E67FBF"/>
    <w:rsid w:val="00E70A45"/>
    <w:rsid w:val="00E71DBA"/>
    <w:rsid w:val="00E7303A"/>
    <w:rsid w:val="00E74DD7"/>
    <w:rsid w:val="00E75279"/>
    <w:rsid w:val="00E7753A"/>
    <w:rsid w:val="00E77A3C"/>
    <w:rsid w:val="00E81DAE"/>
    <w:rsid w:val="00E824E2"/>
    <w:rsid w:val="00E84C43"/>
    <w:rsid w:val="00E857D9"/>
    <w:rsid w:val="00E864F1"/>
    <w:rsid w:val="00E87EFC"/>
    <w:rsid w:val="00E87F42"/>
    <w:rsid w:val="00E907A2"/>
    <w:rsid w:val="00E90CF8"/>
    <w:rsid w:val="00E91201"/>
    <w:rsid w:val="00E91D88"/>
    <w:rsid w:val="00E921E2"/>
    <w:rsid w:val="00E92DAD"/>
    <w:rsid w:val="00E9314E"/>
    <w:rsid w:val="00E94123"/>
    <w:rsid w:val="00E94A70"/>
    <w:rsid w:val="00E96379"/>
    <w:rsid w:val="00E964A3"/>
    <w:rsid w:val="00E972A0"/>
    <w:rsid w:val="00EA094E"/>
    <w:rsid w:val="00EA1298"/>
    <w:rsid w:val="00EA1C29"/>
    <w:rsid w:val="00EA1E5F"/>
    <w:rsid w:val="00EA2264"/>
    <w:rsid w:val="00EA2E20"/>
    <w:rsid w:val="00EA3885"/>
    <w:rsid w:val="00EA5FDA"/>
    <w:rsid w:val="00EA6694"/>
    <w:rsid w:val="00EA7153"/>
    <w:rsid w:val="00EB0737"/>
    <w:rsid w:val="00EB0DA8"/>
    <w:rsid w:val="00EB2CD9"/>
    <w:rsid w:val="00EB349D"/>
    <w:rsid w:val="00EB3EDC"/>
    <w:rsid w:val="00EB49BE"/>
    <w:rsid w:val="00EB4FC3"/>
    <w:rsid w:val="00EC0125"/>
    <w:rsid w:val="00EC02E4"/>
    <w:rsid w:val="00EC0538"/>
    <w:rsid w:val="00EC1B49"/>
    <w:rsid w:val="00EC225E"/>
    <w:rsid w:val="00EC23CC"/>
    <w:rsid w:val="00EC31F0"/>
    <w:rsid w:val="00EC4604"/>
    <w:rsid w:val="00EC4DCC"/>
    <w:rsid w:val="00EC4FA0"/>
    <w:rsid w:val="00EC5391"/>
    <w:rsid w:val="00EC5425"/>
    <w:rsid w:val="00EC5929"/>
    <w:rsid w:val="00EC6904"/>
    <w:rsid w:val="00ED06F0"/>
    <w:rsid w:val="00ED1C7C"/>
    <w:rsid w:val="00ED31DF"/>
    <w:rsid w:val="00ED3678"/>
    <w:rsid w:val="00ED4290"/>
    <w:rsid w:val="00ED6285"/>
    <w:rsid w:val="00ED6C46"/>
    <w:rsid w:val="00ED7589"/>
    <w:rsid w:val="00ED7C05"/>
    <w:rsid w:val="00EE093E"/>
    <w:rsid w:val="00EE1E7E"/>
    <w:rsid w:val="00EE4489"/>
    <w:rsid w:val="00EE5E9E"/>
    <w:rsid w:val="00EE6881"/>
    <w:rsid w:val="00EE6EAB"/>
    <w:rsid w:val="00EE75DE"/>
    <w:rsid w:val="00EF2266"/>
    <w:rsid w:val="00EF2850"/>
    <w:rsid w:val="00EF2D2B"/>
    <w:rsid w:val="00EF4E5F"/>
    <w:rsid w:val="00EF4FAF"/>
    <w:rsid w:val="00F0131F"/>
    <w:rsid w:val="00F01689"/>
    <w:rsid w:val="00F01D68"/>
    <w:rsid w:val="00F03939"/>
    <w:rsid w:val="00F058A2"/>
    <w:rsid w:val="00F066A0"/>
    <w:rsid w:val="00F129D8"/>
    <w:rsid w:val="00F13EE7"/>
    <w:rsid w:val="00F15DC2"/>
    <w:rsid w:val="00F206B1"/>
    <w:rsid w:val="00F21212"/>
    <w:rsid w:val="00F214BC"/>
    <w:rsid w:val="00F21857"/>
    <w:rsid w:val="00F2280C"/>
    <w:rsid w:val="00F25632"/>
    <w:rsid w:val="00F25FAB"/>
    <w:rsid w:val="00F2629A"/>
    <w:rsid w:val="00F27C99"/>
    <w:rsid w:val="00F30D46"/>
    <w:rsid w:val="00F32E0A"/>
    <w:rsid w:val="00F339EC"/>
    <w:rsid w:val="00F34CB1"/>
    <w:rsid w:val="00F34F07"/>
    <w:rsid w:val="00F367DC"/>
    <w:rsid w:val="00F36DF0"/>
    <w:rsid w:val="00F36F9C"/>
    <w:rsid w:val="00F40771"/>
    <w:rsid w:val="00F41968"/>
    <w:rsid w:val="00F43514"/>
    <w:rsid w:val="00F43A3F"/>
    <w:rsid w:val="00F4608E"/>
    <w:rsid w:val="00F464B4"/>
    <w:rsid w:val="00F46A5C"/>
    <w:rsid w:val="00F46CD7"/>
    <w:rsid w:val="00F47289"/>
    <w:rsid w:val="00F47296"/>
    <w:rsid w:val="00F54BF1"/>
    <w:rsid w:val="00F55EBB"/>
    <w:rsid w:val="00F5649F"/>
    <w:rsid w:val="00F574A6"/>
    <w:rsid w:val="00F57CA0"/>
    <w:rsid w:val="00F61DE4"/>
    <w:rsid w:val="00F643F4"/>
    <w:rsid w:val="00F64B01"/>
    <w:rsid w:val="00F65C02"/>
    <w:rsid w:val="00F65E55"/>
    <w:rsid w:val="00F67E5A"/>
    <w:rsid w:val="00F706F0"/>
    <w:rsid w:val="00F712BE"/>
    <w:rsid w:val="00F7500D"/>
    <w:rsid w:val="00F757AD"/>
    <w:rsid w:val="00F768A3"/>
    <w:rsid w:val="00F77537"/>
    <w:rsid w:val="00F82820"/>
    <w:rsid w:val="00F82B81"/>
    <w:rsid w:val="00F82D67"/>
    <w:rsid w:val="00F83F3C"/>
    <w:rsid w:val="00F8474A"/>
    <w:rsid w:val="00F847CC"/>
    <w:rsid w:val="00F84B1A"/>
    <w:rsid w:val="00F87787"/>
    <w:rsid w:val="00F90488"/>
    <w:rsid w:val="00F91BCE"/>
    <w:rsid w:val="00F91C7B"/>
    <w:rsid w:val="00F94709"/>
    <w:rsid w:val="00F9592D"/>
    <w:rsid w:val="00F9648B"/>
    <w:rsid w:val="00F97D8E"/>
    <w:rsid w:val="00FA1F98"/>
    <w:rsid w:val="00FA3438"/>
    <w:rsid w:val="00FA35F9"/>
    <w:rsid w:val="00FA3B0A"/>
    <w:rsid w:val="00FA4C91"/>
    <w:rsid w:val="00FA55C2"/>
    <w:rsid w:val="00FA5C0E"/>
    <w:rsid w:val="00FA6B47"/>
    <w:rsid w:val="00FA6E39"/>
    <w:rsid w:val="00FA6F4F"/>
    <w:rsid w:val="00FA778A"/>
    <w:rsid w:val="00FB0899"/>
    <w:rsid w:val="00FB1311"/>
    <w:rsid w:val="00FB19A5"/>
    <w:rsid w:val="00FB2DFE"/>
    <w:rsid w:val="00FB3C7F"/>
    <w:rsid w:val="00FB49F3"/>
    <w:rsid w:val="00FB5811"/>
    <w:rsid w:val="00FC03AE"/>
    <w:rsid w:val="00FC09EE"/>
    <w:rsid w:val="00FC1984"/>
    <w:rsid w:val="00FC1DB4"/>
    <w:rsid w:val="00FC1F97"/>
    <w:rsid w:val="00FC2496"/>
    <w:rsid w:val="00FC3077"/>
    <w:rsid w:val="00FC334D"/>
    <w:rsid w:val="00FC4E69"/>
    <w:rsid w:val="00FC560F"/>
    <w:rsid w:val="00FC6553"/>
    <w:rsid w:val="00FC7DE8"/>
    <w:rsid w:val="00FD09A5"/>
    <w:rsid w:val="00FD1898"/>
    <w:rsid w:val="00FD3E17"/>
    <w:rsid w:val="00FD4EDC"/>
    <w:rsid w:val="00FD53AC"/>
    <w:rsid w:val="00FD6D95"/>
    <w:rsid w:val="00FD6E7F"/>
    <w:rsid w:val="00FD7400"/>
    <w:rsid w:val="00FD760A"/>
    <w:rsid w:val="00FD7755"/>
    <w:rsid w:val="00FE009B"/>
    <w:rsid w:val="00FE0186"/>
    <w:rsid w:val="00FE0E44"/>
    <w:rsid w:val="00FE0EE7"/>
    <w:rsid w:val="00FE1AAF"/>
    <w:rsid w:val="00FE3315"/>
    <w:rsid w:val="00FE452E"/>
    <w:rsid w:val="00FE5D21"/>
    <w:rsid w:val="00FE7498"/>
    <w:rsid w:val="00FE76A1"/>
    <w:rsid w:val="00FF2142"/>
    <w:rsid w:val="00FF4224"/>
    <w:rsid w:val="00FF4724"/>
    <w:rsid w:val="00FF64B1"/>
    <w:rsid w:val="00FF7765"/>
    <w:rsid w:val="014C0D26"/>
    <w:rsid w:val="017707C1"/>
    <w:rsid w:val="02182ED7"/>
    <w:rsid w:val="02253D19"/>
    <w:rsid w:val="02E56D55"/>
    <w:rsid w:val="04FF49BC"/>
    <w:rsid w:val="056B4785"/>
    <w:rsid w:val="05906F3C"/>
    <w:rsid w:val="05E57574"/>
    <w:rsid w:val="06A61A5C"/>
    <w:rsid w:val="082A6E89"/>
    <w:rsid w:val="09C65F6B"/>
    <w:rsid w:val="0B0D5DD9"/>
    <w:rsid w:val="0BD45552"/>
    <w:rsid w:val="0BD5345B"/>
    <w:rsid w:val="0DF60C1B"/>
    <w:rsid w:val="105E1DCA"/>
    <w:rsid w:val="10DD2366"/>
    <w:rsid w:val="10FE773C"/>
    <w:rsid w:val="11BD6376"/>
    <w:rsid w:val="11EA3C69"/>
    <w:rsid w:val="11EE7F5C"/>
    <w:rsid w:val="12827F22"/>
    <w:rsid w:val="13765CAF"/>
    <w:rsid w:val="13E860FD"/>
    <w:rsid w:val="14237408"/>
    <w:rsid w:val="152109DD"/>
    <w:rsid w:val="15235E62"/>
    <w:rsid w:val="16610FE9"/>
    <w:rsid w:val="17FB0961"/>
    <w:rsid w:val="1810596D"/>
    <w:rsid w:val="18757870"/>
    <w:rsid w:val="19332075"/>
    <w:rsid w:val="1A562397"/>
    <w:rsid w:val="1AE27C19"/>
    <w:rsid w:val="1B5737FE"/>
    <w:rsid w:val="1CA5486C"/>
    <w:rsid w:val="1D360ABE"/>
    <w:rsid w:val="1D977017"/>
    <w:rsid w:val="1E344206"/>
    <w:rsid w:val="1EE6381A"/>
    <w:rsid w:val="1EF60EAE"/>
    <w:rsid w:val="20332B82"/>
    <w:rsid w:val="20675C0C"/>
    <w:rsid w:val="208E00C6"/>
    <w:rsid w:val="20D90F82"/>
    <w:rsid w:val="21DC778C"/>
    <w:rsid w:val="22C97354"/>
    <w:rsid w:val="24553483"/>
    <w:rsid w:val="246845D8"/>
    <w:rsid w:val="248536CD"/>
    <w:rsid w:val="250A0E7E"/>
    <w:rsid w:val="253F4667"/>
    <w:rsid w:val="25C5013E"/>
    <w:rsid w:val="28C330DB"/>
    <w:rsid w:val="2A375C92"/>
    <w:rsid w:val="2C2B0325"/>
    <w:rsid w:val="2C716E57"/>
    <w:rsid w:val="2CA451E4"/>
    <w:rsid w:val="2EF36989"/>
    <w:rsid w:val="2FFE110D"/>
    <w:rsid w:val="313F5DD4"/>
    <w:rsid w:val="31BB1407"/>
    <w:rsid w:val="320C1861"/>
    <w:rsid w:val="32EF070B"/>
    <w:rsid w:val="32F6688C"/>
    <w:rsid w:val="33BE266F"/>
    <w:rsid w:val="344920B0"/>
    <w:rsid w:val="363C33EB"/>
    <w:rsid w:val="369E0ABB"/>
    <w:rsid w:val="36A77C9A"/>
    <w:rsid w:val="36D23A8F"/>
    <w:rsid w:val="384D2ABA"/>
    <w:rsid w:val="3AAA7E69"/>
    <w:rsid w:val="3E834CDC"/>
    <w:rsid w:val="3FD11958"/>
    <w:rsid w:val="4114068D"/>
    <w:rsid w:val="41E20F2A"/>
    <w:rsid w:val="439D04A4"/>
    <w:rsid w:val="4509781F"/>
    <w:rsid w:val="458A3EF4"/>
    <w:rsid w:val="45B86513"/>
    <w:rsid w:val="462C207A"/>
    <w:rsid w:val="463942EC"/>
    <w:rsid w:val="465224A8"/>
    <w:rsid w:val="478E4E7B"/>
    <w:rsid w:val="47C21CEE"/>
    <w:rsid w:val="48B848E1"/>
    <w:rsid w:val="48F177F8"/>
    <w:rsid w:val="4D420E97"/>
    <w:rsid w:val="4E44456F"/>
    <w:rsid w:val="4F042C61"/>
    <w:rsid w:val="4F101AAA"/>
    <w:rsid w:val="4F2D3EE8"/>
    <w:rsid w:val="4F3A1585"/>
    <w:rsid w:val="4F3E537F"/>
    <w:rsid w:val="4F6826A0"/>
    <w:rsid w:val="503669C9"/>
    <w:rsid w:val="506F6A76"/>
    <w:rsid w:val="53AC47FA"/>
    <w:rsid w:val="5416738C"/>
    <w:rsid w:val="54217009"/>
    <w:rsid w:val="549D1655"/>
    <w:rsid w:val="554E4A4B"/>
    <w:rsid w:val="55844889"/>
    <w:rsid w:val="55FD0EF2"/>
    <w:rsid w:val="56201D44"/>
    <w:rsid w:val="569E64AA"/>
    <w:rsid w:val="57470700"/>
    <w:rsid w:val="5922534C"/>
    <w:rsid w:val="5A036AA5"/>
    <w:rsid w:val="5A12625C"/>
    <w:rsid w:val="5C376787"/>
    <w:rsid w:val="5CA63145"/>
    <w:rsid w:val="5DBE1C7D"/>
    <w:rsid w:val="5ED660A9"/>
    <w:rsid w:val="5F1E5F5C"/>
    <w:rsid w:val="5F280413"/>
    <w:rsid w:val="5F44309B"/>
    <w:rsid w:val="61A70B20"/>
    <w:rsid w:val="63C37BF4"/>
    <w:rsid w:val="64A458D4"/>
    <w:rsid w:val="667D5045"/>
    <w:rsid w:val="66F174BB"/>
    <w:rsid w:val="68EA1E54"/>
    <w:rsid w:val="69055945"/>
    <w:rsid w:val="6A7B1567"/>
    <w:rsid w:val="6AC02C0D"/>
    <w:rsid w:val="6AFE17D2"/>
    <w:rsid w:val="6B186F90"/>
    <w:rsid w:val="6BD31CC2"/>
    <w:rsid w:val="6BDB1969"/>
    <w:rsid w:val="6CF11B8B"/>
    <w:rsid w:val="6D3A0911"/>
    <w:rsid w:val="6DE210EC"/>
    <w:rsid w:val="6E2278CD"/>
    <w:rsid w:val="6E9D7522"/>
    <w:rsid w:val="6EAE7507"/>
    <w:rsid w:val="6F662416"/>
    <w:rsid w:val="70844422"/>
    <w:rsid w:val="71015D2D"/>
    <w:rsid w:val="71CB160F"/>
    <w:rsid w:val="73793574"/>
    <w:rsid w:val="755E4D6D"/>
    <w:rsid w:val="75B16735"/>
    <w:rsid w:val="76CC6099"/>
    <w:rsid w:val="77AD699C"/>
    <w:rsid w:val="780F611E"/>
    <w:rsid w:val="78CC2BEE"/>
    <w:rsid w:val="7A442B19"/>
    <w:rsid w:val="7B0973B2"/>
    <w:rsid w:val="7C816FCE"/>
    <w:rsid w:val="7CFB3706"/>
    <w:rsid w:val="7DF85392"/>
    <w:rsid w:val="7F44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1"/>
    <w:autoRedefine/>
    <w:qFormat/>
    <w:uiPriority w:val="0"/>
    <w:pPr>
      <w:keepNext/>
      <w:keepLines/>
      <w:spacing w:before="340" w:after="330"/>
      <w:jc w:val="center"/>
      <w:outlineLvl w:val="0"/>
    </w:pPr>
    <w:rPr>
      <w:rFonts w:eastAsia="华文中宋"/>
      <w:b/>
      <w:bCs/>
      <w:kern w:val="44"/>
      <w:sz w:val="44"/>
      <w:szCs w:val="44"/>
    </w:rPr>
  </w:style>
  <w:style w:type="paragraph" w:styleId="3">
    <w:name w:val="heading 2"/>
    <w:basedOn w:val="1"/>
    <w:next w:val="4"/>
    <w:link w:val="52"/>
    <w:autoRedefine/>
    <w:qFormat/>
    <w:uiPriority w:val="0"/>
    <w:pPr>
      <w:keepNext/>
      <w:keepLines/>
      <w:spacing w:before="260" w:after="260" w:line="240" w:lineRule="auto"/>
      <w:jc w:val="left"/>
      <w:outlineLvl w:val="1"/>
    </w:pPr>
    <w:rPr>
      <w:rFonts w:ascii="华文中宋" w:hAnsi="华文中宋" w:eastAsia="华文中宋"/>
      <w:b/>
      <w:bCs/>
      <w:kern w:val="0"/>
      <w:sz w:val="32"/>
      <w:szCs w:val="32"/>
    </w:rPr>
  </w:style>
  <w:style w:type="paragraph" w:styleId="5">
    <w:name w:val="heading 3"/>
    <w:basedOn w:val="1"/>
    <w:next w:val="1"/>
    <w:link w:val="54"/>
    <w:autoRedefine/>
    <w:qFormat/>
    <w:uiPriority w:val="0"/>
    <w:pPr>
      <w:keepNext/>
      <w:keepLines/>
      <w:spacing w:before="240" w:after="240" w:line="240" w:lineRule="auto"/>
      <w:jc w:val="left"/>
      <w:outlineLvl w:val="2"/>
    </w:pPr>
    <w:rPr>
      <w:rFonts w:ascii="华文中宋" w:hAnsi="华文中宋" w:eastAsia="华文中宋"/>
      <w:b/>
      <w:bCs/>
      <w:w w:val="90"/>
      <w:kern w:val="0"/>
      <w:sz w:val="28"/>
    </w:rPr>
  </w:style>
  <w:style w:type="paragraph" w:styleId="6">
    <w:name w:val="heading 4"/>
    <w:basedOn w:val="1"/>
    <w:next w:val="1"/>
    <w:link w:val="55"/>
    <w:autoRedefine/>
    <w:qFormat/>
    <w:uiPriority w:val="9"/>
    <w:pPr>
      <w:keepNext/>
      <w:keepLines/>
      <w:spacing w:before="160" w:after="170" w:line="240" w:lineRule="auto"/>
      <w:jc w:val="left"/>
      <w:outlineLvl w:val="3"/>
    </w:pPr>
    <w:rPr>
      <w:rFonts w:ascii="华文中宋" w:hAnsi="华文中宋" w:eastAsia="华文中宋"/>
      <w:b/>
      <w:bCs/>
      <w:color w:val="000000"/>
      <w:szCs w:val="28"/>
    </w:rPr>
  </w:style>
  <w:style w:type="paragraph" w:styleId="7">
    <w:name w:val="heading 5"/>
    <w:basedOn w:val="1"/>
    <w:next w:val="1"/>
    <w:link w:val="56"/>
    <w:autoRedefine/>
    <w:qFormat/>
    <w:uiPriority w:val="9"/>
    <w:pPr>
      <w:keepNext/>
      <w:keepLines/>
      <w:spacing w:before="120" w:after="120"/>
      <w:jc w:val="left"/>
      <w:outlineLvl w:val="4"/>
    </w:pPr>
    <w:rPr>
      <w:rFonts w:ascii="华文中宋" w:hAnsi="华文中宋" w:eastAsia="华文中宋"/>
      <w:b/>
      <w:bCs/>
      <w:kern w:val="0"/>
      <w:sz w:val="28"/>
      <w:szCs w:val="28"/>
    </w:rPr>
  </w:style>
  <w:style w:type="paragraph" w:styleId="8">
    <w:name w:val="heading 8"/>
    <w:basedOn w:val="1"/>
    <w:next w:val="1"/>
    <w:link w:val="57"/>
    <w:autoRedefine/>
    <w:qFormat/>
    <w:uiPriority w:val="0"/>
    <w:pPr>
      <w:keepNext/>
      <w:jc w:val="center"/>
      <w:outlineLvl w:val="7"/>
    </w:pPr>
    <w:rPr>
      <w:rFonts w:eastAsia="宋体"/>
      <w:b/>
      <w:bCs/>
      <w:color w:val="FFFFFF"/>
      <w:szCs w:val="18"/>
    </w:rPr>
  </w:style>
  <w:style w:type="paragraph" w:styleId="9">
    <w:name w:val="heading 9"/>
    <w:basedOn w:val="1"/>
    <w:next w:val="1"/>
    <w:link w:val="58"/>
    <w:autoRedefine/>
    <w:qFormat/>
    <w:uiPriority w:val="0"/>
    <w:pPr>
      <w:keepNext/>
      <w:outlineLvl w:val="8"/>
    </w:pPr>
    <w:rPr>
      <w:rFonts w:ascii="Arial" w:hAnsi="Arial" w:eastAsia="宋体"/>
      <w:b/>
      <w:bCs/>
      <w:color w:val="000000"/>
      <w:sz w:val="15"/>
      <w:szCs w:val="26"/>
    </w:rPr>
  </w:style>
  <w:style w:type="character" w:default="1" w:styleId="42">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53"/>
    <w:autoRedefine/>
    <w:qFormat/>
    <w:uiPriority w:val="99"/>
    <w:pPr>
      <w:ind w:firstLine="420" w:firstLineChars="200"/>
    </w:pPr>
    <w:rPr>
      <w:rFonts w:eastAsia="宋体"/>
      <w:szCs w:val="20"/>
    </w:rPr>
  </w:style>
  <w:style w:type="paragraph" w:styleId="10">
    <w:name w:val="toc 7"/>
    <w:basedOn w:val="1"/>
    <w:next w:val="1"/>
    <w:autoRedefine/>
    <w:unhideWhenUsed/>
    <w:qFormat/>
    <w:uiPriority w:val="0"/>
    <w:pPr>
      <w:ind w:left="1260"/>
      <w:jc w:val="left"/>
    </w:pPr>
    <w:rPr>
      <w:rFonts w:ascii="Calibri" w:hAnsi="Calibri" w:cs="Calibri"/>
      <w:sz w:val="18"/>
      <w:szCs w:val="18"/>
    </w:rPr>
  </w:style>
  <w:style w:type="paragraph" w:styleId="11">
    <w:name w:val="List Number"/>
    <w:basedOn w:val="1"/>
    <w:autoRedefine/>
    <w:unhideWhenUsed/>
    <w:qFormat/>
    <w:uiPriority w:val="99"/>
    <w:pPr>
      <w:numPr>
        <w:ilvl w:val="0"/>
        <w:numId w:val="1"/>
      </w:numPr>
    </w:pPr>
  </w:style>
  <w:style w:type="paragraph" w:styleId="12">
    <w:name w:val="Document Map"/>
    <w:basedOn w:val="1"/>
    <w:link w:val="59"/>
    <w:autoRedefine/>
    <w:unhideWhenUsed/>
    <w:qFormat/>
    <w:uiPriority w:val="0"/>
    <w:rPr>
      <w:rFonts w:ascii="宋体" w:eastAsia="宋体"/>
      <w:sz w:val="18"/>
      <w:szCs w:val="18"/>
    </w:rPr>
  </w:style>
  <w:style w:type="paragraph" w:styleId="13">
    <w:name w:val="annotation text"/>
    <w:basedOn w:val="1"/>
    <w:link w:val="60"/>
    <w:autoRedefine/>
    <w:unhideWhenUsed/>
    <w:qFormat/>
    <w:uiPriority w:val="99"/>
    <w:pPr>
      <w:jc w:val="left"/>
    </w:pPr>
    <w:rPr>
      <w:rFonts w:eastAsia="宋体"/>
    </w:rPr>
  </w:style>
  <w:style w:type="paragraph" w:styleId="14">
    <w:name w:val="Body Text"/>
    <w:basedOn w:val="1"/>
    <w:next w:val="15"/>
    <w:link w:val="50"/>
    <w:autoRedefine/>
    <w:qFormat/>
    <w:uiPriority w:val="0"/>
    <w:pPr>
      <w:adjustRightInd w:val="0"/>
      <w:spacing w:line="315" w:lineRule="atLeast"/>
      <w:jc w:val="left"/>
    </w:pPr>
    <w:rPr>
      <w:rFonts w:ascii="仿宋_GB2312" w:eastAsia="仿宋_GB2312"/>
      <w:kern w:val="0"/>
      <w:sz w:val="28"/>
      <w:szCs w:val="20"/>
    </w:rPr>
  </w:style>
  <w:style w:type="paragraph" w:styleId="15">
    <w:name w:val="Body Text First Indent"/>
    <w:basedOn w:val="14"/>
    <w:next w:val="16"/>
    <w:autoRedefine/>
    <w:qFormat/>
    <w:uiPriority w:val="0"/>
    <w:pPr>
      <w:ind w:firstLine="420" w:firstLineChars="100"/>
    </w:pPr>
    <w:rPr>
      <w:rFonts w:ascii="Calibri" w:hAnsi="Calibri"/>
      <w:szCs w:val="24"/>
    </w:rPr>
  </w:style>
  <w:style w:type="paragraph" w:styleId="16">
    <w:name w:val="toc 6"/>
    <w:basedOn w:val="1"/>
    <w:next w:val="1"/>
    <w:autoRedefine/>
    <w:unhideWhenUsed/>
    <w:qFormat/>
    <w:uiPriority w:val="0"/>
    <w:pPr>
      <w:ind w:left="1050"/>
      <w:jc w:val="left"/>
    </w:pPr>
    <w:rPr>
      <w:rFonts w:ascii="Calibri" w:hAnsi="Calibri" w:cs="Calibri"/>
      <w:sz w:val="18"/>
      <w:szCs w:val="18"/>
    </w:rPr>
  </w:style>
  <w:style w:type="paragraph" w:styleId="17">
    <w:name w:val="Body Text Indent"/>
    <w:basedOn w:val="1"/>
    <w:next w:val="18"/>
    <w:link w:val="61"/>
    <w:autoRedefine/>
    <w:qFormat/>
    <w:uiPriority w:val="0"/>
    <w:pPr>
      <w:spacing w:before="120" w:after="120"/>
      <w:ind w:left="420" w:leftChars="200"/>
    </w:pPr>
    <w:rPr>
      <w:rFonts w:eastAsia="宋体"/>
      <w:szCs w:val="20"/>
    </w:rPr>
  </w:style>
  <w:style w:type="paragraph" w:styleId="18">
    <w:name w:val="Body Text First Indent 2"/>
    <w:basedOn w:val="17"/>
    <w:autoRedefine/>
    <w:unhideWhenUsed/>
    <w:qFormat/>
    <w:uiPriority w:val="99"/>
    <w:pPr>
      <w:ind w:firstLine="420" w:firstLineChars="200"/>
    </w:pPr>
  </w:style>
  <w:style w:type="paragraph" w:styleId="19">
    <w:name w:val="List 2"/>
    <w:basedOn w:val="1"/>
    <w:autoRedefine/>
    <w:unhideWhenUsed/>
    <w:qFormat/>
    <w:uiPriority w:val="99"/>
    <w:pPr>
      <w:ind w:left="100" w:leftChars="200" w:hanging="200" w:hangingChars="200"/>
      <w:contextualSpacing/>
    </w:pPr>
  </w:style>
  <w:style w:type="paragraph" w:styleId="20">
    <w:name w:val="toc 5"/>
    <w:basedOn w:val="1"/>
    <w:next w:val="1"/>
    <w:autoRedefine/>
    <w:unhideWhenUsed/>
    <w:qFormat/>
    <w:uiPriority w:val="0"/>
    <w:pPr>
      <w:ind w:left="840"/>
      <w:jc w:val="left"/>
    </w:pPr>
    <w:rPr>
      <w:rFonts w:ascii="Calibri" w:hAnsi="Calibri" w:cs="Calibri"/>
      <w:sz w:val="18"/>
      <w:szCs w:val="18"/>
    </w:rPr>
  </w:style>
  <w:style w:type="paragraph" w:styleId="21">
    <w:name w:val="toc 3"/>
    <w:basedOn w:val="1"/>
    <w:next w:val="1"/>
    <w:autoRedefine/>
    <w:unhideWhenUsed/>
    <w:qFormat/>
    <w:uiPriority w:val="39"/>
    <w:pPr>
      <w:ind w:left="420"/>
      <w:jc w:val="left"/>
    </w:pPr>
    <w:rPr>
      <w:rFonts w:ascii="Calibri" w:hAnsi="Calibri" w:cs="Calibri"/>
      <w:i/>
      <w:iCs/>
      <w:sz w:val="20"/>
      <w:szCs w:val="20"/>
    </w:rPr>
  </w:style>
  <w:style w:type="paragraph" w:styleId="22">
    <w:name w:val="Plain Text"/>
    <w:basedOn w:val="1"/>
    <w:link w:val="62"/>
    <w:autoRedefine/>
    <w:unhideWhenUsed/>
    <w:qFormat/>
    <w:uiPriority w:val="0"/>
    <w:rPr>
      <w:rFonts w:ascii="宋体" w:hAnsi="Courier New" w:eastAsia="宋体"/>
      <w:szCs w:val="20"/>
    </w:rPr>
  </w:style>
  <w:style w:type="paragraph" w:styleId="23">
    <w:name w:val="List Number 4"/>
    <w:basedOn w:val="1"/>
    <w:autoRedefine/>
    <w:qFormat/>
    <w:uiPriority w:val="0"/>
    <w:pPr>
      <w:numPr>
        <w:ilvl w:val="0"/>
        <w:numId w:val="2"/>
      </w:numPr>
      <w:tabs>
        <w:tab w:val="left" w:pos="840"/>
        <w:tab w:val="clear" w:pos="1620"/>
      </w:tabs>
      <w:autoSpaceDE w:val="0"/>
      <w:autoSpaceDN w:val="0"/>
      <w:adjustRightInd w:val="0"/>
      <w:spacing w:line="360" w:lineRule="atLeast"/>
      <w:ind w:left="840" w:hanging="420"/>
    </w:pPr>
    <w:rPr>
      <w:kern w:val="0"/>
    </w:rPr>
  </w:style>
  <w:style w:type="paragraph" w:styleId="24">
    <w:name w:val="toc 8"/>
    <w:basedOn w:val="1"/>
    <w:next w:val="1"/>
    <w:autoRedefine/>
    <w:unhideWhenUsed/>
    <w:qFormat/>
    <w:uiPriority w:val="0"/>
    <w:pPr>
      <w:ind w:left="1470"/>
      <w:jc w:val="left"/>
    </w:pPr>
    <w:rPr>
      <w:rFonts w:ascii="Calibri" w:hAnsi="Calibri" w:cs="Calibri"/>
      <w:sz w:val="18"/>
      <w:szCs w:val="18"/>
    </w:rPr>
  </w:style>
  <w:style w:type="paragraph" w:styleId="25">
    <w:name w:val="Date"/>
    <w:basedOn w:val="1"/>
    <w:next w:val="1"/>
    <w:link w:val="63"/>
    <w:autoRedefine/>
    <w:qFormat/>
    <w:uiPriority w:val="0"/>
    <w:pPr>
      <w:ind w:left="100" w:leftChars="2500"/>
    </w:pPr>
    <w:rPr>
      <w:rFonts w:eastAsia="宋体"/>
      <w:kern w:val="0"/>
      <w:sz w:val="20"/>
    </w:rPr>
  </w:style>
  <w:style w:type="paragraph" w:styleId="26">
    <w:name w:val="Body Text Indent 2"/>
    <w:basedOn w:val="1"/>
    <w:link w:val="64"/>
    <w:autoRedefine/>
    <w:unhideWhenUsed/>
    <w:qFormat/>
    <w:uiPriority w:val="99"/>
    <w:pPr>
      <w:spacing w:after="120" w:line="480" w:lineRule="auto"/>
      <w:ind w:left="420" w:leftChars="200"/>
    </w:pPr>
    <w:rPr>
      <w:rFonts w:eastAsia="宋体"/>
    </w:rPr>
  </w:style>
  <w:style w:type="paragraph" w:styleId="27">
    <w:name w:val="Balloon Text"/>
    <w:basedOn w:val="1"/>
    <w:link w:val="65"/>
    <w:autoRedefine/>
    <w:unhideWhenUsed/>
    <w:qFormat/>
    <w:uiPriority w:val="99"/>
    <w:rPr>
      <w:rFonts w:eastAsia="宋体"/>
      <w:kern w:val="0"/>
      <w:sz w:val="18"/>
      <w:szCs w:val="18"/>
    </w:rPr>
  </w:style>
  <w:style w:type="paragraph" w:styleId="28">
    <w:name w:val="footer"/>
    <w:basedOn w:val="1"/>
    <w:link w:val="66"/>
    <w:autoRedefine/>
    <w:qFormat/>
    <w:uiPriority w:val="0"/>
    <w:pPr>
      <w:tabs>
        <w:tab w:val="center" w:pos="4153"/>
        <w:tab w:val="right" w:pos="8306"/>
      </w:tabs>
      <w:snapToGrid w:val="0"/>
      <w:jc w:val="left"/>
    </w:pPr>
    <w:rPr>
      <w:rFonts w:eastAsia="宋体"/>
      <w:kern w:val="0"/>
      <w:sz w:val="18"/>
      <w:szCs w:val="18"/>
    </w:rPr>
  </w:style>
  <w:style w:type="paragraph" w:styleId="29">
    <w:name w:val="header"/>
    <w:basedOn w:val="1"/>
    <w:link w:val="67"/>
    <w:autoRedefine/>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30">
    <w:name w:val="toc 1"/>
    <w:basedOn w:val="1"/>
    <w:next w:val="1"/>
    <w:autoRedefine/>
    <w:qFormat/>
    <w:uiPriority w:val="39"/>
    <w:pPr>
      <w:spacing w:before="120" w:after="120"/>
      <w:jc w:val="left"/>
    </w:pPr>
    <w:rPr>
      <w:rFonts w:ascii="Calibri" w:hAnsi="Calibri" w:cs="Calibri"/>
      <w:b/>
      <w:bCs/>
      <w:caps/>
      <w:sz w:val="20"/>
      <w:szCs w:val="20"/>
    </w:rPr>
  </w:style>
  <w:style w:type="paragraph" w:styleId="31">
    <w:name w:val="toc 4"/>
    <w:basedOn w:val="1"/>
    <w:next w:val="1"/>
    <w:autoRedefine/>
    <w:unhideWhenUsed/>
    <w:qFormat/>
    <w:uiPriority w:val="0"/>
    <w:pPr>
      <w:ind w:left="630"/>
      <w:jc w:val="left"/>
    </w:pPr>
    <w:rPr>
      <w:rFonts w:ascii="Calibri" w:hAnsi="Calibri" w:cs="Calibri"/>
      <w:sz w:val="18"/>
      <w:szCs w:val="18"/>
    </w:rPr>
  </w:style>
  <w:style w:type="paragraph" w:styleId="32">
    <w:name w:val="footnote text"/>
    <w:basedOn w:val="1"/>
    <w:link w:val="68"/>
    <w:autoRedefine/>
    <w:unhideWhenUsed/>
    <w:qFormat/>
    <w:uiPriority w:val="99"/>
    <w:pPr>
      <w:snapToGrid w:val="0"/>
      <w:spacing w:line="240" w:lineRule="auto"/>
      <w:jc w:val="left"/>
    </w:pPr>
    <w:rPr>
      <w:rFonts w:eastAsia="宋体"/>
      <w:sz w:val="18"/>
      <w:szCs w:val="18"/>
    </w:rPr>
  </w:style>
  <w:style w:type="paragraph" w:styleId="33">
    <w:name w:val="Body Text Indent 3"/>
    <w:basedOn w:val="1"/>
    <w:link w:val="69"/>
    <w:autoRedefine/>
    <w:qFormat/>
    <w:uiPriority w:val="0"/>
    <w:pPr>
      <w:autoSpaceDE w:val="0"/>
      <w:autoSpaceDN w:val="0"/>
      <w:adjustRightInd w:val="0"/>
      <w:spacing w:line="480" w:lineRule="exact"/>
      <w:ind w:left="539" w:firstLine="538" w:firstLineChars="224"/>
      <w:outlineLvl w:val="0"/>
    </w:pPr>
    <w:rPr>
      <w:rFonts w:ascii="方正细圆简体" w:eastAsia="方正细圆简体"/>
    </w:rPr>
  </w:style>
  <w:style w:type="paragraph" w:styleId="34">
    <w:name w:val="toc 2"/>
    <w:basedOn w:val="1"/>
    <w:next w:val="1"/>
    <w:autoRedefine/>
    <w:unhideWhenUsed/>
    <w:qFormat/>
    <w:uiPriority w:val="39"/>
    <w:pPr>
      <w:tabs>
        <w:tab w:val="right" w:leader="dot" w:pos="8931"/>
      </w:tabs>
      <w:spacing w:line="276" w:lineRule="auto"/>
      <w:ind w:left="851"/>
      <w:jc w:val="left"/>
    </w:pPr>
    <w:rPr>
      <w:rFonts w:ascii="Calibri" w:hAnsi="Calibri" w:cs="Calibri"/>
      <w:smallCaps/>
      <w:sz w:val="20"/>
      <w:szCs w:val="20"/>
    </w:rPr>
  </w:style>
  <w:style w:type="paragraph" w:styleId="35">
    <w:name w:val="toc 9"/>
    <w:basedOn w:val="1"/>
    <w:next w:val="1"/>
    <w:autoRedefine/>
    <w:unhideWhenUsed/>
    <w:qFormat/>
    <w:uiPriority w:val="0"/>
    <w:pPr>
      <w:ind w:left="1680"/>
      <w:jc w:val="left"/>
    </w:pPr>
    <w:rPr>
      <w:rFonts w:ascii="Calibri" w:hAnsi="Calibri" w:cs="Calibri"/>
      <w:sz w:val="18"/>
      <w:szCs w:val="18"/>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rPr>
  </w:style>
  <w:style w:type="paragraph" w:styleId="37">
    <w:name w:val="Title"/>
    <w:basedOn w:val="1"/>
    <w:next w:val="1"/>
    <w:link w:val="70"/>
    <w:autoRedefine/>
    <w:qFormat/>
    <w:uiPriority w:val="0"/>
    <w:pPr>
      <w:spacing w:before="480" w:after="300"/>
      <w:jc w:val="center"/>
      <w:outlineLvl w:val="0"/>
    </w:pPr>
    <w:rPr>
      <w:rFonts w:ascii="Cambria" w:hAnsi="Cambria" w:eastAsia="华文中宋"/>
      <w:b/>
      <w:bCs/>
      <w:sz w:val="44"/>
      <w:szCs w:val="32"/>
    </w:rPr>
  </w:style>
  <w:style w:type="paragraph" w:styleId="38">
    <w:name w:val="annotation subject"/>
    <w:basedOn w:val="13"/>
    <w:next w:val="13"/>
    <w:link w:val="71"/>
    <w:autoRedefine/>
    <w:unhideWhenUsed/>
    <w:qFormat/>
    <w:uiPriority w:val="99"/>
    <w:rPr>
      <w:b/>
      <w:bCs/>
    </w:rPr>
  </w:style>
  <w:style w:type="table" w:styleId="40">
    <w:name w:val="Table Grid"/>
    <w:basedOn w:val="3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Elegant"/>
    <w:basedOn w:val="3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autoRedefine/>
    <w:qFormat/>
    <w:uiPriority w:val="22"/>
    <w:rPr>
      <w:b/>
    </w:rPr>
  </w:style>
  <w:style w:type="character" w:styleId="44">
    <w:name w:val="page number"/>
    <w:basedOn w:val="42"/>
    <w:autoRedefine/>
    <w:qFormat/>
    <w:uiPriority w:val="0"/>
  </w:style>
  <w:style w:type="character" w:styleId="45">
    <w:name w:val="FollowedHyperlink"/>
    <w:basedOn w:val="42"/>
    <w:autoRedefine/>
    <w:qFormat/>
    <w:uiPriority w:val="0"/>
    <w:rPr>
      <w:color w:val="333333"/>
      <w:u w:val="none"/>
    </w:rPr>
  </w:style>
  <w:style w:type="character" w:styleId="46">
    <w:name w:val="Emphasis"/>
    <w:basedOn w:val="42"/>
    <w:autoRedefine/>
    <w:qFormat/>
    <w:uiPriority w:val="20"/>
    <w:rPr>
      <w:i/>
      <w:iCs/>
    </w:rPr>
  </w:style>
  <w:style w:type="character" w:styleId="47">
    <w:name w:val="Hyperlink"/>
    <w:basedOn w:val="42"/>
    <w:autoRedefine/>
    <w:unhideWhenUsed/>
    <w:qFormat/>
    <w:uiPriority w:val="99"/>
    <w:rPr>
      <w:color w:val="333333"/>
      <w:u w:val="none"/>
    </w:rPr>
  </w:style>
  <w:style w:type="character" w:styleId="48">
    <w:name w:val="annotation reference"/>
    <w:autoRedefine/>
    <w:qFormat/>
    <w:uiPriority w:val="99"/>
    <w:rPr>
      <w:sz w:val="21"/>
      <w:szCs w:val="21"/>
    </w:rPr>
  </w:style>
  <w:style w:type="character" w:styleId="49">
    <w:name w:val="footnote reference"/>
    <w:basedOn w:val="42"/>
    <w:autoRedefine/>
    <w:unhideWhenUsed/>
    <w:qFormat/>
    <w:uiPriority w:val="99"/>
    <w:rPr>
      <w:vertAlign w:val="superscript"/>
    </w:rPr>
  </w:style>
  <w:style w:type="character" w:customStyle="1" w:styleId="50">
    <w:name w:val="正文文本 字符"/>
    <w:link w:val="14"/>
    <w:autoRedefine/>
    <w:qFormat/>
    <w:uiPriority w:val="0"/>
    <w:rPr>
      <w:rFonts w:ascii="仿宋_GB2312" w:hAnsi="Times New Roman" w:eastAsia="仿宋_GB2312" w:cs="Times New Roman"/>
      <w:kern w:val="0"/>
      <w:sz w:val="28"/>
      <w:szCs w:val="20"/>
    </w:rPr>
  </w:style>
  <w:style w:type="character" w:customStyle="1" w:styleId="51">
    <w:name w:val="标题 1 字符"/>
    <w:link w:val="2"/>
    <w:autoRedefine/>
    <w:qFormat/>
    <w:uiPriority w:val="0"/>
    <w:rPr>
      <w:rFonts w:ascii="Times New Roman" w:hAnsi="Times New Roman" w:eastAsia="华文中宋"/>
      <w:b/>
      <w:bCs/>
      <w:kern w:val="44"/>
      <w:sz w:val="44"/>
      <w:szCs w:val="44"/>
    </w:rPr>
  </w:style>
  <w:style w:type="character" w:customStyle="1" w:styleId="52">
    <w:name w:val="标题 2 字符"/>
    <w:link w:val="3"/>
    <w:autoRedefine/>
    <w:qFormat/>
    <w:uiPriority w:val="0"/>
    <w:rPr>
      <w:rFonts w:ascii="华文中宋" w:hAnsi="华文中宋" w:eastAsia="华文中宋"/>
      <w:b/>
      <w:bCs/>
      <w:sz w:val="32"/>
      <w:szCs w:val="32"/>
    </w:rPr>
  </w:style>
  <w:style w:type="character" w:customStyle="1" w:styleId="53">
    <w:name w:val="正文缩进 字符"/>
    <w:link w:val="4"/>
    <w:autoRedefine/>
    <w:qFormat/>
    <w:uiPriority w:val="99"/>
    <w:rPr>
      <w:rFonts w:ascii="Times New Roman" w:hAnsi="Times New Roman"/>
      <w:kern w:val="2"/>
      <w:sz w:val="21"/>
    </w:rPr>
  </w:style>
  <w:style w:type="character" w:customStyle="1" w:styleId="54">
    <w:name w:val="标题 3 字符"/>
    <w:link w:val="5"/>
    <w:autoRedefine/>
    <w:qFormat/>
    <w:uiPriority w:val="0"/>
    <w:rPr>
      <w:rFonts w:ascii="华文中宋" w:hAnsi="华文中宋" w:eastAsia="华文中宋"/>
      <w:b/>
      <w:bCs/>
      <w:w w:val="90"/>
      <w:sz w:val="28"/>
      <w:szCs w:val="24"/>
    </w:rPr>
  </w:style>
  <w:style w:type="character" w:customStyle="1" w:styleId="55">
    <w:name w:val="标题 4 字符"/>
    <w:link w:val="6"/>
    <w:autoRedefine/>
    <w:qFormat/>
    <w:uiPriority w:val="9"/>
    <w:rPr>
      <w:rFonts w:ascii="华文中宋" w:hAnsi="华文中宋" w:eastAsia="华文中宋"/>
      <w:b/>
      <w:bCs/>
      <w:color w:val="000000"/>
      <w:kern w:val="2"/>
      <w:sz w:val="24"/>
      <w:szCs w:val="28"/>
    </w:rPr>
  </w:style>
  <w:style w:type="character" w:customStyle="1" w:styleId="56">
    <w:name w:val="标题 5 字符"/>
    <w:link w:val="7"/>
    <w:autoRedefine/>
    <w:qFormat/>
    <w:uiPriority w:val="9"/>
    <w:rPr>
      <w:rFonts w:ascii="华文中宋" w:hAnsi="华文中宋" w:eastAsia="华文中宋"/>
      <w:b/>
      <w:bCs/>
      <w:sz w:val="28"/>
      <w:szCs w:val="28"/>
    </w:rPr>
  </w:style>
  <w:style w:type="character" w:customStyle="1" w:styleId="57">
    <w:name w:val="标题 8 字符"/>
    <w:link w:val="8"/>
    <w:autoRedefine/>
    <w:qFormat/>
    <w:uiPriority w:val="0"/>
    <w:rPr>
      <w:rFonts w:ascii="Times New Roman" w:hAnsi="Times New Roman"/>
      <w:b/>
      <w:bCs/>
      <w:color w:val="FFFFFF"/>
      <w:kern w:val="2"/>
      <w:sz w:val="21"/>
      <w:szCs w:val="18"/>
    </w:rPr>
  </w:style>
  <w:style w:type="character" w:customStyle="1" w:styleId="58">
    <w:name w:val="标题 9 字符"/>
    <w:link w:val="9"/>
    <w:autoRedefine/>
    <w:qFormat/>
    <w:uiPriority w:val="0"/>
    <w:rPr>
      <w:rFonts w:ascii="Arial" w:hAnsi="Arial" w:cs="Arial"/>
      <w:b/>
      <w:bCs/>
      <w:color w:val="000000"/>
      <w:kern w:val="2"/>
      <w:sz w:val="15"/>
      <w:szCs w:val="26"/>
    </w:rPr>
  </w:style>
  <w:style w:type="character" w:customStyle="1" w:styleId="59">
    <w:name w:val="文档结构图 字符"/>
    <w:link w:val="12"/>
    <w:autoRedefine/>
    <w:qFormat/>
    <w:uiPriority w:val="0"/>
    <w:rPr>
      <w:rFonts w:ascii="宋体" w:hAnsi="Times New Roman"/>
      <w:kern w:val="2"/>
      <w:sz w:val="18"/>
      <w:szCs w:val="18"/>
    </w:rPr>
  </w:style>
  <w:style w:type="character" w:customStyle="1" w:styleId="60">
    <w:name w:val="批注文字 字符"/>
    <w:link w:val="13"/>
    <w:autoRedefine/>
    <w:qFormat/>
    <w:uiPriority w:val="99"/>
    <w:rPr>
      <w:rFonts w:ascii="Times New Roman" w:hAnsi="Times New Roman"/>
      <w:kern w:val="2"/>
      <w:sz w:val="21"/>
      <w:szCs w:val="24"/>
    </w:rPr>
  </w:style>
  <w:style w:type="character" w:customStyle="1" w:styleId="61">
    <w:name w:val="正文文本缩进 字符"/>
    <w:link w:val="17"/>
    <w:autoRedefine/>
    <w:qFormat/>
    <w:uiPriority w:val="0"/>
    <w:rPr>
      <w:rFonts w:ascii="Times New Roman" w:hAnsi="Times New Roman"/>
      <w:kern w:val="2"/>
      <w:sz w:val="24"/>
    </w:rPr>
  </w:style>
  <w:style w:type="character" w:customStyle="1" w:styleId="62">
    <w:name w:val="纯文本 字符"/>
    <w:link w:val="22"/>
    <w:autoRedefine/>
    <w:semiHidden/>
    <w:qFormat/>
    <w:locked/>
    <w:uiPriority w:val="0"/>
    <w:rPr>
      <w:rFonts w:ascii="宋体" w:hAnsi="Courier New"/>
      <w:kern w:val="2"/>
      <w:sz w:val="21"/>
    </w:rPr>
  </w:style>
  <w:style w:type="character" w:customStyle="1" w:styleId="63">
    <w:name w:val="日期 字符"/>
    <w:link w:val="25"/>
    <w:autoRedefine/>
    <w:qFormat/>
    <w:uiPriority w:val="0"/>
    <w:rPr>
      <w:rFonts w:ascii="Times New Roman" w:hAnsi="Times New Roman" w:eastAsia="宋体" w:cs="Times New Roman"/>
      <w:szCs w:val="24"/>
    </w:rPr>
  </w:style>
  <w:style w:type="character" w:customStyle="1" w:styleId="64">
    <w:name w:val="正文文本缩进 2 字符"/>
    <w:link w:val="26"/>
    <w:autoRedefine/>
    <w:semiHidden/>
    <w:qFormat/>
    <w:uiPriority w:val="99"/>
    <w:rPr>
      <w:rFonts w:ascii="Times New Roman" w:hAnsi="Times New Roman"/>
      <w:kern w:val="2"/>
      <w:sz w:val="21"/>
      <w:szCs w:val="24"/>
    </w:rPr>
  </w:style>
  <w:style w:type="character" w:customStyle="1" w:styleId="65">
    <w:name w:val="批注框文本 字符"/>
    <w:link w:val="27"/>
    <w:autoRedefine/>
    <w:qFormat/>
    <w:uiPriority w:val="99"/>
    <w:rPr>
      <w:rFonts w:ascii="Times New Roman" w:hAnsi="Times New Roman" w:eastAsia="宋体" w:cs="Times New Roman"/>
      <w:sz w:val="18"/>
      <w:szCs w:val="18"/>
    </w:rPr>
  </w:style>
  <w:style w:type="character" w:customStyle="1" w:styleId="66">
    <w:name w:val="页脚 字符"/>
    <w:link w:val="28"/>
    <w:autoRedefine/>
    <w:qFormat/>
    <w:uiPriority w:val="0"/>
    <w:rPr>
      <w:rFonts w:ascii="Times New Roman" w:hAnsi="Times New Roman" w:eastAsia="宋体" w:cs="Times New Roman"/>
      <w:sz w:val="18"/>
      <w:szCs w:val="18"/>
    </w:rPr>
  </w:style>
  <w:style w:type="character" w:customStyle="1" w:styleId="67">
    <w:name w:val="页眉 字符"/>
    <w:link w:val="29"/>
    <w:autoRedefine/>
    <w:qFormat/>
    <w:uiPriority w:val="99"/>
    <w:rPr>
      <w:rFonts w:ascii="Times New Roman" w:hAnsi="Times New Roman" w:eastAsia="宋体" w:cs="Times New Roman"/>
      <w:sz w:val="18"/>
      <w:szCs w:val="18"/>
    </w:rPr>
  </w:style>
  <w:style w:type="character" w:customStyle="1" w:styleId="68">
    <w:name w:val="脚注文本 字符"/>
    <w:basedOn w:val="42"/>
    <w:link w:val="32"/>
    <w:autoRedefine/>
    <w:qFormat/>
    <w:uiPriority w:val="99"/>
    <w:rPr>
      <w:rFonts w:ascii="Times New Roman" w:hAnsi="Times New Roman"/>
      <w:kern w:val="2"/>
      <w:sz w:val="18"/>
      <w:szCs w:val="18"/>
    </w:rPr>
  </w:style>
  <w:style w:type="character" w:customStyle="1" w:styleId="69">
    <w:name w:val="正文文本缩进 3 字符"/>
    <w:link w:val="33"/>
    <w:autoRedefine/>
    <w:qFormat/>
    <w:uiPriority w:val="0"/>
    <w:rPr>
      <w:rFonts w:ascii="方正细圆简体" w:hAnsi="Times New Roman" w:eastAsia="方正细圆简体"/>
      <w:kern w:val="2"/>
      <w:sz w:val="24"/>
      <w:szCs w:val="24"/>
    </w:rPr>
  </w:style>
  <w:style w:type="character" w:customStyle="1" w:styleId="70">
    <w:name w:val="标题 字符"/>
    <w:link w:val="37"/>
    <w:autoRedefine/>
    <w:qFormat/>
    <w:uiPriority w:val="0"/>
    <w:rPr>
      <w:rFonts w:ascii="Cambria" w:hAnsi="Cambria" w:eastAsia="华文中宋"/>
      <w:b/>
      <w:bCs/>
      <w:kern w:val="2"/>
      <w:sz w:val="44"/>
      <w:szCs w:val="32"/>
    </w:rPr>
  </w:style>
  <w:style w:type="character" w:customStyle="1" w:styleId="71">
    <w:name w:val="批注主题 字符"/>
    <w:link w:val="38"/>
    <w:autoRedefine/>
    <w:qFormat/>
    <w:uiPriority w:val="99"/>
    <w:rPr>
      <w:rFonts w:ascii="Times New Roman" w:hAnsi="Times New Roman"/>
      <w:b/>
      <w:bCs/>
      <w:kern w:val="2"/>
      <w:sz w:val="21"/>
      <w:szCs w:val="24"/>
    </w:rPr>
  </w:style>
  <w:style w:type="character" w:customStyle="1" w:styleId="72">
    <w:name w:val="标题3 Char"/>
    <w:link w:val="73"/>
    <w:autoRedefine/>
    <w:qFormat/>
    <w:uiPriority w:val="0"/>
    <w:rPr>
      <w:rFonts w:ascii="宋体" w:hAnsi="宋体" w:eastAsia="华文中宋" w:cs="Arial"/>
      <w:b/>
      <w:sz w:val="24"/>
      <w:szCs w:val="24"/>
    </w:rPr>
  </w:style>
  <w:style w:type="paragraph" w:customStyle="1" w:styleId="73">
    <w:name w:val="标题3"/>
    <w:basedOn w:val="1"/>
    <w:next w:val="1"/>
    <w:link w:val="72"/>
    <w:autoRedefine/>
    <w:qFormat/>
    <w:uiPriority w:val="0"/>
    <w:pPr>
      <w:widowControl/>
      <w:jc w:val="left"/>
    </w:pPr>
    <w:rPr>
      <w:rFonts w:ascii="宋体" w:hAnsi="宋体" w:eastAsia="华文中宋"/>
      <w:b/>
      <w:kern w:val="0"/>
    </w:rPr>
  </w:style>
  <w:style w:type="character" w:customStyle="1" w:styleId="74">
    <w:name w:val="段 Char"/>
    <w:link w:val="75"/>
    <w:autoRedefine/>
    <w:qFormat/>
    <w:uiPriority w:val="0"/>
    <w:rPr>
      <w:rFonts w:ascii="宋体" w:hAnsi="Times New Roman"/>
      <w:sz w:val="21"/>
      <w:lang w:bidi="ar-SA"/>
    </w:rPr>
  </w:style>
  <w:style w:type="paragraph" w:customStyle="1" w:styleId="75">
    <w:name w:val="段"/>
    <w:link w:val="7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6">
    <w:name w:val="一级条标题 Char"/>
    <w:link w:val="77"/>
    <w:autoRedefine/>
    <w:qFormat/>
    <w:uiPriority w:val="0"/>
    <w:rPr>
      <w:rFonts w:ascii="黑体" w:hAnsi="Times New Roman" w:eastAsia="黑体"/>
      <w:sz w:val="21"/>
    </w:rPr>
  </w:style>
  <w:style w:type="paragraph" w:customStyle="1" w:styleId="77">
    <w:name w:val="一级条标题"/>
    <w:basedOn w:val="1"/>
    <w:next w:val="75"/>
    <w:link w:val="76"/>
    <w:autoRedefine/>
    <w:qFormat/>
    <w:uiPriority w:val="0"/>
    <w:pPr>
      <w:widowControl/>
      <w:tabs>
        <w:tab w:val="left" w:pos="1200"/>
      </w:tabs>
      <w:ind w:left="1200" w:hanging="420"/>
      <w:outlineLvl w:val="2"/>
    </w:pPr>
    <w:rPr>
      <w:rFonts w:ascii="黑体" w:eastAsia="黑体"/>
      <w:kern w:val="0"/>
      <w:szCs w:val="20"/>
    </w:rPr>
  </w:style>
  <w:style w:type="character" w:customStyle="1" w:styleId="78">
    <w:name w:val="批注引用4"/>
    <w:autoRedefine/>
    <w:qFormat/>
    <w:uiPriority w:val="0"/>
    <w:rPr>
      <w:sz w:val="21"/>
      <w:szCs w:val="21"/>
    </w:rPr>
  </w:style>
  <w:style w:type="character" w:customStyle="1" w:styleId="79">
    <w:name w:val="lf3"/>
    <w:basedOn w:val="42"/>
    <w:autoRedefine/>
    <w:qFormat/>
    <w:uiPriority w:val="0"/>
  </w:style>
  <w:style w:type="character" w:customStyle="1" w:styleId="80">
    <w:name w:val="批注引用6"/>
    <w:basedOn w:val="42"/>
    <w:autoRedefine/>
    <w:qFormat/>
    <w:uiPriority w:val="0"/>
    <w:rPr>
      <w:sz w:val="21"/>
      <w:szCs w:val="21"/>
    </w:rPr>
  </w:style>
  <w:style w:type="character" w:customStyle="1" w:styleId="81">
    <w:name w:val="批注引用2"/>
    <w:basedOn w:val="42"/>
    <w:autoRedefine/>
    <w:qFormat/>
    <w:uiPriority w:val="0"/>
    <w:rPr>
      <w:sz w:val="21"/>
      <w:szCs w:val="21"/>
    </w:rPr>
  </w:style>
  <w:style w:type="character" w:customStyle="1" w:styleId="82">
    <w:name w:val="批注引用1"/>
    <w:autoRedefine/>
    <w:qFormat/>
    <w:uiPriority w:val="0"/>
    <w:rPr>
      <w:sz w:val="21"/>
      <w:szCs w:val="21"/>
    </w:rPr>
  </w:style>
  <w:style w:type="character" w:customStyle="1" w:styleId="83">
    <w:name w:val="正文首缩两字 Char1"/>
    <w:basedOn w:val="42"/>
    <w:link w:val="84"/>
    <w:autoRedefine/>
    <w:qFormat/>
    <w:uiPriority w:val="0"/>
    <w:rPr>
      <w:rFonts w:ascii="Verdana" w:hAnsi="Verdana"/>
      <w:sz w:val="24"/>
      <w:szCs w:val="24"/>
    </w:rPr>
  </w:style>
  <w:style w:type="paragraph" w:customStyle="1" w:styleId="84">
    <w:name w:val="正文首缩两字"/>
    <w:basedOn w:val="1"/>
    <w:link w:val="83"/>
    <w:autoRedefine/>
    <w:qFormat/>
    <w:uiPriority w:val="0"/>
    <w:pPr>
      <w:ind w:firstLine="200" w:firstLineChars="200"/>
    </w:pPr>
    <w:rPr>
      <w:rFonts w:ascii="Verdana" w:hAnsi="Verdana" w:eastAsia="宋体"/>
      <w:kern w:val="0"/>
    </w:rPr>
  </w:style>
  <w:style w:type="character" w:customStyle="1" w:styleId="85">
    <w:name w:val="批注引用11"/>
    <w:autoRedefine/>
    <w:qFormat/>
    <w:uiPriority w:val="0"/>
    <w:rPr>
      <w:rFonts w:cs="Times New Roman"/>
      <w:sz w:val="21"/>
      <w:szCs w:val="21"/>
    </w:rPr>
  </w:style>
  <w:style w:type="character" w:customStyle="1" w:styleId="86">
    <w:name w:val="列表段落 字符"/>
    <w:link w:val="87"/>
    <w:autoRedefine/>
    <w:qFormat/>
    <w:uiPriority w:val="0"/>
    <w:rPr>
      <w:kern w:val="2"/>
      <w:sz w:val="21"/>
      <w:szCs w:val="22"/>
    </w:rPr>
  </w:style>
  <w:style w:type="paragraph" w:styleId="87">
    <w:name w:val="List Paragraph"/>
    <w:basedOn w:val="1"/>
    <w:link w:val="86"/>
    <w:autoRedefine/>
    <w:qFormat/>
    <w:uiPriority w:val="0"/>
    <w:pPr>
      <w:ind w:firstLine="420" w:firstLineChars="200"/>
    </w:pPr>
    <w:rPr>
      <w:rFonts w:ascii="Calibri" w:hAnsi="Calibri" w:eastAsia="宋体"/>
      <w:szCs w:val="22"/>
    </w:rPr>
  </w:style>
  <w:style w:type="character" w:customStyle="1" w:styleId="88">
    <w:name w:val="批注引用3"/>
    <w:autoRedefine/>
    <w:qFormat/>
    <w:uiPriority w:val="0"/>
    <w:rPr>
      <w:rFonts w:cs="Times New Roman"/>
      <w:sz w:val="21"/>
      <w:szCs w:val="21"/>
    </w:rPr>
  </w:style>
  <w:style w:type="character" w:customStyle="1" w:styleId="89">
    <w:name w:val="样式1 Char Char"/>
    <w:link w:val="90"/>
    <w:autoRedefine/>
    <w:qFormat/>
    <w:uiPriority w:val="0"/>
    <w:rPr>
      <w:rFonts w:ascii="Arial" w:hAnsi="Arial"/>
      <w:kern w:val="2"/>
      <w:sz w:val="21"/>
      <w:szCs w:val="24"/>
    </w:rPr>
  </w:style>
  <w:style w:type="paragraph" w:customStyle="1" w:styleId="90">
    <w:name w:val="样式1"/>
    <w:basedOn w:val="1"/>
    <w:link w:val="89"/>
    <w:autoRedefine/>
    <w:qFormat/>
    <w:uiPriority w:val="0"/>
    <w:pPr>
      <w:spacing w:line="360" w:lineRule="exact"/>
      <w:ind w:firstLine="200" w:firstLineChars="200"/>
    </w:pPr>
    <w:rPr>
      <w:rFonts w:ascii="Arial" w:hAnsi="Arial" w:eastAsia="宋体"/>
    </w:rPr>
  </w:style>
  <w:style w:type="character" w:customStyle="1" w:styleId="91">
    <w:name w:val="自定义正文 Char"/>
    <w:link w:val="92"/>
    <w:autoRedefine/>
    <w:qFormat/>
    <w:uiPriority w:val="0"/>
    <w:rPr>
      <w:kern w:val="2"/>
      <w:sz w:val="24"/>
    </w:rPr>
  </w:style>
  <w:style w:type="paragraph" w:customStyle="1" w:styleId="92">
    <w:name w:val="自定义正文"/>
    <w:basedOn w:val="1"/>
    <w:link w:val="91"/>
    <w:autoRedefine/>
    <w:qFormat/>
    <w:uiPriority w:val="0"/>
    <w:pPr>
      <w:spacing w:afterLines="50"/>
      <w:ind w:firstLine="200" w:firstLineChars="200"/>
      <w:jc w:val="left"/>
    </w:pPr>
    <w:rPr>
      <w:rFonts w:ascii="Calibri" w:hAnsi="Calibri" w:eastAsia="宋体"/>
      <w:szCs w:val="20"/>
    </w:rPr>
  </w:style>
  <w:style w:type="character" w:customStyle="1" w:styleId="93">
    <w:name w:val="font21"/>
    <w:autoRedefine/>
    <w:qFormat/>
    <w:uiPriority w:val="0"/>
    <w:rPr>
      <w:rFonts w:hint="eastAsia" w:ascii="宋体" w:hAnsi="宋体" w:eastAsia="宋体" w:cs="宋体"/>
      <w:color w:val="000000"/>
      <w:sz w:val="20"/>
      <w:szCs w:val="20"/>
      <w:u w:val="none"/>
    </w:rPr>
  </w:style>
  <w:style w:type="character" w:customStyle="1" w:styleId="94">
    <w:name w:val="style15"/>
    <w:basedOn w:val="42"/>
    <w:autoRedefine/>
    <w:qFormat/>
    <w:uiPriority w:val="0"/>
  </w:style>
  <w:style w:type="character" w:customStyle="1" w:styleId="95">
    <w:name w:val="font31"/>
    <w:autoRedefine/>
    <w:qFormat/>
    <w:uiPriority w:val="0"/>
    <w:rPr>
      <w:rFonts w:hint="eastAsia" w:ascii="宋体" w:hAnsi="宋体" w:eastAsia="宋体" w:cs="宋体"/>
      <w:color w:val="FF0000"/>
      <w:sz w:val="20"/>
      <w:szCs w:val="20"/>
      <w:u w:val="none"/>
    </w:rPr>
  </w:style>
  <w:style w:type="character" w:customStyle="1" w:styleId="96">
    <w:name w:val="SANGFOR_6_正文 Char"/>
    <w:link w:val="97"/>
    <w:autoRedefine/>
    <w:qFormat/>
    <w:locked/>
    <w:uiPriority w:val="0"/>
    <w:rPr>
      <w:rFonts w:ascii="宋体" w:hAnsi="宋体"/>
      <w:sz w:val="28"/>
      <w:szCs w:val="28"/>
    </w:rPr>
  </w:style>
  <w:style w:type="paragraph" w:customStyle="1" w:styleId="97">
    <w:name w:val="SANGFOR_6_正文"/>
    <w:basedOn w:val="1"/>
    <w:link w:val="96"/>
    <w:autoRedefine/>
    <w:qFormat/>
    <w:uiPriority w:val="0"/>
    <w:pPr>
      <w:ind w:left="420"/>
      <w:jc w:val="left"/>
    </w:pPr>
    <w:rPr>
      <w:rFonts w:ascii="宋体" w:hAnsi="宋体" w:eastAsia="宋体"/>
      <w:kern w:val="0"/>
      <w:sz w:val="28"/>
      <w:szCs w:val="28"/>
    </w:rPr>
  </w:style>
  <w:style w:type="character" w:customStyle="1" w:styleId="98">
    <w:name w:val="纯文本 Char"/>
    <w:autoRedefine/>
    <w:qFormat/>
    <w:uiPriority w:val="0"/>
    <w:rPr>
      <w:rFonts w:ascii="宋体" w:hAnsi="Courier New" w:cs="Courier New"/>
      <w:kern w:val="2"/>
      <w:sz w:val="21"/>
      <w:szCs w:val="21"/>
    </w:rPr>
  </w:style>
  <w:style w:type="character" w:customStyle="1" w:styleId="99">
    <w:name w:val="列出段落 字符"/>
    <w:qFormat/>
    <w:uiPriority w:val="0"/>
    <w:rPr>
      <w:rFonts w:ascii="Calibri" w:hAnsi="Calibri" w:eastAsia="宋体" w:cs="Times New Roman"/>
      <w:kern w:val="0"/>
      <w:sz w:val="20"/>
      <w:szCs w:val="20"/>
    </w:rPr>
  </w:style>
  <w:style w:type="character" w:customStyle="1" w:styleId="100">
    <w:name w:val="16"/>
    <w:autoRedefine/>
    <w:qFormat/>
    <w:uiPriority w:val="0"/>
    <w:rPr>
      <w:rFonts w:hint="default" w:ascii="Calibri" w:hAnsi="Calibri"/>
      <w:sz w:val="21"/>
      <w:szCs w:val="21"/>
    </w:rPr>
  </w:style>
  <w:style w:type="character" w:customStyle="1" w:styleId="101">
    <w:name w:val="font61"/>
    <w:autoRedefine/>
    <w:qFormat/>
    <w:uiPriority w:val="0"/>
    <w:rPr>
      <w:rFonts w:ascii="Arial" w:hAnsi="Arial" w:cs="Arial"/>
      <w:color w:val="000000"/>
      <w:sz w:val="20"/>
      <w:szCs w:val="20"/>
      <w:u w:val="none"/>
    </w:rPr>
  </w:style>
  <w:style w:type="character" w:customStyle="1" w:styleId="102">
    <w:name w:val="正文2 Char"/>
    <w:link w:val="103"/>
    <w:autoRedefine/>
    <w:qFormat/>
    <w:uiPriority w:val="0"/>
    <w:rPr>
      <w:kern w:val="2"/>
      <w:sz w:val="24"/>
    </w:rPr>
  </w:style>
  <w:style w:type="paragraph" w:customStyle="1" w:styleId="103">
    <w:name w:val="正文2"/>
    <w:basedOn w:val="1"/>
    <w:link w:val="102"/>
    <w:autoRedefine/>
    <w:qFormat/>
    <w:uiPriority w:val="0"/>
    <w:pPr>
      <w:spacing w:before="156"/>
      <w:ind w:firstLine="510" w:firstLineChars="200"/>
    </w:pPr>
    <w:rPr>
      <w:rFonts w:ascii="Calibri" w:hAnsi="Calibri" w:eastAsia="宋体"/>
      <w:szCs w:val="20"/>
    </w:rPr>
  </w:style>
  <w:style w:type="character" w:customStyle="1" w:styleId="104">
    <w:name w:val="批注引用5"/>
    <w:autoRedefine/>
    <w:qFormat/>
    <w:uiPriority w:val="0"/>
    <w:rPr>
      <w:sz w:val="21"/>
      <w:szCs w:val="21"/>
    </w:rPr>
  </w:style>
  <w:style w:type="character" w:customStyle="1" w:styleId="105">
    <w:name w:val="样式 样式 正文首行缩进 + 首行缩进:  2 字符 + 首行缩进:  2 字符 Char"/>
    <w:link w:val="106"/>
    <w:qFormat/>
    <w:uiPriority w:val="0"/>
    <w:rPr>
      <w:rFonts w:cs="宋体"/>
      <w:kern w:val="2"/>
      <w:sz w:val="24"/>
    </w:rPr>
  </w:style>
  <w:style w:type="paragraph" w:customStyle="1" w:styleId="106">
    <w:name w:val="样式 样式 正文首行缩进 + 首行缩进:  2 字符 + 首行缩进:  2 字符"/>
    <w:basedOn w:val="1"/>
    <w:link w:val="105"/>
    <w:autoRedefine/>
    <w:qFormat/>
    <w:uiPriority w:val="0"/>
    <w:pPr>
      <w:spacing w:line="440" w:lineRule="exact"/>
      <w:ind w:firstLine="200" w:firstLineChars="200"/>
    </w:pPr>
    <w:rPr>
      <w:rFonts w:ascii="Calibri" w:hAnsi="Calibri" w:eastAsia="宋体"/>
      <w:szCs w:val="20"/>
    </w:rPr>
  </w:style>
  <w:style w:type="character" w:customStyle="1" w:styleId="107">
    <w:name w:val="15"/>
    <w:autoRedefine/>
    <w:qFormat/>
    <w:uiPriority w:val="0"/>
    <w:rPr>
      <w:rFonts w:hint="default" w:ascii="Calibri" w:hAnsi="Calibri"/>
      <w:sz w:val="18"/>
      <w:szCs w:val="18"/>
    </w:rPr>
  </w:style>
  <w:style w:type="character" w:customStyle="1" w:styleId="108">
    <w:name w:val="font71"/>
    <w:qFormat/>
    <w:uiPriority w:val="0"/>
    <w:rPr>
      <w:rFonts w:hint="default" w:ascii="Times New Roman" w:hAnsi="Times New Roman" w:eastAsia="楷体_GB2312" w:cs="Times New Roman"/>
      <w:sz w:val="28"/>
      <w:szCs w:val="24"/>
    </w:rPr>
  </w:style>
  <w:style w:type="character" w:customStyle="1" w:styleId="109">
    <w:name w:val="g1"/>
    <w:autoRedefine/>
    <w:qFormat/>
    <w:uiPriority w:val="0"/>
    <w:rPr>
      <w:color w:val="008000"/>
    </w:rPr>
  </w:style>
  <w:style w:type="character" w:customStyle="1" w:styleId="110">
    <w:name w:val="textnormchn1"/>
    <w:basedOn w:val="42"/>
    <w:qFormat/>
    <w:uiPriority w:val="0"/>
  </w:style>
  <w:style w:type="character" w:customStyle="1" w:styleId="111">
    <w:name w:val="font121"/>
    <w:autoRedefine/>
    <w:qFormat/>
    <w:uiPriority w:val="0"/>
    <w:rPr>
      <w:rFonts w:hint="default" w:ascii="???" w:hAnsi="???"/>
      <w:color w:val="333333"/>
      <w:sz w:val="18"/>
      <w:szCs w:val="18"/>
      <w:u w:val="none"/>
    </w:rPr>
  </w:style>
  <w:style w:type="character" w:customStyle="1" w:styleId="112">
    <w:name w:val="17"/>
    <w:autoRedefine/>
    <w:qFormat/>
    <w:uiPriority w:val="0"/>
    <w:rPr>
      <w:rFonts w:hint="default" w:ascii="Calibri" w:hAnsi="Calibri"/>
      <w:sz w:val="21"/>
      <w:szCs w:val="21"/>
    </w:rPr>
  </w:style>
  <w:style w:type="character" w:customStyle="1" w:styleId="113">
    <w:name w:val="Char Char7"/>
    <w:autoRedefine/>
    <w:qFormat/>
    <w:uiPriority w:val="0"/>
    <w:rPr>
      <w:rFonts w:ascii="Cambria" w:hAnsi="Cambria" w:eastAsia="仿宋_GB2312"/>
      <w:b/>
      <w:bCs/>
      <w:kern w:val="2"/>
      <w:sz w:val="24"/>
      <w:szCs w:val="28"/>
      <w:lang w:bidi="ar-SA"/>
    </w:rPr>
  </w:style>
  <w:style w:type="character" w:customStyle="1" w:styleId="114">
    <w:name w:val="bsharetext"/>
    <w:basedOn w:val="42"/>
    <w:autoRedefine/>
    <w:qFormat/>
    <w:uiPriority w:val="0"/>
  </w:style>
  <w:style w:type="character" w:customStyle="1" w:styleId="115">
    <w:name w:val="批注引用51"/>
    <w:basedOn w:val="42"/>
    <w:autoRedefine/>
    <w:qFormat/>
    <w:uiPriority w:val="0"/>
    <w:rPr>
      <w:sz w:val="21"/>
      <w:szCs w:val="21"/>
    </w:rPr>
  </w:style>
  <w:style w:type="character" w:customStyle="1" w:styleId="116">
    <w:name w:val="apple-converted-space"/>
    <w:basedOn w:val="42"/>
    <w:autoRedefine/>
    <w:qFormat/>
    <w:uiPriority w:val="0"/>
  </w:style>
  <w:style w:type="paragraph" w:customStyle="1" w:styleId="117">
    <w:name w:val="Char3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118">
    <w:name w:val="p0"/>
    <w:basedOn w:val="1"/>
    <w:qFormat/>
    <w:uiPriority w:val="0"/>
    <w:pPr>
      <w:widowControl/>
      <w:spacing w:before="100" w:beforeAutospacing="1" w:after="100" w:afterAutospacing="1"/>
      <w:jc w:val="left"/>
    </w:pPr>
    <w:rPr>
      <w:rFonts w:ascii="宋体" w:hAnsi="宋体" w:cs="宋体"/>
      <w:kern w:val="0"/>
    </w:rPr>
  </w:style>
  <w:style w:type="paragraph" w:customStyle="1" w:styleId="119">
    <w:name w:val="msolistparagraph"/>
    <w:basedOn w:val="1"/>
    <w:autoRedefine/>
    <w:qFormat/>
    <w:uiPriority w:val="0"/>
    <w:pPr>
      <w:ind w:firstLine="420" w:firstLineChars="200"/>
    </w:pPr>
    <w:rPr>
      <w:szCs w:val="20"/>
    </w:rPr>
  </w:style>
  <w:style w:type="paragraph" w:customStyle="1" w:styleId="120">
    <w:name w:val="_Style 2"/>
    <w:basedOn w:val="1"/>
    <w:autoRedefine/>
    <w:qFormat/>
    <w:uiPriority w:val="34"/>
    <w:pPr>
      <w:ind w:firstLine="420" w:firstLineChars="200"/>
    </w:pPr>
  </w:style>
  <w:style w:type="paragraph" w:customStyle="1" w:styleId="121">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122">
    <w:name w:val="p21"/>
    <w:basedOn w:val="1"/>
    <w:autoRedefine/>
    <w:qFormat/>
    <w:uiPriority w:val="0"/>
    <w:pPr>
      <w:widowControl/>
      <w:ind w:firstLine="420"/>
    </w:pPr>
    <w:rPr>
      <w:rFonts w:cs="宋体"/>
      <w:kern w:val="0"/>
      <w:szCs w:val="21"/>
    </w:rPr>
  </w:style>
  <w:style w:type="paragraph" w:customStyle="1" w:styleId="123">
    <w:name w:val="content"/>
    <w:basedOn w:val="1"/>
    <w:autoRedefine/>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124">
    <w:name w:val="说明书3级标题"/>
    <w:basedOn w:val="1"/>
    <w:next w:val="1"/>
    <w:autoRedefine/>
    <w:qFormat/>
    <w:uiPriority w:val="0"/>
    <w:pPr>
      <w:tabs>
        <w:tab w:val="left" w:pos="1572"/>
      </w:tabs>
      <w:ind w:left="1572" w:hanging="720"/>
    </w:pPr>
    <w:rPr>
      <w:rFonts w:eastAsia="黑体"/>
    </w:rPr>
  </w:style>
  <w:style w:type="paragraph" w:customStyle="1" w:styleId="125">
    <w:name w:val="列出段落1"/>
    <w:basedOn w:val="1"/>
    <w:autoRedefine/>
    <w:qFormat/>
    <w:uiPriority w:val="34"/>
    <w:pPr>
      <w:ind w:firstLine="420" w:firstLineChars="200"/>
    </w:pPr>
    <w:rPr>
      <w:szCs w:val="20"/>
    </w:rPr>
  </w:style>
  <w:style w:type="paragraph" w:customStyle="1" w:styleId="126">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7">
    <w:name w:val="Char Char Char Char"/>
    <w:basedOn w:val="12"/>
    <w:autoRedefine/>
    <w:qFormat/>
    <w:uiPriority w:val="0"/>
    <w:pPr>
      <w:shd w:val="clear" w:color="auto" w:fill="000080"/>
      <w:adjustRightInd w:val="0"/>
      <w:snapToGrid w:val="0"/>
    </w:pPr>
    <w:rPr>
      <w:rFonts w:ascii="Times New Roman"/>
      <w:sz w:val="21"/>
      <w:szCs w:val="24"/>
    </w:rPr>
  </w:style>
  <w:style w:type="paragraph" w:customStyle="1" w:styleId="128">
    <w:name w:val="newp"/>
    <w:basedOn w:val="1"/>
    <w:autoRedefine/>
    <w:qFormat/>
    <w:uiPriority w:val="0"/>
    <w:pPr>
      <w:widowControl/>
      <w:spacing w:before="100" w:beforeAutospacing="1" w:after="100" w:afterAutospacing="1" w:line="240" w:lineRule="auto"/>
      <w:jc w:val="left"/>
    </w:pPr>
    <w:rPr>
      <w:rFonts w:ascii="宋体" w:hAnsi="宋体" w:eastAsia="宋体" w:cs="宋体"/>
      <w:kern w:val="0"/>
    </w:rPr>
  </w:style>
  <w:style w:type="paragraph" w:customStyle="1" w:styleId="129">
    <w:name w:val="普通(网站)1"/>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3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31">
    <w:name w:val="样式 宋体 小四 黑色 行距: 1.5 倍行距1"/>
    <w:basedOn w:val="1"/>
    <w:autoRedefine/>
    <w:qFormat/>
    <w:uiPriority w:val="0"/>
    <w:pPr>
      <w:ind w:firstLine="480" w:firstLineChars="200"/>
    </w:pPr>
    <w:rPr>
      <w:rFonts w:ascii="宋体" w:hAnsi="宋体" w:cs="宋体"/>
      <w:color w:val="000000"/>
      <w:kern w:val="0"/>
      <w:szCs w:val="20"/>
    </w:rPr>
  </w:style>
  <w:style w:type="paragraph" w:customStyle="1" w:styleId="132">
    <w:name w:val="a2"/>
    <w:basedOn w:val="1"/>
    <w:autoRedefine/>
    <w:qFormat/>
    <w:uiPriority w:val="0"/>
    <w:pPr>
      <w:widowControl/>
      <w:spacing w:before="100" w:beforeAutospacing="1" w:after="100" w:afterAutospacing="1"/>
      <w:jc w:val="left"/>
    </w:pPr>
    <w:rPr>
      <w:rFonts w:ascii="Arial Unicode MS" w:hAnsi="Arial Unicode MS"/>
      <w:kern w:val="0"/>
    </w:rPr>
  </w:style>
  <w:style w:type="character" w:customStyle="1" w:styleId="133">
    <w:name w:val="bookmark-item"/>
    <w:basedOn w:val="4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3048</Words>
  <Characters>17380</Characters>
  <Lines>144</Lines>
  <Paragraphs>40</Paragraphs>
  <TotalTime>40</TotalTime>
  <ScaleCrop>false</ScaleCrop>
  <LinksUpToDate>false</LinksUpToDate>
  <CharactersWithSpaces>20388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2016-07-11T20:15:00Z</dcterms:created>
  <dc:creator>谢武剑-浙江省成套招标代理有限公司</dc:creator>
  <cp:lastModifiedBy>A陈维文</cp:lastModifiedBy>
  <cp:lastPrinted>2023-01-19T01:44:00Z</cp:lastPrinted>
  <dcterms:modified xsi:type="dcterms:W3CDTF">2024-02-04T01:55:10Z</dcterms:modified>
  <dc:title>杭州市拱墅区政府采购</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D91DD323FC6B40F89BD98BCE9C800B99</vt:lpwstr>
  </property>
</Properties>
</file>