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D4" w:rsidRDefault="005837B0">
      <w:pPr>
        <w:snapToGrid w:val="0"/>
        <w:jc w:val="center"/>
        <w:rPr>
          <w:rFonts w:ascii="方正小标宋_GBK" w:eastAsia="方正小标宋_GBK"/>
          <w:sz w:val="36"/>
          <w:szCs w:val="36"/>
        </w:rPr>
      </w:pPr>
      <w:r>
        <w:rPr>
          <w:rFonts w:ascii="方正小标宋_GBK" w:eastAsia="方正小标宋_GBK" w:hAnsi="仿宋" w:cs="Times New Roman" w:hint="eastAsia"/>
          <w:color w:val="000000"/>
          <w:sz w:val="36"/>
          <w:szCs w:val="36"/>
        </w:rPr>
        <w:t>克拉玛依市独山子人民医院</w:t>
      </w:r>
      <w:r w:rsidR="00B66210">
        <w:rPr>
          <w:rFonts w:ascii="方正小标宋_GBK" w:eastAsia="方正小标宋_GBK" w:hAnsi="仿宋" w:cs="Times New Roman" w:hint="eastAsia"/>
          <w:color w:val="000000"/>
          <w:sz w:val="36"/>
          <w:szCs w:val="36"/>
        </w:rPr>
        <w:t>慢速手机</w:t>
      </w:r>
      <w:r>
        <w:rPr>
          <w:rFonts w:ascii="方正小标宋_GBK" w:eastAsia="方正小标宋_GBK" w:hAnsi="仿宋" w:cs="Times New Roman" w:hint="eastAsia"/>
          <w:color w:val="000000"/>
          <w:sz w:val="36"/>
          <w:szCs w:val="36"/>
        </w:rPr>
        <w:t>项目</w:t>
      </w:r>
      <w:r>
        <w:rPr>
          <w:rFonts w:ascii="方正小标宋_GBK" w:eastAsia="方正小标宋_GBK" w:hint="eastAsia"/>
          <w:sz w:val="36"/>
          <w:szCs w:val="36"/>
        </w:rPr>
        <w:t>采购需求</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投标人资格条件</w:t>
      </w:r>
    </w:p>
    <w:p w:rsidR="000917D4" w:rsidRDefault="005837B0">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Pr>
          <w:rFonts w:ascii="仿宋_GB2312" w:eastAsia="仿宋_GB2312" w:hAnsi="仿宋" w:hint="eastAsia"/>
          <w:sz w:val="32"/>
          <w:szCs w:val="32"/>
        </w:rPr>
        <w:t>一般资格条件</w:t>
      </w:r>
    </w:p>
    <w:p w:rsidR="000917D4" w:rsidRDefault="005837B0">
      <w:pPr>
        <w:numPr>
          <w:ilvl w:val="0"/>
          <w:numId w:val="2"/>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具有独立承担民事责任的能力；</w:t>
      </w:r>
    </w:p>
    <w:p w:rsidR="000917D4" w:rsidRDefault="005837B0">
      <w:pPr>
        <w:numPr>
          <w:ilvl w:val="0"/>
          <w:numId w:val="2"/>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具有良好的商业信誉和健全的财务会计制度；</w:t>
      </w:r>
    </w:p>
    <w:p w:rsidR="000917D4" w:rsidRDefault="005837B0">
      <w:pPr>
        <w:tabs>
          <w:tab w:val="left" w:pos="1134"/>
        </w:tabs>
        <w:snapToGrid w:val="0"/>
        <w:spacing w:line="460" w:lineRule="exact"/>
        <w:ind w:left="709"/>
        <w:rPr>
          <w:rFonts w:ascii="仿宋_GB2312" w:eastAsia="仿宋_GB2312" w:hAnsi="仿宋" w:cs="Times New Roman"/>
          <w:sz w:val="32"/>
          <w:szCs w:val="32"/>
        </w:rPr>
      </w:pPr>
      <w:r>
        <w:rPr>
          <w:rFonts w:ascii="仿宋" w:eastAsia="仿宋" w:hAnsi="仿宋" w:hint="eastAsia"/>
          <w:sz w:val="24"/>
          <w:szCs w:val="24"/>
        </w:rPr>
        <w:t>（信用查询：</w:t>
      </w:r>
      <w:r>
        <w:rPr>
          <w:rFonts w:ascii="仿宋" w:eastAsia="仿宋" w:hAnsi="仿宋"/>
          <w:sz w:val="24"/>
          <w:szCs w:val="24"/>
        </w:rPr>
        <w:t>按照《财政部关于在政府采购活动中查询及使用信用记录有关问题的通知》（财库〔2016〕125号）的要求，根据开标当日“信用中国”（</w:t>
      </w:r>
      <w:r>
        <w:rPr>
          <w:rFonts w:ascii="仿宋" w:eastAsia="仿宋" w:hAnsi="仿宋"/>
          <w:noProof/>
          <w:sz w:val="24"/>
          <w:szCs w:val="24"/>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8"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eastAsia="仿宋" w:hAnsi="仿宋"/>
          <w:sz w:val="24"/>
          <w:szCs w:val="24"/>
        </w:rPr>
        <w:t>www.creditchina.gov.cn）、</w:t>
      </w:r>
      <w:r>
        <w:rPr>
          <w:rFonts w:ascii="仿宋" w:eastAsia="仿宋" w:hAnsi="仿宋" w:hint="eastAsia"/>
          <w:sz w:val="24"/>
          <w:szCs w:val="24"/>
        </w:rPr>
        <w:t>“</w:t>
      </w:r>
      <w:r>
        <w:rPr>
          <w:rFonts w:ascii="仿宋" w:eastAsia="仿宋" w:hAnsi="仿宋"/>
          <w:sz w:val="24"/>
          <w:szCs w:val="24"/>
        </w:rPr>
        <w:t>中国政府采购网</w:t>
      </w:r>
      <w:r>
        <w:rPr>
          <w:rFonts w:ascii="仿宋" w:eastAsia="仿宋" w:hAnsi="仿宋" w:hint="eastAsia"/>
          <w:sz w:val="24"/>
          <w:szCs w:val="24"/>
        </w:rPr>
        <w:t>”</w:t>
      </w:r>
      <w:r>
        <w:rPr>
          <w:rFonts w:ascii="仿宋" w:eastAsia="仿宋" w:hAnsi="仿宋"/>
          <w:sz w:val="24"/>
          <w:szCs w:val="24"/>
        </w:rPr>
        <w:t>（</w:t>
      </w:r>
      <w:r>
        <w:rPr>
          <w:rFonts w:ascii="仿宋" w:eastAsia="仿宋" w:hAnsi="仿宋"/>
          <w:noProof/>
          <w:sz w:val="24"/>
          <w:szCs w:val="24"/>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8"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eastAsia="仿宋" w:hAnsi="仿宋"/>
          <w:sz w:val="24"/>
          <w:szCs w:val="24"/>
        </w:rPr>
        <w:t>www.ccgp.gov.cn）</w:t>
      </w:r>
      <w:r>
        <w:rPr>
          <w:rFonts w:ascii="仿宋" w:eastAsia="仿宋" w:hAnsi="仿宋" w:hint="eastAsia"/>
          <w:sz w:val="24"/>
          <w:szCs w:val="24"/>
        </w:rPr>
        <w:t>、“中国执行信息公开网”（www.</w:t>
      </w:r>
      <w:r>
        <w:rPr>
          <w:rFonts w:ascii="仿宋" w:eastAsia="仿宋" w:hAnsi="仿宋"/>
          <w:sz w:val="24"/>
          <w:szCs w:val="24"/>
        </w:rPr>
        <w:t>shixin.court.gov.cn</w:t>
      </w:r>
      <w:r>
        <w:rPr>
          <w:rFonts w:ascii="仿宋" w:eastAsia="仿宋" w:hAnsi="仿宋" w:hint="eastAsia"/>
          <w:sz w:val="24"/>
          <w:szCs w:val="24"/>
        </w:rPr>
        <w:t>）、“克拉玛依诚信网”（</w:t>
      </w:r>
      <w:r>
        <w:rPr>
          <w:rFonts w:ascii="仿宋" w:eastAsia="仿宋" w:hAnsi="仿宋"/>
          <w:sz w:val="24"/>
          <w:szCs w:val="24"/>
        </w:rPr>
        <w:t>http://cxw.klmy.gov.cn/Pages/default.aspx</w:t>
      </w:r>
      <w:r>
        <w:rPr>
          <w:rFonts w:ascii="仿宋" w:eastAsia="仿宋" w:hAnsi="仿宋" w:hint="eastAsia"/>
          <w:sz w:val="24"/>
          <w:szCs w:val="24"/>
        </w:rPr>
        <w:t>）</w:t>
      </w:r>
      <w:r>
        <w:rPr>
          <w:rFonts w:ascii="仿宋" w:eastAsia="仿宋" w:hAnsi="仿宋"/>
          <w:sz w:val="24"/>
          <w:szCs w:val="24"/>
        </w:rPr>
        <w:t>的</w:t>
      </w:r>
      <w:r>
        <w:rPr>
          <w:rFonts w:ascii="仿宋" w:eastAsia="仿宋" w:hAnsi="仿宋" w:hint="eastAsia"/>
          <w:sz w:val="24"/>
          <w:szCs w:val="24"/>
        </w:rPr>
        <w:t>查询结果</w:t>
      </w:r>
      <w:r>
        <w:rPr>
          <w:rFonts w:ascii="仿宋" w:eastAsia="仿宋" w:hAnsi="仿宋"/>
          <w:sz w:val="24"/>
          <w:szCs w:val="24"/>
        </w:rPr>
        <w:t>，对列入失信被执行人、重大税收违法案件当事人名单、政府采购严重违法失信行为记录名单及其他不符合《中华人民共和国政府采购法》第二十二条规定条件的供应商，拒绝</w:t>
      </w:r>
      <w:r>
        <w:rPr>
          <w:rFonts w:ascii="仿宋" w:eastAsia="仿宋" w:hAnsi="仿宋" w:hint="eastAsia"/>
          <w:sz w:val="24"/>
          <w:szCs w:val="24"/>
        </w:rPr>
        <w:t>其</w:t>
      </w:r>
      <w:r>
        <w:rPr>
          <w:rFonts w:ascii="仿宋" w:eastAsia="仿宋" w:hAnsi="仿宋"/>
          <w:sz w:val="24"/>
          <w:szCs w:val="24"/>
        </w:rPr>
        <w:t>参与政府采购活动。</w:t>
      </w:r>
      <w:r>
        <w:rPr>
          <w:rFonts w:ascii="仿宋" w:eastAsia="仿宋" w:hAnsi="仿宋" w:hint="eastAsia"/>
          <w:sz w:val="24"/>
          <w:szCs w:val="24"/>
        </w:rPr>
        <w:t>）</w:t>
      </w:r>
    </w:p>
    <w:p w:rsidR="000917D4" w:rsidRDefault="005837B0">
      <w:pPr>
        <w:numPr>
          <w:ilvl w:val="0"/>
          <w:numId w:val="2"/>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具有履行合同所必需的设备和专业技术能力；</w:t>
      </w:r>
    </w:p>
    <w:p w:rsidR="000917D4" w:rsidRDefault="005837B0">
      <w:pPr>
        <w:numPr>
          <w:ilvl w:val="0"/>
          <w:numId w:val="2"/>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有依法缴纳税收和社会保障资金的良好记录；</w:t>
      </w:r>
    </w:p>
    <w:p w:rsidR="000917D4" w:rsidRDefault="005837B0">
      <w:pPr>
        <w:numPr>
          <w:ilvl w:val="0"/>
          <w:numId w:val="2"/>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参加政府采购活动前三年内，未因违法经营受到刑事处罚或者责令停产停业、吊销许可证或者执照、较大数额罚款等行政处罚。</w:t>
      </w:r>
      <w:r>
        <w:rPr>
          <w:rFonts w:ascii="仿宋_GB2312" w:eastAsia="仿宋_GB2312" w:hAnsi="仿宋" w:cs="Times New Roman"/>
          <w:sz w:val="32"/>
          <w:szCs w:val="32"/>
        </w:rPr>
        <w:tab/>
      </w:r>
    </w:p>
    <w:p w:rsidR="000917D4" w:rsidRDefault="005837B0">
      <w:pPr>
        <w:tabs>
          <w:tab w:val="left" w:pos="1134"/>
        </w:tabs>
        <w:snapToGrid w:val="0"/>
        <w:spacing w:line="460" w:lineRule="exact"/>
        <w:ind w:left="480"/>
        <w:rPr>
          <w:rFonts w:ascii="仿宋_GB2312" w:eastAsia="仿宋_GB2312" w:hAnsi="仿宋"/>
          <w:sz w:val="32"/>
          <w:szCs w:val="32"/>
        </w:rPr>
      </w:pPr>
      <w:r>
        <w:rPr>
          <w:rFonts w:ascii="仿宋_GB2312" w:eastAsia="仿宋_GB2312" w:hAnsi="仿宋" w:hint="eastAsia"/>
          <w:sz w:val="32"/>
          <w:szCs w:val="32"/>
        </w:rPr>
        <w:t>（二）特定资格条件</w:t>
      </w:r>
    </w:p>
    <w:p w:rsidR="000917D4" w:rsidRDefault="005837B0">
      <w:pPr>
        <w:tabs>
          <w:tab w:val="left" w:pos="1134"/>
        </w:tabs>
        <w:snapToGrid w:val="0"/>
        <w:spacing w:line="460" w:lineRule="exact"/>
        <w:ind w:left="1" w:hanging="1"/>
        <w:rPr>
          <w:rFonts w:ascii="仿宋_GB2312" w:eastAsia="仿宋_GB2312" w:hAnsi="仿宋"/>
          <w:sz w:val="32"/>
          <w:szCs w:val="32"/>
        </w:rPr>
      </w:pPr>
      <w:r>
        <w:rPr>
          <w:rFonts w:ascii="仿宋_GB2312" w:eastAsia="仿宋_GB2312" w:hAnsi="仿宋" w:hint="eastAsia"/>
          <w:sz w:val="32"/>
          <w:szCs w:val="32"/>
        </w:rPr>
        <w:t xml:space="preserve">  </w:t>
      </w:r>
      <w:r w:rsidR="0076309B">
        <w:rPr>
          <w:rFonts w:ascii="仿宋_GB2312" w:eastAsia="仿宋_GB2312" w:hAnsi="仿宋" w:hint="eastAsia"/>
          <w:sz w:val="32"/>
          <w:szCs w:val="32"/>
        </w:rPr>
        <w:t>无</w:t>
      </w:r>
    </w:p>
    <w:p w:rsidR="000917D4" w:rsidRDefault="005837B0">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（三）联合体投标</w:t>
      </w:r>
    </w:p>
    <w:p w:rsidR="000917D4" w:rsidRDefault="005837B0">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本项目不接受联合体投标</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项目技术规格、数量及质量要求</w:t>
      </w:r>
    </w:p>
    <w:p w:rsidR="000917D4" w:rsidRDefault="005837B0">
      <w:pPr>
        <w:spacing w:line="460" w:lineRule="exact"/>
        <w:ind w:left="640"/>
        <w:rPr>
          <w:rFonts w:ascii="仿宋_GB2312" w:eastAsia="仿宋_GB2312" w:hAnsi="仿宋" w:cs="Times New Roman"/>
          <w:color w:val="000000"/>
          <w:sz w:val="32"/>
          <w:szCs w:val="32"/>
        </w:rPr>
      </w:pPr>
      <w:bookmarkStart w:id="0" w:name="_Toc438456195"/>
      <w:r>
        <w:rPr>
          <w:rFonts w:ascii="仿宋_GB2312" w:eastAsia="仿宋_GB2312" w:hAnsi="仿宋" w:cs="Times New Roman" w:hint="eastAsia"/>
          <w:color w:val="000000"/>
          <w:sz w:val="32"/>
          <w:szCs w:val="32"/>
        </w:rPr>
        <w:t>（一）采购项目一览表</w:t>
      </w:r>
      <w:bookmarkEnd w:id="0"/>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564"/>
        <w:gridCol w:w="709"/>
        <w:gridCol w:w="850"/>
        <w:gridCol w:w="1276"/>
        <w:gridCol w:w="1132"/>
        <w:gridCol w:w="1807"/>
        <w:gridCol w:w="11"/>
      </w:tblGrid>
      <w:tr w:rsidR="00514F49" w:rsidTr="00514F49">
        <w:trPr>
          <w:trHeight w:val="315"/>
          <w:jc w:val="center"/>
        </w:trPr>
        <w:tc>
          <w:tcPr>
            <w:tcW w:w="735" w:type="dxa"/>
            <w:vAlign w:val="center"/>
          </w:tcPr>
          <w:p w:rsidR="00514F49" w:rsidRDefault="00514F49">
            <w:pPr>
              <w:overflowPunct w:val="0"/>
              <w:spacing w:line="500" w:lineRule="exact"/>
              <w:jc w:val="center"/>
              <w:rPr>
                <w:rFonts w:ascii="仿宋" w:eastAsia="仿宋" w:hAnsi="仿宋"/>
                <w:b/>
              </w:rPr>
            </w:pPr>
            <w:r>
              <w:rPr>
                <w:rFonts w:ascii="仿宋" w:eastAsia="仿宋" w:hAnsi="仿宋" w:hint="eastAsia"/>
                <w:b/>
              </w:rPr>
              <w:t>序号</w:t>
            </w:r>
          </w:p>
        </w:tc>
        <w:tc>
          <w:tcPr>
            <w:tcW w:w="1564" w:type="dxa"/>
            <w:vAlign w:val="center"/>
          </w:tcPr>
          <w:p w:rsidR="00514F49" w:rsidRDefault="00514F49">
            <w:pPr>
              <w:overflowPunct w:val="0"/>
              <w:spacing w:line="500" w:lineRule="exact"/>
              <w:jc w:val="center"/>
              <w:rPr>
                <w:rFonts w:ascii="仿宋" w:eastAsia="仿宋" w:hAnsi="仿宋"/>
                <w:b/>
              </w:rPr>
            </w:pPr>
            <w:r>
              <w:rPr>
                <w:rFonts w:ascii="仿宋" w:eastAsia="仿宋" w:hAnsi="仿宋" w:hint="eastAsia"/>
                <w:b/>
              </w:rPr>
              <w:t>设备名称</w:t>
            </w:r>
          </w:p>
        </w:tc>
        <w:tc>
          <w:tcPr>
            <w:tcW w:w="709" w:type="dxa"/>
            <w:vAlign w:val="center"/>
          </w:tcPr>
          <w:p w:rsidR="00514F49" w:rsidRDefault="00514F49">
            <w:pPr>
              <w:overflowPunct w:val="0"/>
              <w:spacing w:line="500" w:lineRule="exact"/>
              <w:jc w:val="center"/>
              <w:rPr>
                <w:rFonts w:ascii="仿宋" w:eastAsia="仿宋" w:hAnsi="仿宋"/>
                <w:b/>
              </w:rPr>
            </w:pPr>
            <w:r>
              <w:rPr>
                <w:rFonts w:ascii="仿宋" w:eastAsia="仿宋" w:hAnsi="仿宋" w:hint="eastAsia"/>
                <w:b/>
              </w:rPr>
              <w:t>单位</w:t>
            </w:r>
          </w:p>
        </w:tc>
        <w:tc>
          <w:tcPr>
            <w:tcW w:w="850" w:type="dxa"/>
            <w:vAlign w:val="center"/>
          </w:tcPr>
          <w:p w:rsidR="00514F49" w:rsidRDefault="00514F49">
            <w:pPr>
              <w:overflowPunct w:val="0"/>
              <w:spacing w:line="500" w:lineRule="exact"/>
              <w:jc w:val="center"/>
              <w:rPr>
                <w:rFonts w:ascii="仿宋" w:eastAsia="仿宋" w:hAnsi="仿宋"/>
                <w:b/>
              </w:rPr>
            </w:pPr>
            <w:r>
              <w:rPr>
                <w:rFonts w:ascii="仿宋" w:eastAsia="仿宋" w:hAnsi="仿宋" w:hint="eastAsia"/>
                <w:b/>
              </w:rPr>
              <w:t>数量</w:t>
            </w:r>
          </w:p>
        </w:tc>
        <w:tc>
          <w:tcPr>
            <w:tcW w:w="1276" w:type="dxa"/>
            <w:vAlign w:val="center"/>
          </w:tcPr>
          <w:p w:rsidR="00514F49" w:rsidRDefault="00514F49" w:rsidP="006F2E02">
            <w:pPr>
              <w:overflowPunct w:val="0"/>
              <w:adjustRightInd w:val="0"/>
              <w:snapToGrid w:val="0"/>
              <w:jc w:val="center"/>
              <w:rPr>
                <w:rFonts w:ascii="仿宋" w:eastAsia="仿宋" w:hAnsi="仿宋"/>
                <w:b/>
              </w:rPr>
            </w:pPr>
            <w:r>
              <w:rPr>
                <w:rFonts w:ascii="仿宋" w:eastAsia="仿宋" w:hAnsi="仿宋" w:hint="eastAsia"/>
                <w:b/>
              </w:rPr>
              <w:t>最高限单价(元)</w:t>
            </w:r>
          </w:p>
        </w:tc>
        <w:tc>
          <w:tcPr>
            <w:tcW w:w="1132" w:type="dxa"/>
            <w:vAlign w:val="center"/>
          </w:tcPr>
          <w:p w:rsidR="00514F49" w:rsidRDefault="00514F49" w:rsidP="00514F49">
            <w:pPr>
              <w:overflowPunct w:val="0"/>
              <w:spacing w:line="500" w:lineRule="exact"/>
              <w:jc w:val="center"/>
              <w:rPr>
                <w:rFonts w:ascii="仿宋" w:eastAsia="仿宋" w:hAnsi="仿宋"/>
                <w:b/>
              </w:rPr>
            </w:pPr>
            <w:r>
              <w:rPr>
                <w:rFonts w:ascii="仿宋" w:eastAsia="仿宋" w:hAnsi="仿宋" w:hint="eastAsia"/>
                <w:b/>
              </w:rPr>
              <w:t>合计(元)</w:t>
            </w:r>
          </w:p>
        </w:tc>
        <w:tc>
          <w:tcPr>
            <w:tcW w:w="1818" w:type="dxa"/>
            <w:gridSpan w:val="2"/>
            <w:vAlign w:val="center"/>
          </w:tcPr>
          <w:p w:rsidR="00514F49" w:rsidRDefault="00514F49" w:rsidP="00B9390C">
            <w:pPr>
              <w:overflowPunct w:val="0"/>
              <w:spacing w:line="500" w:lineRule="exact"/>
              <w:jc w:val="center"/>
              <w:rPr>
                <w:rFonts w:ascii="仿宋" w:eastAsia="仿宋" w:hAnsi="仿宋"/>
                <w:b/>
              </w:rPr>
            </w:pPr>
            <w:r>
              <w:rPr>
                <w:rFonts w:ascii="仿宋" w:eastAsia="仿宋" w:hAnsi="仿宋" w:hint="eastAsia"/>
                <w:b/>
              </w:rPr>
              <w:t>备注</w:t>
            </w:r>
          </w:p>
        </w:tc>
      </w:tr>
      <w:tr w:rsidR="00514F49" w:rsidTr="00514F49">
        <w:trPr>
          <w:gridAfter w:val="1"/>
          <w:wAfter w:w="11" w:type="dxa"/>
          <w:trHeight w:val="315"/>
          <w:jc w:val="center"/>
        </w:trPr>
        <w:tc>
          <w:tcPr>
            <w:tcW w:w="735" w:type="dxa"/>
            <w:vAlign w:val="center"/>
          </w:tcPr>
          <w:p w:rsidR="00514F49" w:rsidRPr="00167B4A" w:rsidRDefault="00514F49">
            <w:pPr>
              <w:overflowPunct w:val="0"/>
              <w:spacing w:line="500" w:lineRule="exact"/>
              <w:jc w:val="center"/>
              <w:rPr>
                <w:rFonts w:asciiTheme="minorEastAsia" w:hAnsiTheme="minorEastAsia"/>
                <w:szCs w:val="21"/>
              </w:rPr>
            </w:pPr>
            <w:r w:rsidRPr="00167B4A">
              <w:rPr>
                <w:rFonts w:asciiTheme="minorEastAsia" w:hAnsiTheme="minorEastAsia" w:hint="eastAsia"/>
                <w:szCs w:val="21"/>
              </w:rPr>
              <w:t>1</w:t>
            </w:r>
          </w:p>
        </w:tc>
        <w:tc>
          <w:tcPr>
            <w:tcW w:w="1564" w:type="dxa"/>
            <w:vAlign w:val="center"/>
          </w:tcPr>
          <w:p w:rsidR="00514F49" w:rsidRPr="00167B4A" w:rsidRDefault="00514F49" w:rsidP="00EF0C19">
            <w:pPr>
              <w:overflowPunct w:val="0"/>
              <w:spacing w:line="500" w:lineRule="exact"/>
              <w:ind w:firstLineChars="100" w:firstLine="210"/>
              <w:jc w:val="center"/>
              <w:rPr>
                <w:rFonts w:asciiTheme="minorEastAsia" w:hAnsiTheme="minorEastAsia"/>
                <w:szCs w:val="21"/>
              </w:rPr>
            </w:pPr>
            <w:r w:rsidRPr="00167B4A">
              <w:rPr>
                <w:rFonts w:asciiTheme="minorEastAsia" w:hAnsiTheme="minorEastAsia" w:hint="eastAsia"/>
                <w:szCs w:val="21"/>
              </w:rPr>
              <w:t>慢速手机</w:t>
            </w:r>
          </w:p>
        </w:tc>
        <w:tc>
          <w:tcPr>
            <w:tcW w:w="709" w:type="dxa"/>
            <w:vAlign w:val="center"/>
          </w:tcPr>
          <w:p w:rsidR="00514F49" w:rsidRPr="00167B4A" w:rsidRDefault="00514F49" w:rsidP="00EF0C19">
            <w:pPr>
              <w:overflowPunct w:val="0"/>
              <w:spacing w:line="500" w:lineRule="exact"/>
              <w:ind w:firstLineChars="100" w:firstLine="210"/>
              <w:rPr>
                <w:rFonts w:asciiTheme="minorEastAsia" w:hAnsiTheme="minorEastAsia"/>
                <w:szCs w:val="21"/>
              </w:rPr>
            </w:pPr>
            <w:r w:rsidRPr="00167B4A">
              <w:rPr>
                <w:rFonts w:asciiTheme="minorEastAsia" w:hAnsiTheme="minorEastAsia" w:hint="eastAsia"/>
                <w:szCs w:val="21"/>
              </w:rPr>
              <w:t>把</w:t>
            </w:r>
          </w:p>
        </w:tc>
        <w:tc>
          <w:tcPr>
            <w:tcW w:w="850" w:type="dxa"/>
            <w:vAlign w:val="center"/>
          </w:tcPr>
          <w:p w:rsidR="00514F49" w:rsidRPr="00167B4A" w:rsidRDefault="00514F49" w:rsidP="00EF0C19">
            <w:pPr>
              <w:overflowPunct w:val="0"/>
              <w:spacing w:line="500" w:lineRule="exact"/>
              <w:jc w:val="center"/>
              <w:rPr>
                <w:rFonts w:asciiTheme="minorEastAsia" w:hAnsiTheme="minorEastAsia"/>
                <w:szCs w:val="21"/>
              </w:rPr>
            </w:pPr>
            <w:r>
              <w:rPr>
                <w:rFonts w:asciiTheme="minorEastAsia" w:hAnsiTheme="minorEastAsia" w:hint="eastAsia"/>
                <w:szCs w:val="21"/>
              </w:rPr>
              <w:t>30</w:t>
            </w:r>
          </w:p>
        </w:tc>
        <w:tc>
          <w:tcPr>
            <w:tcW w:w="1276" w:type="dxa"/>
            <w:vAlign w:val="center"/>
          </w:tcPr>
          <w:p w:rsidR="00514F49" w:rsidRPr="00167B4A" w:rsidRDefault="00514F49" w:rsidP="00C921F9">
            <w:pPr>
              <w:overflowPunct w:val="0"/>
              <w:spacing w:line="500" w:lineRule="exact"/>
              <w:jc w:val="center"/>
              <w:rPr>
                <w:rFonts w:asciiTheme="minorEastAsia" w:hAnsiTheme="minorEastAsia"/>
                <w:szCs w:val="21"/>
              </w:rPr>
            </w:pPr>
            <w:r>
              <w:rPr>
                <w:rFonts w:asciiTheme="minorEastAsia" w:hAnsiTheme="minorEastAsia" w:hint="eastAsia"/>
                <w:szCs w:val="21"/>
              </w:rPr>
              <w:t>700</w:t>
            </w:r>
          </w:p>
        </w:tc>
        <w:tc>
          <w:tcPr>
            <w:tcW w:w="1132" w:type="dxa"/>
            <w:vAlign w:val="center"/>
          </w:tcPr>
          <w:p w:rsidR="00514F49" w:rsidRPr="00167B4A" w:rsidRDefault="00514F49" w:rsidP="00514F49">
            <w:pPr>
              <w:overflowPunct w:val="0"/>
              <w:spacing w:line="500" w:lineRule="exact"/>
              <w:jc w:val="center"/>
              <w:rPr>
                <w:rFonts w:asciiTheme="minorEastAsia" w:hAnsiTheme="minorEastAsia"/>
                <w:szCs w:val="21"/>
              </w:rPr>
            </w:pPr>
            <w:r>
              <w:rPr>
                <w:rFonts w:asciiTheme="minorEastAsia" w:hAnsiTheme="minorEastAsia" w:hint="eastAsia"/>
                <w:szCs w:val="21"/>
              </w:rPr>
              <w:t>21000</w:t>
            </w:r>
          </w:p>
        </w:tc>
        <w:tc>
          <w:tcPr>
            <w:tcW w:w="1807" w:type="dxa"/>
            <w:vAlign w:val="center"/>
          </w:tcPr>
          <w:p w:rsidR="00514F49" w:rsidRPr="00167B4A" w:rsidRDefault="00514F49" w:rsidP="00EF0C19">
            <w:pPr>
              <w:overflowPunct w:val="0"/>
              <w:spacing w:line="500" w:lineRule="exact"/>
              <w:jc w:val="center"/>
              <w:rPr>
                <w:rFonts w:asciiTheme="minorEastAsia" w:hAnsiTheme="minorEastAsia"/>
                <w:szCs w:val="21"/>
              </w:rPr>
            </w:pPr>
            <w:r w:rsidRPr="00167B4A">
              <w:rPr>
                <w:rFonts w:asciiTheme="minorEastAsia" w:hAnsiTheme="minorEastAsia" w:hint="eastAsia"/>
                <w:szCs w:val="21"/>
              </w:rPr>
              <w:t>面向中小微企业</w:t>
            </w:r>
          </w:p>
        </w:tc>
      </w:tr>
    </w:tbl>
    <w:p w:rsidR="000917D4" w:rsidRPr="00B66210" w:rsidRDefault="005837B0" w:rsidP="00B66210">
      <w:pPr>
        <w:pStyle w:val="a8"/>
        <w:numPr>
          <w:ilvl w:val="0"/>
          <w:numId w:val="7"/>
        </w:numPr>
        <w:spacing w:line="460" w:lineRule="exact"/>
        <w:ind w:firstLineChars="0"/>
        <w:rPr>
          <w:rFonts w:ascii="仿宋_GB2312" w:eastAsia="仿宋_GB2312" w:hAnsi="仿宋" w:cs="Times New Roman"/>
          <w:color w:val="000000"/>
          <w:sz w:val="32"/>
          <w:szCs w:val="32"/>
        </w:rPr>
      </w:pPr>
      <w:r w:rsidRPr="00B66210">
        <w:rPr>
          <w:rFonts w:ascii="仿宋_GB2312" w:eastAsia="仿宋_GB2312" w:hAnsi="仿宋" w:cs="Times New Roman" w:hint="eastAsia"/>
          <w:color w:val="000000"/>
          <w:sz w:val="32"/>
          <w:szCs w:val="32"/>
        </w:rPr>
        <w:t>是否接受进口产品投标</w:t>
      </w:r>
    </w:p>
    <w:p w:rsidR="00B66210" w:rsidRPr="00B66210" w:rsidRDefault="00B66210" w:rsidP="00B66210">
      <w:pPr>
        <w:pStyle w:val="a8"/>
        <w:spacing w:line="460" w:lineRule="exact"/>
        <w:ind w:left="1585" w:firstLineChars="0" w:firstLine="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否</w:t>
      </w:r>
    </w:p>
    <w:p w:rsidR="000917D4" w:rsidRPr="006D39EE" w:rsidRDefault="005837B0" w:rsidP="006D39EE">
      <w:pPr>
        <w:pStyle w:val="a8"/>
        <w:numPr>
          <w:ilvl w:val="0"/>
          <w:numId w:val="7"/>
        </w:numPr>
        <w:spacing w:line="460" w:lineRule="exact"/>
        <w:ind w:firstLineChars="0"/>
        <w:rPr>
          <w:rFonts w:ascii="仿宋_GB2312" w:eastAsia="仿宋_GB2312" w:hAnsi="仿宋" w:cs="Times New Roman"/>
          <w:color w:val="000000"/>
          <w:sz w:val="32"/>
          <w:szCs w:val="32"/>
        </w:rPr>
      </w:pPr>
      <w:r w:rsidRPr="006D39EE">
        <w:rPr>
          <w:rFonts w:ascii="仿宋_GB2312" w:eastAsia="仿宋_GB2312" w:hAnsi="仿宋" w:cs="Times New Roman" w:hint="eastAsia"/>
          <w:color w:val="000000"/>
          <w:sz w:val="32"/>
          <w:szCs w:val="32"/>
        </w:rPr>
        <w:t>项目基本情况和采购标的需实现的功能或目标</w:t>
      </w:r>
    </w:p>
    <w:p w:rsidR="00B66210" w:rsidRDefault="00B66210" w:rsidP="00C921F9">
      <w:pPr>
        <w:ind w:firstLineChars="200" w:firstLine="560"/>
      </w:pPr>
      <w:r>
        <w:rPr>
          <w:rFonts w:ascii="仿宋" w:eastAsia="仿宋" w:hAnsi="仿宋"/>
          <w:sz w:val="28"/>
          <w:szCs w:val="28"/>
        </w:rPr>
        <w:lastRenderedPageBreak/>
        <w:t>为降低儿童</w:t>
      </w:r>
      <w:r>
        <w:rPr>
          <w:rFonts w:ascii="仿宋" w:eastAsia="仿宋" w:hAnsi="仿宋" w:hint="eastAsia"/>
          <w:sz w:val="28"/>
          <w:szCs w:val="28"/>
        </w:rPr>
        <w:t>乳、恒牙患病率，改善儿童口腔健康状况，</w:t>
      </w:r>
      <w:r>
        <w:rPr>
          <w:rFonts w:ascii="仿宋" w:eastAsia="仿宋" w:hAnsi="仿宋"/>
          <w:sz w:val="28"/>
          <w:szCs w:val="28"/>
        </w:rPr>
        <w:t>中央财政安排专项经费，在</w:t>
      </w:r>
      <w:r>
        <w:rPr>
          <w:rFonts w:ascii="仿宋" w:eastAsia="仿宋" w:hAnsi="仿宋" w:hint="eastAsia"/>
          <w:sz w:val="28"/>
          <w:szCs w:val="28"/>
        </w:rPr>
        <w:t>自治区</w:t>
      </w:r>
      <w:r>
        <w:rPr>
          <w:rFonts w:ascii="仿宋" w:eastAsia="仿宋" w:hAnsi="仿宋"/>
          <w:sz w:val="28"/>
          <w:szCs w:val="28"/>
        </w:rPr>
        <w:t>开展儿童口腔疾病综合干预项目，</w:t>
      </w:r>
      <w:r>
        <w:rPr>
          <w:rFonts w:ascii="仿宋" w:eastAsia="仿宋" w:hAnsi="仿宋" w:hint="eastAsia"/>
          <w:sz w:val="28"/>
          <w:szCs w:val="28"/>
        </w:rPr>
        <w:t>今年我市克拉玛依区、独山子区、白碱滩区新纳入该项目组，并分别由克拉玛依市中西医结合医院、市独山子人民医院、克拉玛依市第二人民医院</w:t>
      </w:r>
      <w:r>
        <w:rPr>
          <w:rFonts w:ascii="仿宋" w:eastAsia="仿宋" w:hAnsi="仿宋"/>
          <w:sz w:val="28"/>
          <w:szCs w:val="28"/>
        </w:rPr>
        <w:t>承担口腔健康教育、口腔健康检查、窝沟封闭工作</w:t>
      </w:r>
      <w:r>
        <w:rPr>
          <w:rFonts w:ascii="仿宋" w:eastAsia="仿宋" w:hAnsi="仿宋" w:hint="eastAsia"/>
          <w:sz w:val="28"/>
          <w:szCs w:val="28"/>
        </w:rPr>
        <w:t>。前期已申请部分设备及耗材（已用经费约3.84万元），部分耗材基本用完，按院感要求每台治疗椅配低速手机≧2把，我科每人每天</w:t>
      </w:r>
      <w:r>
        <w:rPr>
          <w:rFonts w:ascii="仿宋" w:eastAsia="仿宋" w:hAnsi="仿宋"/>
          <w:sz w:val="28"/>
          <w:szCs w:val="28"/>
        </w:rPr>
        <w:t>为</w:t>
      </w:r>
      <w:r>
        <w:rPr>
          <w:rFonts w:ascii="仿宋" w:eastAsia="仿宋" w:hAnsi="仿宋" w:hint="eastAsia"/>
          <w:sz w:val="28"/>
          <w:szCs w:val="28"/>
        </w:rPr>
        <w:t>至少4名~12名学生进行窝沟封闭，所以每台治疗椅配低速手机需有4把。为</w:t>
      </w:r>
      <w:r>
        <w:rPr>
          <w:rFonts w:ascii="仿宋" w:eastAsia="仿宋" w:hAnsi="仿宋"/>
          <w:sz w:val="28"/>
          <w:szCs w:val="28"/>
        </w:rPr>
        <w:t>确保项目任务如期保质保量完成，</w:t>
      </w:r>
      <w:r>
        <w:rPr>
          <w:rFonts w:ascii="仿宋" w:eastAsia="仿宋" w:hAnsi="仿宋" w:hint="eastAsia"/>
          <w:sz w:val="28"/>
          <w:szCs w:val="28"/>
        </w:rPr>
        <w:t>我科</w:t>
      </w:r>
      <w:r>
        <w:rPr>
          <w:rFonts w:ascii="仿宋" w:eastAsia="仿宋" w:hAnsi="仿宋"/>
          <w:sz w:val="28"/>
          <w:szCs w:val="28"/>
        </w:rPr>
        <w:t>现</w:t>
      </w:r>
      <w:r>
        <w:rPr>
          <w:rFonts w:ascii="仿宋" w:eastAsia="仿宋" w:hAnsi="仿宋" w:hint="eastAsia"/>
          <w:sz w:val="28"/>
          <w:szCs w:val="28"/>
        </w:rPr>
        <w:t>申请</w:t>
      </w:r>
      <w:r w:rsidRPr="00B66210">
        <w:rPr>
          <w:rFonts w:ascii="仿宋" w:eastAsia="仿宋" w:hAnsi="仿宋" w:hint="eastAsia"/>
          <w:sz w:val="28"/>
          <w:szCs w:val="28"/>
        </w:rPr>
        <w:t>慢速手机30把</w:t>
      </w:r>
      <w:r>
        <w:rPr>
          <w:rFonts w:ascii="仿宋" w:eastAsia="仿宋" w:hAnsi="仿宋" w:hint="eastAsia"/>
          <w:sz w:val="28"/>
          <w:szCs w:val="28"/>
        </w:rPr>
        <w:t>。</w:t>
      </w:r>
    </w:p>
    <w:p w:rsidR="000917D4" w:rsidRDefault="005837B0" w:rsidP="008A5583">
      <w:pPr>
        <w:pStyle w:val="a8"/>
        <w:numPr>
          <w:ilvl w:val="0"/>
          <w:numId w:val="7"/>
        </w:numPr>
        <w:spacing w:line="460" w:lineRule="exact"/>
        <w:ind w:firstLineChars="0"/>
        <w:rPr>
          <w:rFonts w:ascii="仿宋_GB2312" w:eastAsia="仿宋_GB2312" w:hAnsi="仿宋" w:cs="Times New Roman"/>
          <w:sz w:val="32"/>
          <w:szCs w:val="32"/>
        </w:rPr>
      </w:pPr>
      <w:r w:rsidRPr="008A5583">
        <w:rPr>
          <w:rFonts w:ascii="仿宋_GB2312" w:eastAsia="仿宋_GB2312" w:hAnsi="仿宋" w:cs="Times New Roman" w:hint="eastAsia"/>
          <w:sz w:val="32"/>
          <w:szCs w:val="32"/>
        </w:rPr>
        <w:t>货物技术及服务标准</w:t>
      </w:r>
    </w:p>
    <w:p w:rsidR="00447B71" w:rsidRPr="00447B71" w:rsidRDefault="00447B71" w:rsidP="00447B71">
      <w:pPr>
        <w:tabs>
          <w:tab w:val="left" w:pos="1134"/>
        </w:tabs>
        <w:spacing w:line="460" w:lineRule="exact"/>
        <w:ind w:left="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w:t>
      </w:r>
      <w:r w:rsidRPr="00447B71">
        <w:rPr>
          <w:rFonts w:ascii="仿宋_GB2312" w:eastAsia="仿宋_GB2312" w:hAnsi="仿宋" w:cs="Times New Roman" w:hint="eastAsia"/>
          <w:color w:val="000000"/>
          <w:sz w:val="32"/>
          <w:szCs w:val="32"/>
        </w:rPr>
        <w:t>必须满足的技术及服务标准</w:t>
      </w:r>
    </w:p>
    <w:p w:rsidR="00447B71" w:rsidRPr="003F55D9" w:rsidRDefault="00B66210" w:rsidP="00447B71">
      <w:pPr>
        <w:numPr>
          <w:ilvl w:val="0"/>
          <w:numId w:val="9"/>
        </w:numPr>
        <w:spacing w:line="360" w:lineRule="auto"/>
        <w:rPr>
          <w:rFonts w:ascii="宋体" w:eastAsia="宋体" w:hAnsi="宋体" w:cs="宋体"/>
          <w:sz w:val="24"/>
          <w:szCs w:val="32"/>
        </w:rPr>
      </w:pPr>
      <w:r>
        <w:rPr>
          <w:rFonts w:ascii="宋体" w:eastAsia="宋体" w:hAnsi="宋体" w:cs="宋体" w:hint="eastAsia"/>
          <w:sz w:val="24"/>
          <w:szCs w:val="32"/>
        </w:rPr>
        <w:t>弯型，</w:t>
      </w:r>
      <w:r w:rsidR="00447B71" w:rsidRPr="003F55D9">
        <w:rPr>
          <w:rFonts w:ascii="宋体" w:eastAsia="宋体" w:hAnsi="宋体" w:cs="宋体" w:hint="eastAsia"/>
          <w:sz w:val="24"/>
          <w:szCs w:val="32"/>
        </w:rPr>
        <w:t>一体化机身，不锈钢壳体经防滑耐磨处理，不锈钢轴承，内喷水式；</w:t>
      </w:r>
    </w:p>
    <w:p w:rsidR="00447B71" w:rsidRPr="003F55D9" w:rsidRDefault="00447B71" w:rsidP="00447B71">
      <w:pPr>
        <w:numPr>
          <w:ilvl w:val="0"/>
          <w:numId w:val="9"/>
        </w:numPr>
        <w:spacing w:line="360" w:lineRule="auto"/>
        <w:rPr>
          <w:rFonts w:ascii="宋体" w:eastAsia="宋体" w:hAnsi="宋体" w:cs="宋体"/>
          <w:sz w:val="24"/>
          <w:szCs w:val="32"/>
        </w:rPr>
      </w:pPr>
      <w:r w:rsidRPr="003F55D9">
        <w:rPr>
          <w:rFonts w:ascii="宋体" w:eastAsia="宋体" w:hAnsi="宋体" w:cs="宋体" w:hint="eastAsia"/>
          <w:sz w:val="24"/>
          <w:szCs w:val="32"/>
        </w:rPr>
        <w:t>转速：30000</w:t>
      </w:r>
      <w:r w:rsidRPr="003F55D9">
        <w:rPr>
          <w:rFonts w:ascii="宋体" w:eastAsia="宋体" w:hAnsi="宋体" w:cs="宋体"/>
          <w:sz w:val="24"/>
          <w:szCs w:val="32"/>
        </w:rPr>
        <w:t xml:space="preserve"> r/min</w:t>
      </w:r>
      <w:r w:rsidRPr="003F55D9">
        <w:rPr>
          <w:rFonts w:ascii="宋体" w:eastAsia="宋体" w:hAnsi="宋体" w:cs="宋体" w:hint="eastAsia"/>
          <w:sz w:val="24"/>
          <w:szCs w:val="32"/>
        </w:rPr>
        <w:t>±10%；</w:t>
      </w:r>
    </w:p>
    <w:p w:rsidR="00447B71" w:rsidRPr="003F55D9" w:rsidRDefault="00447B71" w:rsidP="00447B71">
      <w:pPr>
        <w:numPr>
          <w:ilvl w:val="0"/>
          <w:numId w:val="9"/>
        </w:numPr>
        <w:spacing w:line="360" w:lineRule="auto"/>
        <w:rPr>
          <w:rFonts w:ascii="宋体" w:eastAsia="宋体" w:hAnsi="宋体" w:cs="宋体"/>
          <w:sz w:val="24"/>
          <w:szCs w:val="32"/>
        </w:rPr>
      </w:pPr>
      <w:r w:rsidRPr="003F55D9">
        <w:rPr>
          <w:rFonts w:ascii="宋体" w:eastAsia="宋体" w:hAnsi="宋体" w:cs="宋体" w:hint="eastAsia"/>
          <w:sz w:val="24"/>
          <w:szCs w:val="32"/>
        </w:rPr>
        <w:t>齿轮比：1:1 等速；</w:t>
      </w:r>
    </w:p>
    <w:p w:rsidR="00447B71" w:rsidRPr="003F55D9" w:rsidRDefault="00447B71" w:rsidP="00447B71">
      <w:pPr>
        <w:numPr>
          <w:ilvl w:val="0"/>
          <w:numId w:val="9"/>
        </w:numPr>
        <w:spacing w:line="360" w:lineRule="auto"/>
        <w:rPr>
          <w:rFonts w:ascii="宋体" w:eastAsia="宋体" w:hAnsi="宋体" w:cs="宋体"/>
          <w:sz w:val="24"/>
          <w:szCs w:val="32"/>
        </w:rPr>
      </w:pPr>
      <w:r w:rsidRPr="003F55D9">
        <w:rPr>
          <w:rFonts w:ascii="宋体" w:eastAsia="宋体" w:hAnsi="宋体" w:cs="宋体" w:hint="eastAsia"/>
          <w:sz w:val="24"/>
          <w:szCs w:val="32"/>
        </w:rPr>
        <w:t>按压式换取车针；</w:t>
      </w:r>
    </w:p>
    <w:p w:rsidR="00447B71" w:rsidRPr="003F55D9" w:rsidRDefault="00447B71" w:rsidP="00447B71">
      <w:pPr>
        <w:pStyle w:val="a8"/>
        <w:numPr>
          <w:ilvl w:val="0"/>
          <w:numId w:val="9"/>
        </w:numPr>
        <w:spacing w:line="360" w:lineRule="auto"/>
        <w:ind w:firstLineChars="0"/>
        <w:rPr>
          <w:rFonts w:asciiTheme="majorEastAsia" w:eastAsiaTheme="majorEastAsia" w:hAnsiTheme="majorEastAsia" w:cs="Arial"/>
          <w:color w:val="000000" w:themeColor="text1"/>
          <w:sz w:val="24"/>
          <w:szCs w:val="24"/>
          <w:shd w:val="clear" w:color="auto" w:fill="FFFFFF"/>
        </w:rPr>
      </w:pPr>
      <w:r w:rsidRPr="003F55D9">
        <w:rPr>
          <w:rFonts w:asciiTheme="majorEastAsia" w:eastAsiaTheme="majorEastAsia" w:hAnsiTheme="majorEastAsia" w:cs="Arial" w:hint="eastAsia"/>
          <w:color w:val="000000" w:themeColor="text1"/>
          <w:sz w:val="24"/>
          <w:szCs w:val="24"/>
          <w:shd w:val="clear" w:color="auto" w:fill="FFFFFF"/>
        </w:rPr>
        <w:t>可高温高压消毒；</w:t>
      </w:r>
    </w:p>
    <w:p w:rsidR="000917D4" w:rsidRDefault="005837B0">
      <w:pPr>
        <w:snapToGrid w:val="0"/>
        <w:spacing w:line="460" w:lineRule="exact"/>
        <w:ind w:firstLineChars="250" w:firstLine="800"/>
        <w:rPr>
          <w:rFonts w:ascii="仿宋_GB2312" w:eastAsia="仿宋_GB2312" w:hAnsi="仿宋" w:cs="Times New Roman"/>
          <w:color w:val="000000"/>
          <w:sz w:val="32"/>
          <w:szCs w:val="32"/>
        </w:rPr>
      </w:pPr>
      <w:r>
        <w:rPr>
          <w:rFonts w:ascii="仿宋_GB2312" w:eastAsia="仿宋_GB2312" w:hAnsi="仿宋" w:cs="宋体" w:hint="eastAsia"/>
          <w:kern w:val="0"/>
          <w:sz w:val="32"/>
          <w:szCs w:val="32"/>
        </w:rPr>
        <w:t>2、一般性</w:t>
      </w:r>
      <w:r>
        <w:rPr>
          <w:rFonts w:ascii="仿宋_GB2312" w:eastAsia="仿宋_GB2312" w:hAnsi="仿宋" w:cs="Times New Roman" w:hint="eastAsia"/>
          <w:color w:val="000000"/>
          <w:sz w:val="32"/>
          <w:szCs w:val="32"/>
        </w:rPr>
        <w:t>技术及服务标准</w:t>
      </w:r>
    </w:p>
    <w:p w:rsidR="000917D4" w:rsidRDefault="005837B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Times New Roman" w:hint="eastAsia"/>
          <w:color w:val="000000"/>
          <w:sz w:val="32"/>
          <w:szCs w:val="32"/>
        </w:rPr>
        <w:t>无</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交货期</w:t>
      </w:r>
    </w:p>
    <w:p w:rsidR="000917D4" w:rsidRDefault="005837B0" w:rsidP="003D5396">
      <w:pPr>
        <w:spacing w:line="4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中标人应在采购合同签订后</w:t>
      </w:r>
      <w:r w:rsidR="00E31BA3">
        <w:rPr>
          <w:rFonts w:ascii="仿宋_GB2312" w:eastAsia="仿宋_GB2312" w:hAnsi="仿宋" w:cs="Times New Roman" w:hint="eastAsia"/>
          <w:color w:val="000000"/>
          <w:sz w:val="32"/>
          <w:szCs w:val="32"/>
        </w:rPr>
        <w:t>5</w:t>
      </w:r>
      <w:r w:rsidR="003D5396">
        <w:rPr>
          <w:rFonts w:ascii="仿宋_GB2312" w:eastAsia="仿宋_GB2312" w:hAnsi="仿宋" w:cs="Times New Roman" w:hint="eastAsia"/>
          <w:color w:val="000000"/>
          <w:sz w:val="32"/>
          <w:szCs w:val="32"/>
        </w:rPr>
        <w:t>个工作</w:t>
      </w:r>
      <w:r>
        <w:rPr>
          <w:rFonts w:ascii="仿宋_GB2312" w:eastAsia="仿宋_GB2312" w:hAnsi="仿宋" w:cs="Times New Roman" w:hint="eastAsia"/>
          <w:color w:val="000000"/>
          <w:sz w:val="32"/>
          <w:szCs w:val="32"/>
        </w:rPr>
        <w:t>日内交货并完成安装调试。</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交货地点</w:t>
      </w:r>
    </w:p>
    <w:p w:rsidR="000917D4" w:rsidRPr="006D39EE" w:rsidRDefault="005837B0">
      <w:pPr>
        <w:spacing w:line="460" w:lineRule="exact"/>
        <w:ind w:left="640"/>
        <w:rPr>
          <w:rFonts w:ascii="仿宋_GB2312" w:eastAsia="仿宋_GB2312" w:hAnsi="仿宋" w:cs="Times New Roman"/>
          <w:color w:val="000000"/>
          <w:sz w:val="32"/>
          <w:szCs w:val="32"/>
        </w:rPr>
      </w:pPr>
      <w:r w:rsidRPr="006D39EE">
        <w:rPr>
          <w:rFonts w:ascii="仿宋_GB2312" w:eastAsia="仿宋_GB2312" w:hAnsi="仿宋" w:cs="Times New Roman" w:hint="eastAsia"/>
          <w:color w:val="000000"/>
          <w:sz w:val="32"/>
          <w:szCs w:val="32"/>
        </w:rPr>
        <w:t>克拉玛依市独山子人民医院</w:t>
      </w:r>
      <w:r w:rsidR="006D39EE">
        <w:rPr>
          <w:rFonts w:ascii="仿宋_GB2312" w:eastAsia="仿宋_GB2312" w:hAnsi="仿宋" w:cs="Times New Roman" w:hint="eastAsia"/>
          <w:color w:val="000000"/>
          <w:sz w:val="32"/>
          <w:szCs w:val="32"/>
        </w:rPr>
        <w:t>口腔科</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验收方式</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1、货物到达现场后，中标人应在使用单位人员在场情况下当面开箱，共同清点、检查外观，作出开箱记录，双方签字确认。</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lastRenderedPageBreak/>
        <w:t>2、中标人应保证货物到达采购人所在地完好无损，如有缺漏、损坏，由供应商负责调换、补齐或赔偿。</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w:t>
      </w:r>
      <w:r w:rsidR="00C9372C">
        <w:rPr>
          <w:rFonts w:ascii="仿宋_GB2312" w:eastAsia="仿宋_GB2312" w:hAnsi="仿宋" w:cs="Times New Roman" w:hint="eastAsia"/>
          <w:color w:val="000000"/>
          <w:sz w:val="32"/>
          <w:szCs w:val="32"/>
        </w:rPr>
        <w:t>、中标人应提供完备的技术资料、装箱单和合格证等</w:t>
      </w:r>
      <w:r>
        <w:rPr>
          <w:rFonts w:ascii="仿宋_GB2312" w:eastAsia="仿宋_GB2312" w:hAnsi="仿宋" w:cs="Times New Roman" w:hint="eastAsia"/>
          <w:color w:val="000000"/>
          <w:sz w:val="32"/>
          <w:szCs w:val="32"/>
        </w:rPr>
        <w:t>。验收合格条件如下：</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3.1货物技术参数与采购合同一致，性能指标达到规定的标准。</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3.2货物技术资料、装箱单、合格证等资料齐全。</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3.3在系统试运行期间所出现的问题得到解决，并运行正常。</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3.4在规定时间内交货和验收，并经采购人确认。</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4、产品在安装调试并试运行符合要求后，才作为最终验收。</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5、供应商提供的货物未达到采购文件规定要求，且对采购人造成损失的，由供应商承担一切责任，并赔偿所造成的损失。</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6、采购人需要制造商对中标人交付的产品（包括质量、技术参数等）进行确认的，制造商应予以配合，并出具书面意见。</w:t>
      </w:r>
    </w:p>
    <w:p w:rsidR="00EC41DF" w:rsidRDefault="005837B0" w:rsidP="00EC41DF">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8、产品包装材料归采购人所有。</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产品质量保证期</w:t>
      </w:r>
    </w:p>
    <w:p w:rsidR="00C9372C" w:rsidRPr="003E6BA6" w:rsidRDefault="005837B0" w:rsidP="00C9372C">
      <w:pPr>
        <w:tabs>
          <w:tab w:val="left" w:pos="1134"/>
        </w:tabs>
        <w:snapToGrid w:val="0"/>
        <w:spacing w:line="460" w:lineRule="exact"/>
        <w:ind w:firstLineChars="250" w:firstLine="800"/>
        <w:jc w:val="left"/>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1、投标产品质量保证期</w:t>
      </w:r>
      <w:r w:rsidR="00167B4A">
        <w:rPr>
          <w:rFonts w:ascii="仿宋_GB2312" w:eastAsia="仿宋_GB2312" w:hAnsi="仿宋" w:cs="Times New Roman" w:hint="eastAsia"/>
          <w:color w:val="000000"/>
          <w:sz w:val="32"/>
          <w:szCs w:val="32"/>
        </w:rPr>
        <w:t>：质保12个月；</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售后服务内容</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1、投标人和制造商在质量保证期内应当为采购人提供以下技术支持和服务：</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电话咨询</w:t>
      </w:r>
      <w:r w:rsidR="00FE2606">
        <w:rPr>
          <w:rFonts w:ascii="仿宋_GB2312" w:eastAsia="仿宋_GB2312" w:hAnsi="仿宋" w:cs="Times New Roman" w:hint="eastAsia"/>
          <w:color w:val="000000"/>
          <w:sz w:val="32"/>
          <w:szCs w:val="32"/>
        </w:rPr>
        <w:t>和</w:t>
      </w:r>
      <w:r>
        <w:rPr>
          <w:rFonts w:ascii="仿宋_GB2312" w:eastAsia="仿宋_GB2312" w:hAnsi="仿宋" w:cs="Times New Roman" w:hint="eastAsia"/>
          <w:color w:val="000000"/>
          <w:sz w:val="32"/>
          <w:szCs w:val="32"/>
        </w:rPr>
        <w:t>现场响应</w:t>
      </w:r>
      <w:r w:rsidR="009D7B28">
        <w:rPr>
          <w:rFonts w:ascii="仿宋_GB2312" w:eastAsia="仿宋_GB2312" w:hAnsi="仿宋" w:cs="Times New Roman" w:hint="eastAsia"/>
          <w:color w:val="000000"/>
          <w:sz w:val="32"/>
          <w:szCs w:val="32"/>
        </w:rPr>
        <w:t>，</w:t>
      </w:r>
      <w:r>
        <w:rPr>
          <w:rFonts w:ascii="仿宋_GB2312" w:eastAsia="仿宋_GB2312" w:hAnsi="仿宋" w:cs="Times New Roman" w:hint="eastAsia"/>
          <w:color w:val="000000"/>
          <w:sz w:val="32"/>
          <w:szCs w:val="32"/>
        </w:rPr>
        <w:t>采购人遇到使用及技术问题，电话咨询不能解决的，中标人和制造商应在4小时内到达现场进行处理，确保产品正常工作。</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2、质保期外服务要求</w:t>
      </w:r>
    </w:p>
    <w:p w:rsidR="000917D4" w:rsidRDefault="005837B0" w:rsidP="00C9372C">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质量保证期过后，供应商和制造商应同样提供免费电话咨询服务。采购人需要继续由原供应商和制造商提供售后服</w:t>
      </w:r>
      <w:r>
        <w:rPr>
          <w:rFonts w:ascii="仿宋_GB2312" w:eastAsia="仿宋_GB2312" w:hAnsi="仿宋" w:cs="Times New Roman" w:hint="eastAsia"/>
          <w:color w:val="000000"/>
          <w:sz w:val="32"/>
          <w:szCs w:val="32"/>
        </w:rPr>
        <w:lastRenderedPageBreak/>
        <w:t>务的，该供应商和制造商应以优惠价格提供售后服务。</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付款方式</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（一）中标人按采购合同交货，完成安装调试，经验收合格后，采购人向中标人支付合同总价</w:t>
      </w:r>
      <w:r w:rsidR="00167B4A">
        <w:rPr>
          <w:rFonts w:ascii="仿宋_GB2312" w:eastAsia="仿宋_GB2312" w:hAnsi="仿宋" w:cs="Times New Roman" w:hint="eastAsia"/>
          <w:color w:val="000000"/>
          <w:sz w:val="32"/>
          <w:szCs w:val="32"/>
        </w:rPr>
        <w:t>100</w:t>
      </w:r>
      <w:r>
        <w:rPr>
          <w:rFonts w:ascii="仿宋_GB2312" w:eastAsia="仿宋_GB2312" w:hAnsi="仿宋" w:cs="Times New Roman" w:hint="eastAsia"/>
          <w:color w:val="000000"/>
          <w:sz w:val="32"/>
          <w:szCs w:val="32"/>
        </w:rPr>
        <w:t>%的货款。</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（二）中标人提交采购合同、发票等材料，向采购人申请付款。</w:t>
      </w:r>
    </w:p>
    <w:p w:rsidR="000917D4" w:rsidRDefault="005837B0">
      <w:pPr>
        <w:spacing w:line="460" w:lineRule="exact"/>
        <w:ind w:firstLineChars="177" w:firstLine="566"/>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（三）采购人对中标人提交的付款资料审核通过后，以转账方式向中标人付款。</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履约保证金</w:t>
      </w:r>
    </w:p>
    <w:p w:rsidR="000917D4" w:rsidRDefault="005837B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不收取履约保证</w:t>
      </w:r>
    </w:p>
    <w:p w:rsidR="000917D4" w:rsidRDefault="005837B0">
      <w:pPr>
        <w:pStyle w:val="a8"/>
        <w:numPr>
          <w:ilvl w:val="0"/>
          <w:numId w:val="1"/>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培训</w:t>
      </w:r>
    </w:p>
    <w:p w:rsidR="0074211D" w:rsidRPr="0074211D" w:rsidRDefault="0074211D" w:rsidP="0074211D">
      <w:pPr>
        <w:snapToGrid w:val="0"/>
        <w:spacing w:line="460" w:lineRule="exact"/>
        <w:ind w:firstLineChars="250" w:firstLine="800"/>
        <w:rPr>
          <w:rFonts w:ascii="仿宋_GB2312" w:eastAsia="仿宋_GB2312" w:hAnsi="仿宋" w:cs="宋体"/>
          <w:kern w:val="0"/>
          <w:sz w:val="32"/>
          <w:szCs w:val="32"/>
        </w:rPr>
      </w:pPr>
      <w:r w:rsidRPr="0074211D">
        <w:rPr>
          <w:rFonts w:ascii="仿宋_GB2312" w:eastAsia="仿宋_GB2312" w:hAnsi="仿宋" w:cs="宋体" w:hint="eastAsia"/>
          <w:kern w:val="0"/>
          <w:sz w:val="32"/>
          <w:szCs w:val="32"/>
        </w:rPr>
        <w:t>现场培训</w:t>
      </w:r>
      <w:r>
        <w:rPr>
          <w:rFonts w:ascii="仿宋_GB2312" w:eastAsia="仿宋_GB2312" w:hAnsi="仿宋" w:cs="宋体" w:hint="eastAsia"/>
          <w:kern w:val="0"/>
          <w:sz w:val="32"/>
          <w:szCs w:val="32"/>
        </w:rPr>
        <w:t>，</w:t>
      </w:r>
      <w:r w:rsidRPr="0074211D">
        <w:rPr>
          <w:rFonts w:ascii="仿宋_GB2312" w:eastAsia="仿宋_GB2312" w:hAnsi="仿宋" w:cs="宋体" w:hint="eastAsia"/>
          <w:kern w:val="0"/>
          <w:sz w:val="32"/>
          <w:szCs w:val="32"/>
        </w:rPr>
        <w:t>直到</w:t>
      </w:r>
      <w:r>
        <w:rPr>
          <w:rFonts w:ascii="仿宋_GB2312" w:eastAsia="仿宋_GB2312" w:hAnsi="仿宋" w:cs="宋体" w:hint="eastAsia"/>
          <w:kern w:val="0"/>
          <w:sz w:val="32"/>
          <w:szCs w:val="32"/>
        </w:rPr>
        <w:t>采购人</w:t>
      </w:r>
      <w:r w:rsidRPr="0074211D">
        <w:rPr>
          <w:rFonts w:ascii="仿宋_GB2312" w:eastAsia="仿宋_GB2312" w:hAnsi="仿宋" w:cs="宋体" w:hint="eastAsia"/>
          <w:kern w:val="0"/>
          <w:sz w:val="32"/>
          <w:szCs w:val="32"/>
        </w:rPr>
        <w:t>的技术人员能够独立熟练掌握。</w:t>
      </w:r>
    </w:p>
    <w:p w:rsidR="000917D4" w:rsidRDefault="0074211D" w:rsidP="007B05DE">
      <w:pPr>
        <w:spacing w:line="500" w:lineRule="exact"/>
        <w:ind w:firstLineChars="196" w:firstLine="628"/>
        <w:rPr>
          <w:rFonts w:ascii="仿宋_GB2312" w:eastAsia="仿宋_GB2312" w:hAnsi="仿宋" w:cs="Times New Roman"/>
          <w:b/>
          <w:sz w:val="32"/>
          <w:szCs w:val="32"/>
        </w:rPr>
      </w:pPr>
      <w:r w:rsidRPr="0074211D">
        <w:rPr>
          <w:rFonts w:ascii="仿宋_GB2312" w:eastAsia="仿宋_GB2312" w:hAnsi="仿宋" w:cs="Times New Roman" w:hint="eastAsia"/>
          <w:b/>
          <w:sz w:val="32"/>
          <w:szCs w:val="32"/>
        </w:rPr>
        <w:t>十一、</w:t>
      </w:r>
      <w:r w:rsidR="005837B0">
        <w:rPr>
          <w:rFonts w:ascii="仿宋_GB2312" w:eastAsia="仿宋_GB2312" w:hAnsi="仿宋" w:cs="Times New Roman" w:hint="eastAsia"/>
          <w:b/>
          <w:sz w:val="32"/>
          <w:szCs w:val="32"/>
        </w:rPr>
        <w:t>采购单位咨询电话</w:t>
      </w:r>
    </w:p>
    <w:p w:rsidR="000917D4" w:rsidRDefault="005837B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联系人：李长春</w:t>
      </w:r>
    </w:p>
    <w:p w:rsidR="000917D4" w:rsidRDefault="005837B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联系电话：0992-3651933</w:t>
      </w:r>
    </w:p>
    <w:p w:rsidR="000917D4" w:rsidRDefault="005837B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手机号：19990277006</w:t>
      </w:r>
    </w:p>
    <w:p w:rsidR="000917D4" w:rsidRDefault="005837B0">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地址：克拉玛依市独山子区长庆路1号</w:t>
      </w:r>
    </w:p>
    <w:p w:rsidR="005F1A16" w:rsidRDefault="005F1A16">
      <w:pPr>
        <w:snapToGrid w:val="0"/>
        <w:spacing w:line="460" w:lineRule="exact"/>
        <w:ind w:firstLineChars="700" w:firstLine="2240"/>
        <w:rPr>
          <w:rFonts w:ascii="仿宋_GB2312" w:eastAsia="仿宋_GB2312" w:hAnsi="仿宋" w:cs="Times New Roman"/>
          <w:color w:val="000000"/>
          <w:sz w:val="32"/>
          <w:szCs w:val="32"/>
        </w:rPr>
      </w:pPr>
    </w:p>
    <w:p w:rsidR="002D4C3A" w:rsidRDefault="002D4C3A">
      <w:pPr>
        <w:snapToGrid w:val="0"/>
        <w:spacing w:line="460" w:lineRule="exact"/>
        <w:ind w:firstLineChars="700" w:firstLine="2240"/>
        <w:rPr>
          <w:rFonts w:ascii="仿宋_GB2312" w:eastAsia="仿宋_GB2312" w:hAnsi="仿宋" w:cs="Times New Roman" w:hint="eastAsia"/>
          <w:color w:val="000000"/>
          <w:sz w:val="32"/>
          <w:szCs w:val="32"/>
        </w:rPr>
      </w:pPr>
    </w:p>
    <w:p w:rsidR="000917D4" w:rsidRDefault="005837B0" w:rsidP="002D4C3A">
      <w:pPr>
        <w:snapToGrid w:val="0"/>
        <w:spacing w:line="460" w:lineRule="exact"/>
        <w:ind w:firstLineChars="700" w:firstLine="2240"/>
        <w:rPr>
          <w:rFonts w:ascii="仿宋_GB2312" w:eastAsia="仿宋_GB2312" w:hAnsi="仿宋" w:cs="宋体"/>
          <w:kern w:val="0"/>
          <w:sz w:val="32"/>
          <w:szCs w:val="32"/>
        </w:rPr>
      </w:pPr>
      <w:r>
        <w:rPr>
          <w:rFonts w:ascii="仿宋_GB2312" w:eastAsia="仿宋_GB2312" w:hAnsi="仿宋" w:cs="Times New Roman" w:hint="eastAsia"/>
          <w:color w:val="000000"/>
          <w:sz w:val="32"/>
          <w:szCs w:val="32"/>
        </w:rPr>
        <w:t>采购人名称：克拉玛依市独山子人民医院</w:t>
      </w:r>
      <w:bookmarkStart w:id="1" w:name="_GoBack"/>
      <w:bookmarkEnd w:id="1"/>
    </w:p>
    <w:sectPr w:rsidR="000917D4" w:rsidSect="00091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D8B" w:rsidRDefault="002F0D8B" w:rsidP="003D5396">
      <w:r>
        <w:separator/>
      </w:r>
    </w:p>
  </w:endnote>
  <w:endnote w:type="continuationSeparator" w:id="1">
    <w:p w:rsidR="002F0D8B" w:rsidRDefault="002F0D8B" w:rsidP="003D5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D8B" w:rsidRDefault="002F0D8B" w:rsidP="003D5396">
      <w:r>
        <w:separator/>
      </w:r>
    </w:p>
  </w:footnote>
  <w:footnote w:type="continuationSeparator" w:id="1">
    <w:p w:rsidR="002F0D8B" w:rsidRDefault="002F0D8B" w:rsidP="003D5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3D959B"/>
    <w:multiLevelType w:val="singleLevel"/>
    <w:tmpl w:val="A43D959B"/>
    <w:lvl w:ilvl="0">
      <w:start w:val="1"/>
      <w:numFmt w:val="decimal"/>
      <w:lvlText w:val="%1."/>
      <w:lvlJc w:val="left"/>
      <w:pPr>
        <w:ind w:left="425" w:hanging="425"/>
      </w:pPr>
      <w:rPr>
        <w:rFonts w:hint="default"/>
      </w:rPr>
    </w:lvl>
  </w:abstractNum>
  <w:abstractNum w:abstractNumId="1">
    <w:nsid w:val="08F30056"/>
    <w:multiLevelType w:val="multilevel"/>
    <w:tmpl w:val="08F30056"/>
    <w:lvl w:ilvl="0">
      <w:start w:val="1"/>
      <w:numFmt w:val="japaneseCounting"/>
      <w:lvlText w:val="%1、"/>
      <w:lvlJc w:val="left"/>
      <w:pPr>
        <w:ind w:left="1360" w:hanging="720"/>
      </w:pPr>
      <w:rPr>
        <w:rFonts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095A7075"/>
    <w:multiLevelType w:val="hybridMultilevel"/>
    <w:tmpl w:val="29CA8ABC"/>
    <w:lvl w:ilvl="0" w:tplc="1604F5D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BA1934"/>
    <w:multiLevelType w:val="multilevel"/>
    <w:tmpl w:val="12BA193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5658F3"/>
    <w:multiLevelType w:val="hybridMultilevel"/>
    <w:tmpl w:val="37F63358"/>
    <w:lvl w:ilvl="0" w:tplc="A6405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822953"/>
    <w:multiLevelType w:val="hybridMultilevel"/>
    <w:tmpl w:val="6C8CB6A4"/>
    <w:lvl w:ilvl="0" w:tplc="8B4C8E46">
      <w:start w:val="2"/>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85F50F6"/>
    <w:multiLevelType w:val="multilevel"/>
    <w:tmpl w:val="385F5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DE41D92"/>
    <w:multiLevelType w:val="hybridMultilevel"/>
    <w:tmpl w:val="C3B22970"/>
    <w:lvl w:ilvl="0" w:tplc="4BFA400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0DC04CC"/>
    <w:multiLevelType w:val="multilevel"/>
    <w:tmpl w:val="40DC04CC"/>
    <w:lvl w:ilvl="0">
      <w:start w:val="8"/>
      <w:numFmt w:val="japaneseCounting"/>
      <w:lvlText w:val="第%1条"/>
      <w:lvlJc w:val="left"/>
      <w:pPr>
        <w:tabs>
          <w:tab w:val="num" w:pos="915"/>
        </w:tabs>
        <w:ind w:left="915" w:hanging="915"/>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E83270"/>
    <w:multiLevelType w:val="hybridMultilevel"/>
    <w:tmpl w:val="4A7AA112"/>
    <w:lvl w:ilvl="0" w:tplc="8D88FDE4">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0F51BB"/>
    <w:multiLevelType w:val="hybridMultilevel"/>
    <w:tmpl w:val="521ED6EA"/>
    <w:lvl w:ilvl="0" w:tplc="FE28C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DB507E"/>
    <w:multiLevelType w:val="multilevel"/>
    <w:tmpl w:val="69DB507E"/>
    <w:lvl w:ilvl="0">
      <w:start w:val="1"/>
      <w:numFmt w:val="decimal"/>
      <w:lvlText w:val="%1."/>
      <w:lvlJc w:val="left"/>
      <w:pPr>
        <w:ind w:left="360" w:hanging="360"/>
      </w:pPr>
      <w:rPr>
        <w:rFonts w:ascii="宋体" w:eastAsia="宋体"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C786A5C"/>
    <w:multiLevelType w:val="singleLevel"/>
    <w:tmpl w:val="6C786A5C"/>
    <w:lvl w:ilvl="0">
      <w:start w:val="1"/>
      <w:numFmt w:val="decimal"/>
      <w:lvlText w:val="%1."/>
      <w:lvlJc w:val="left"/>
      <w:pPr>
        <w:tabs>
          <w:tab w:val="num" w:pos="312"/>
        </w:tabs>
      </w:pPr>
    </w:lvl>
  </w:abstractNum>
  <w:abstractNum w:abstractNumId="13">
    <w:nsid w:val="7B0A0A6F"/>
    <w:multiLevelType w:val="multilevel"/>
    <w:tmpl w:val="08F30056"/>
    <w:lvl w:ilvl="0">
      <w:start w:val="1"/>
      <w:numFmt w:val="japaneseCounting"/>
      <w:lvlText w:val="%1、"/>
      <w:lvlJc w:val="left"/>
      <w:pPr>
        <w:ind w:left="1360" w:hanging="720"/>
      </w:pPr>
      <w:rPr>
        <w:rFonts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6"/>
  </w:num>
  <w:num w:numId="3">
    <w:abstractNumId w:val="11"/>
  </w:num>
  <w:num w:numId="4">
    <w:abstractNumId w:val="3"/>
  </w:num>
  <w:num w:numId="5">
    <w:abstractNumId w:val="7"/>
  </w:num>
  <w:num w:numId="6">
    <w:abstractNumId w:val="12"/>
  </w:num>
  <w:num w:numId="7">
    <w:abstractNumId w:val="5"/>
  </w:num>
  <w:num w:numId="8">
    <w:abstractNumId w:val="2"/>
  </w:num>
  <w:num w:numId="9">
    <w:abstractNumId w:val="0"/>
  </w:num>
  <w:num w:numId="10">
    <w:abstractNumId w:val="9"/>
  </w:num>
  <w:num w:numId="11">
    <w:abstractNumId w:val="10"/>
  </w:num>
  <w:num w:numId="12">
    <w:abstractNumId w:val="4"/>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hmMTYxNDVjMDM0MDQ2ZDM0NTZlYjFhMTFkZDMzYzcifQ=="/>
  </w:docVars>
  <w:rsids>
    <w:rsidRoot w:val="0067571C"/>
    <w:rsid w:val="0001628F"/>
    <w:rsid w:val="00032CBD"/>
    <w:rsid w:val="0003745D"/>
    <w:rsid w:val="00041214"/>
    <w:rsid w:val="000917D4"/>
    <w:rsid w:val="00092A20"/>
    <w:rsid w:val="000E0B9D"/>
    <w:rsid w:val="000F2204"/>
    <w:rsid w:val="001022E3"/>
    <w:rsid w:val="001434A6"/>
    <w:rsid w:val="00167B4A"/>
    <w:rsid w:val="00187AC8"/>
    <w:rsid w:val="001A12D0"/>
    <w:rsid w:val="001C1348"/>
    <w:rsid w:val="001E10D9"/>
    <w:rsid w:val="001E1434"/>
    <w:rsid w:val="00202987"/>
    <w:rsid w:val="00204DD4"/>
    <w:rsid w:val="00210270"/>
    <w:rsid w:val="00220AB2"/>
    <w:rsid w:val="00230415"/>
    <w:rsid w:val="0024330B"/>
    <w:rsid w:val="00247809"/>
    <w:rsid w:val="0026334F"/>
    <w:rsid w:val="002D117C"/>
    <w:rsid w:val="002D4C3A"/>
    <w:rsid w:val="002F0D8B"/>
    <w:rsid w:val="0030407D"/>
    <w:rsid w:val="00326628"/>
    <w:rsid w:val="0035208C"/>
    <w:rsid w:val="003D5396"/>
    <w:rsid w:val="003E41C0"/>
    <w:rsid w:val="003E6BA6"/>
    <w:rsid w:val="003E7C3E"/>
    <w:rsid w:val="00404CBC"/>
    <w:rsid w:val="0042477A"/>
    <w:rsid w:val="00433B95"/>
    <w:rsid w:val="00447B71"/>
    <w:rsid w:val="00472066"/>
    <w:rsid w:val="0047490D"/>
    <w:rsid w:val="0047724D"/>
    <w:rsid w:val="00484D5F"/>
    <w:rsid w:val="00487180"/>
    <w:rsid w:val="004D4EB2"/>
    <w:rsid w:val="004F6E2B"/>
    <w:rsid w:val="00514F49"/>
    <w:rsid w:val="00522223"/>
    <w:rsid w:val="005241C6"/>
    <w:rsid w:val="00526749"/>
    <w:rsid w:val="0053047B"/>
    <w:rsid w:val="00535119"/>
    <w:rsid w:val="0056748F"/>
    <w:rsid w:val="00567918"/>
    <w:rsid w:val="00581932"/>
    <w:rsid w:val="005837B0"/>
    <w:rsid w:val="005E6FD2"/>
    <w:rsid w:val="005F1A16"/>
    <w:rsid w:val="005F2CA7"/>
    <w:rsid w:val="006535D4"/>
    <w:rsid w:val="00654BB2"/>
    <w:rsid w:val="0067571C"/>
    <w:rsid w:val="006876C8"/>
    <w:rsid w:val="006934F7"/>
    <w:rsid w:val="006C31C6"/>
    <w:rsid w:val="006C4A26"/>
    <w:rsid w:val="006D39EE"/>
    <w:rsid w:val="006F2E02"/>
    <w:rsid w:val="006F35E0"/>
    <w:rsid w:val="0074211D"/>
    <w:rsid w:val="0076309B"/>
    <w:rsid w:val="007A14D7"/>
    <w:rsid w:val="007B05DE"/>
    <w:rsid w:val="007C56A0"/>
    <w:rsid w:val="007D71B5"/>
    <w:rsid w:val="007F6172"/>
    <w:rsid w:val="008335DF"/>
    <w:rsid w:val="00835209"/>
    <w:rsid w:val="00885913"/>
    <w:rsid w:val="00897406"/>
    <w:rsid w:val="008A5583"/>
    <w:rsid w:val="008B42DA"/>
    <w:rsid w:val="0090149F"/>
    <w:rsid w:val="0092772E"/>
    <w:rsid w:val="00933895"/>
    <w:rsid w:val="00942273"/>
    <w:rsid w:val="00965046"/>
    <w:rsid w:val="00986193"/>
    <w:rsid w:val="009B2D8A"/>
    <w:rsid w:val="009D140B"/>
    <w:rsid w:val="009D7B28"/>
    <w:rsid w:val="009D7FF3"/>
    <w:rsid w:val="00A17ACD"/>
    <w:rsid w:val="00A203BF"/>
    <w:rsid w:val="00A3725C"/>
    <w:rsid w:val="00A374EC"/>
    <w:rsid w:val="00A41A5D"/>
    <w:rsid w:val="00A47C4C"/>
    <w:rsid w:val="00A55CBF"/>
    <w:rsid w:val="00A844FE"/>
    <w:rsid w:val="00AD14E3"/>
    <w:rsid w:val="00AE51A9"/>
    <w:rsid w:val="00B27246"/>
    <w:rsid w:val="00B279A3"/>
    <w:rsid w:val="00B31479"/>
    <w:rsid w:val="00B33114"/>
    <w:rsid w:val="00B37E0F"/>
    <w:rsid w:val="00B45306"/>
    <w:rsid w:val="00B66210"/>
    <w:rsid w:val="00B84994"/>
    <w:rsid w:val="00B91127"/>
    <w:rsid w:val="00B9390C"/>
    <w:rsid w:val="00BB1669"/>
    <w:rsid w:val="00BB21E2"/>
    <w:rsid w:val="00BC62EA"/>
    <w:rsid w:val="00BE4071"/>
    <w:rsid w:val="00C13F58"/>
    <w:rsid w:val="00C41C29"/>
    <w:rsid w:val="00C855F9"/>
    <w:rsid w:val="00C921F9"/>
    <w:rsid w:val="00C9372C"/>
    <w:rsid w:val="00CC239B"/>
    <w:rsid w:val="00CD6F26"/>
    <w:rsid w:val="00D13426"/>
    <w:rsid w:val="00D3384E"/>
    <w:rsid w:val="00D35B2C"/>
    <w:rsid w:val="00D62B4F"/>
    <w:rsid w:val="00D85448"/>
    <w:rsid w:val="00DB2B57"/>
    <w:rsid w:val="00DB70B6"/>
    <w:rsid w:val="00DC2115"/>
    <w:rsid w:val="00DD3E75"/>
    <w:rsid w:val="00DD61DF"/>
    <w:rsid w:val="00E04B6D"/>
    <w:rsid w:val="00E23F95"/>
    <w:rsid w:val="00E31BA3"/>
    <w:rsid w:val="00E346C7"/>
    <w:rsid w:val="00E51C3B"/>
    <w:rsid w:val="00EA2156"/>
    <w:rsid w:val="00EA7D3F"/>
    <w:rsid w:val="00EB4551"/>
    <w:rsid w:val="00EC41DF"/>
    <w:rsid w:val="00EF5A0C"/>
    <w:rsid w:val="00F40EE0"/>
    <w:rsid w:val="00FA2920"/>
    <w:rsid w:val="00FD7C14"/>
    <w:rsid w:val="00FE2606"/>
    <w:rsid w:val="46C4382F"/>
    <w:rsid w:val="57787143"/>
    <w:rsid w:val="5C9A7191"/>
    <w:rsid w:val="6FB1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17D4"/>
    <w:rPr>
      <w:sz w:val="18"/>
      <w:szCs w:val="18"/>
    </w:rPr>
  </w:style>
  <w:style w:type="paragraph" w:styleId="a4">
    <w:name w:val="footer"/>
    <w:basedOn w:val="a"/>
    <w:link w:val="Char0"/>
    <w:uiPriority w:val="99"/>
    <w:semiHidden/>
    <w:unhideWhenUsed/>
    <w:rsid w:val="000917D4"/>
    <w:pPr>
      <w:tabs>
        <w:tab w:val="center" w:pos="4153"/>
        <w:tab w:val="right" w:pos="8306"/>
      </w:tabs>
      <w:snapToGrid w:val="0"/>
      <w:jc w:val="left"/>
    </w:pPr>
    <w:rPr>
      <w:sz w:val="18"/>
      <w:szCs w:val="18"/>
    </w:rPr>
  </w:style>
  <w:style w:type="paragraph" w:styleId="a5">
    <w:name w:val="header"/>
    <w:basedOn w:val="a"/>
    <w:link w:val="Char1"/>
    <w:unhideWhenUsed/>
    <w:qFormat/>
    <w:rsid w:val="000917D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917D4"/>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0917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rsid w:val="000917D4"/>
    <w:rPr>
      <w:sz w:val="18"/>
      <w:szCs w:val="18"/>
    </w:rPr>
  </w:style>
  <w:style w:type="character" w:customStyle="1" w:styleId="Char0">
    <w:name w:val="页脚 Char"/>
    <w:basedOn w:val="a0"/>
    <w:link w:val="a4"/>
    <w:uiPriority w:val="99"/>
    <w:semiHidden/>
    <w:rsid w:val="000917D4"/>
    <w:rPr>
      <w:sz w:val="18"/>
      <w:szCs w:val="18"/>
    </w:rPr>
  </w:style>
  <w:style w:type="paragraph" w:styleId="a8">
    <w:name w:val="List Paragraph"/>
    <w:basedOn w:val="a"/>
    <w:uiPriority w:val="34"/>
    <w:qFormat/>
    <w:rsid w:val="000917D4"/>
    <w:pPr>
      <w:ind w:firstLineChars="200" w:firstLine="420"/>
    </w:pPr>
  </w:style>
  <w:style w:type="character" w:customStyle="1" w:styleId="Char">
    <w:name w:val="批注框文本 Char"/>
    <w:basedOn w:val="a0"/>
    <w:link w:val="a3"/>
    <w:uiPriority w:val="99"/>
    <w:semiHidden/>
    <w:rsid w:val="000917D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马艳</cp:lastModifiedBy>
  <cp:revision>83</cp:revision>
  <cp:lastPrinted>2024-07-02T03:24:00Z</cp:lastPrinted>
  <dcterms:created xsi:type="dcterms:W3CDTF">2018-05-28T04:33:00Z</dcterms:created>
  <dcterms:modified xsi:type="dcterms:W3CDTF">2024-07-08T03:36:00Z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F644F41B4F7E4AA69406C247EA5AFADA</vt:lpwstr>
  </property>
</Properties>
</file>