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0" w:beforeAutospacing="0" w:after="0" w:afterAutospacing="0" w:line="560" w:lineRule="exact"/>
        <w:jc w:val="center"/>
        <w:rPr>
          <w:rFonts w:ascii="仿宋_GB2312" w:hAnsi="华文中宋" w:eastAsia="仿宋_GB2312" w:cs="华文中宋"/>
          <w:b/>
          <w:bCs/>
          <w:sz w:val="30"/>
          <w:szCs w:val="30"/>
          <w:lang w:bidi="ar"/>
        </w:rPr>
      </w:pPr>
      <w:r>
        <w:rPr>
          <w:rFonts w:hint="eastAsia" w:ascii="仿宋_GB2312" w:hAnsi="华文中宋" w:eastAsia="仿宋_GB2312" w:cs="华文中宋"/>
          <w:b/>
          <w:bCs/>
          <w:sz w:val="30"/>
          <w:szCs w:val="30"/>
          <w:lang w:bidi="ar"/>
        </w:rPr>
        <w:t>办公</w:t>
      </w:r>
      <w:r>
        <w:rPr>
          <w:rFonts w:hint="eastAsia" w:ascii="仿宋_GB2312" w:hAnsi="华文中宋" w:eastAsia="仿宋_GB2312" w:cs="华文中宋"/>
          <w:b/>
          <w:bCs/>
          <w:sz w:val="30"/>
          <w:szCs w:val="30"/>
          <w:lang w:val="en-US" w:eastAsia="zh-CN" w:bidi="ar"/>
        </w:rPr>
        <w:t>设备</w:t>
      </w:r>
      <w:r>
        <w:rPr>
          <w:rFonts w:hint="eastAsia" w:ascii="仿宋_GB2312" w:hAnsi="华文中宋" w:eastAsia="仿宋_GB2312" w:cs="华文中宋"/>
          <w:b/>
          <w:bCs/>
          <w:sz w:val="30"/>
          <w:szCs w:val="30"/>
          <w:lang w:bidi="ar"/>
        </w:rPr>
        <w:t>采购询价文件</w:t>
      </w:r>
    </w:p>
    <w:p>
      <w:pPr>
        <w:pStyle w:val="9"/>
        <w:widowControl/>
        <w:spacing w:before="0" w:beforeAutospacing="0" w:after="0" w:afterAutospacing="0" w:line="560" w:lineRule="exact"/>
        <w:jc w:val="center"/>
        <w:rPr>
          <w:rFonts w:ascii="仿宋_GB2312" w:hAnsi="华文中宋" w:eastAsia="仿宋_GB2312" w:cs="华文中宋"/>
          <w:b/>
          <w:bCs/>
          <w:sz w:val="28"/>
          <w:szCs w:val="28"/>
          <w:lang w:bidi="ar"/>
        </w:rPr>
      </w:pPr>
      <w:r>
        <w:rPr>
          <w:rFonts w:hint="eastAsia" w:ascii="仿宋_GB2312" w:hAnsi="华文中宋" w:eastAsia="仿宋_GB2312" w:cs="华文中宋"/>
          <w:b/>
          <w:bCs/>
          <w:sz w:val="28"/>
          <w:szCs w:val="28"/>
          <w:lang w:bidi="ar"/>
        </w:rPr>
        <w:t>请各报价单位仔细阅读以下条款，若在报价或者中标后出现商务或技术上所带来的损失自行承担。</w:t>
      </w:r>
    </w:p>
    <w:p>
      <w:pPr>
        <w:pStyle w:val="9"/>
        <w:widowControl/>
        <w:spacing w:before="0" w:beforeAutospacing="0" w:after="0" w:afterAutospacing="0" w:line="360" w:lineRule="auto"/>
        <w:ind w:firstLine="480" w:firstLineChars="200"/>
        <w:rPr>
          <w:rFonts w:ascii="仿宋_GB2312" w:hAnsi="华文中宋" w:eastAsia="仿宋_GB2312" w:cs="华文中宋"/>
          <w:lang w:bidi="ar"/>
        </w:rPr>
      </w:pPr>
    </w:p>
    <w:p>
      <w:pPr>
        <w:pStyle w:val="9"/>
        <w:widowControl/>
        <w:spacing w:before="0" w:beforeAutospacing="0" w:after="0" w:afterAutospacing="0" w:line="360" w:lineRule="auto"/>
        <w:ind w:firstLine="480" w:firstLineChars="200"/>
        <w:rPr>
          <w:rFonts w:ascii="仿宋_GB2312" w:hAnsi="华文中宋" w:eastAsia="仿宋_GB2312" w:cs="华文中宋"/>
        </w:rPr>
      </w:pPr>
      <w:r>
        <w:rPr>
          <w:rFonts w:hint="eastAsia" w:ascii="仿宋_GB2312" w:hAnsi="华文中宋" w:eastAsia="仿宋_GB2312" w:cs="华文中宋"/>
          <w:lang w:bidi="ar"/>
        </w:rPr>
        <w:t>1.货到验收合格后，接到询价方通知验收合格后</w:t>
      </w:r>
      <w:r>
        <w:rPr>
          <w:rFonts w:hint="eastAsia" w:ascii="仿宋_GB2312" w:hAnsi="华文中宋" w:eastAsia="仿宋_GB2312" w:cs="华文中宋"/>
          <w:b/>
          <w:bCs/>
          <w:lang w:bidi="ar"/>
        </w:rPr>
        <w:t>按照询价方要求开发票</w:t>
      </w:r>
      <w:r>
        <w:rPr>
          <w:rFonts w:hint="eastAsia" w:ascii="仿宋_GB2312" w:hAnsi="华文中宋" w:eastAsia="仿宋_GB2312" w:cs="华文中宋"/>
          <w:lang w:bidi="ar"/>
        </w:rPr>
        <w:t>（专用增值税发票），收到发票后30天内付款。</w:t>
      </w:r>
    </w:p>
    <w:p>
      <w:pPr>
        <w:spacing w:line="360" w:lineRule="auto"/>
        <w:ind w:firstLine="480" w:firstLineChars="200"/>
        <w:rPr>
          <w:rFonts w:ascii="仿宋_GB2312" w:hAnsi="华文中宋" w:eastAsia="仿宋_GB2312" w:cs="华文中宋"/>
          <w:sz w:val="24"/>
        </w:rPr>
      </w:pPr>
      <w:r>
        <w:rPr>
          <w:rFonts w:hint="eastAsia" w:ascii="仿宋_GB2312" w:hAnsi="华文中宋" w:eastAsia="仿宋_GB2312" w:cs="华文中宋"/>
          <w:sz w:val="24"/>
        </w:rPr>
        <w:t>2.询价结果关注乐采云采购平台查询，如有特殊情况会线下通知到每一个参与报价供应商。</w:t>
      </w:r>
    </w:p>
    <w:p>
      <w:pPr>
        <w:spacing w:line="360" w:lineRule="auto"/>
        <w:ind w:firstLine="480" w:firstLineChars="200"/>
        <w:rPr>
          <w:rFonts w:ascii="仿宋_GB2312" w:hAnsi="华文中宋" w:eastAsia="仿宋_GB2312" w:cs="华文中宋"/>
          <w:sz w:val="24"/>
        </w:rPr>
      </w:pPr>
      <w:r>
        <w:rPr>
          <w:rFonts w:hint="eastAsia" w:ascii="仿宋_GB2312" w:hAnsi="华文中宋" w:eastAsia="仿宋_GB2312" w:cs="华文中宋"/>
          <w:sz w:val="24"/>
        </w:rPr>
        <w:t>3.采购计划清单（报价单模板）上所有商品，品牌、规格型号、数量，技术要求等不可更改，不可替换。</w:t>
      </w:r>
    </w:p>
    <w:p>
      <w:pPr>
        <w:adjustRightInd w:val="0"/>
        <w:snapToGrid w:val="0"/>
        <w:spacing w:line="360" w:lineRule="auto"/>
        <w:ind w:firstLine="480" w:firstLineChars="200"/>
        <w:rPr>
          <w:rFonts w:ascii="仿宋_GB2312" w:hAnsi="华文中宋" w:eastAsia="仿宋_GB2312" w:cs="华文中宋"/>
          <w:sz w:val="24"/>
        </w:rPr>
      </w:pPr>
      <w:r>
        <w:rPr>
          <w:rFonts w:hint="eastAsia" w:ascii="仿宋_GB2312" w:hAnsi="华文中宋" w:eastAsia="仿宋_GB2312" w:cs="华文中宋"/>
          <w:sz w:val="24"/>
        </w:rPr>
        <w:t>4．服务要求：报价单位承担与供货有关的所有服务，不限于商品的运输、送货上门、保险、技术支持、培训、质保，售后等相关服务。</w:t>
      </w:r>
    </w:p>
    <w:p>
      <w:pPr>
        <w:adjustRightInd w:val="0"/>
        <w:snapToGrid w:val="0"/>
        <w:spacing w:line="360" w:lineRule="auto"/>
        <w:ind w:firstLine="480" w:firstLineChars="200"/>
        <w:rPr>
          <w:rFonts w:ascii="仿宋_GB2312" w:hAnsi="华文中宋" w:eastAsia="仿宋_GB2312" w:cs="华文中宋"/>
          <w:b/>
          <w:bCs/>
          <w:sz w:val="24"/>
        </w:rPr>
      </w:pPr>
      <w:r>
        <w:rPr>
          <w:rFonts w:hint="eastAsia" w:ascii="仿宋_GB2312" w:hAnsi="华文中宋" w:eastAsia="仿宋_GB2312" w:cs="华文中宋"/>
          <w:sz w:val="24"/>
        </w:rPr>
        <w:t>5.到货时间：所有商品必须在接到中标后</w:t>
      </w:r>
      <w:r>
        <w:rPr>
          <w:rFonts w:hint="eastAsia" w:ascii="仿宋_GB2312" w:hAnsi="华文中宋" w:eastAsia="仿宋_GB2312" w:cs="华文中宋"/>
          <w:b/>
          <w:bCs/>
          <w:sz w:val="24"/>
        </w:rPr>
        <w:t>7个工作日内送货上门。不能按时到货的，直接取消中标资格，顺延到次低价单位中标。</w:t>
      </w:r>
    </w:p>
    <w:p>
      <w:pPr>
        <w:adjustRightInd w:val="0"/>
        <w:snapToGrid w:val="0"/>
        <w:spacing w:line="360" w:lineRule="auto"/>
        <w:ind w:firstLine="480" w:firstLineChars="200"/>
        <w:rPr>
          <w:rFonts w:ascii="仿宋_GB2312" w:hAnsi="华文中宋" w:eastAsia="仿宋_GB2312" w:cs="华文中宋"/>
          <w:sz w:val="24"/>
        </w:rPr>
      </w:pPr>
      <w:r>
        <w:rPr>
          <w:rFonts w:hint="eastAsia" w:ascii="仿宋_GB2312" w:hAnsi="华文中宋" w:eastAsia="仿宋_GB2312" w:cs="华文中宋"/>
          <w:sz w:val="24"/>
        </w:rPr>
        <w:t>6．技术指标和质量要求</w:t>
      </w:r>
    </w:p>
    <w:p>
      <w:pPr>
        <w:spacing w:line="360" w:lineRule="auto"/>
        <w:ind w:firstLine="480" w:firstLineChars="200"/>
        <w:rPr>
          <w:rFonts w:ascii="仿宋_GB2312" w:hAnsi="华文中宋" w:eastAsia="仿宋_GB2312" w:cs="华文中宋"/>
          <w:sz w:val="24"/>
        </w:rPr>
      </w:pPr>
      <w:r>
        <w:rPr>
          <w:rFonts w:hint="eastAsia" w:ascii="仿宋_GB2312" w:hAnsi="华文中宋" w:eastAsia="仿宋_GB2312" w:cs="华文中宋"/>
          <w:sz w:val="24"/>
        </w:rPr>
        <w:t>（</w:t>
      </w:r>
      <w:r>
        <w:rPr>
          <w:rFonts w:ascii="仿宋_GB2312" w:hAnsi="华文中宋" w:eastAsia="仿宋_GB2312" w:cs="华文中宋"/>
          <w:sz w:val="24"/>
        </w:rPr>
        <w:t>1</w:t>
      </w:r>
      <w:r>
        <w:rPr>
          <w:rFonts w:hint="eastAsia" w:ascii="仿宋_GB2312" w:hAnsi="华文中宋" w:eastAsia="仿宋_GB2312" w:cs="华文中宋"/>
          <w:sz w:val="24"/>
        </w:rPr>
        <w:t>）按照采买商品的采购清单（见附件</w:t>
      </w:r>
      <w:r>
        <w:rPr>
          <w:rFonts w:ascii="仿宋_GB2312" w:hAnsi="华文中宋" w:eastAsia="仿宋_GB2312" w:cs="华文中宋"/>
          <w:sz w:val="24"/>
        </w:rPr>
        <w:t>1</w:t>
      </w:r>
      <w:r>
        <w:rPr>
          <w:rFonts w:hint="eastAsia" w:ascii="仿宋_GB2312" w:hAnsi="华文中宋" w:eastAsia="仿宋_GB2312" w:cs="华文中宋"/>
          <w:sz w:val="24"/>
        </w:rPr>
        <w:t>）要求执行，报价后不接受报价方任何改变价格要求，超过限标价视为无效报价。</w:t>
      </w:r>
    </w:p>
    <w:p>
      <w:pPr>
        <w:adjustRightInd w:val="0"/>
        <w:snapToGrid w:val="0"/>
        <w:spacing w:line="360" w:lineRule="auto"/>
        <w:ind w:firstLine="480" w:firstLineChars="200"/>
        <w:rPr>
          <w:rFonts w:ascii="仿宋_GB2312" w:hAnsi="华文中宋" w:eastAsia="仿宋_GB2312" w:cs="华文中宋"/>
          <w:sz w:val="24"/>
        </w:rPr>
      </w:pPr>
      <w:r>
        <w:rPr>
          <w:rFonts w:hint="eastAsia" w:ascii="仿宋_GB2312" w:hAnsi="华文中宋" w:eastAsia="仿宋_GB2312" w:cs="华文中宋"/>
          <w:sz w:val="24"/>
        </w:rPr>
        <w:t>（2）除了上述（1）规定的质量要求外，提供的产品和服务还不应当低于其任何书面和口头的质量承诺，包括任何广告、说明等。</w:t>
      </w:r>
    </w:p>
    <w:p>
      <w:pPr>
        <w:adjustRightInd w:val="0"/>
        <w:snapToGrid w:val="0"/>
        <w:spacing w:line="360" w:lineRule="auto"/>
        <w:ind w:firstLine="480" w:firstLineChars="200"/>
        <w:rPr>
          <w:rFonts w:ascii="仿宋_GB2312" w:hAnsi="华文中宋" w:eastAsia="仿宋_GB2312" w:cs="华文中宋"/>
          <w:sz w:val="24"/>
        </w:rPr>
      </w:pPr>
      <w:r>
        <w:rPr>
          <w:rFonts w:hint="eastAsia" w:ascii="仿宋_GB2312" w:hAnsi="华文中宋" w:eastAsia="仿宋_GB2312" w:cs="华文中宋"/>
          <w:sz w:val="24"/>
        </w:rPr>
        <w:t>（3）如按照上述（1）和（2）仍无法确定商品和服务的技术要求和标准的，则按照国家和行业标准（包括强制性标准和推荐性标准）执行；没有国家标准、行业标准的，按照国际标准或其他类似标准执行；上述标准的规定不一致时，以质量要求较高的和最有利于商品安全稳定运行的标准为准。</w:t>
      </w:r>
    </w:p>
    <w:p>
      <w:pPr>
        <w:pStyle w:val="9"/>
        <w:adjustRightInd w:val="0"/>
        <w:snapToGrid w:val="0"/>
        <w:spacing w:before="0" w:beforeAutospacing="0" w:after="0" w:afterAutospacing="0" w:line="360" w:lineRule="auto"/>
        <w:ind w:firstLine="480" w:firstLineChars="200"/>
        <w:rPr>
          <w:rFonts w:ascii="仿宋_GB2312" w:hAnsi="华文中宋" w:eastAsia="仿宋_GB2312" w:cs="华文中宋"/>
        </w:rPr>
      </w:pPr>
      <w:r>
        <w:rPr>
          <w:rFonts w:hint="eastAsia" w:ascii="仿宋_GB2312" w:hAnsi="华文中宋" w:eastAsia="仿宋_GB2312" w:cs="华文中宋"/>
          <w:bCs/>
        </w:rPr>
        <w:t>7．</w:t>
      </w:r>
      <w:r>
        <w:rPr>
          <w:rFonts w:hint="eastAsia" w:ascii="仿宋_GB2312" w:hAnsi="华文中宋" w:eastAsia="仿宋_GB2312" w:cs="华文中宋"/>
        </w:rPr>
        <w:t>该次报价为含税</w:t>
      </w:r>
      <w:r>
        <w:rPr>
          <w:rFonts w:hint="eastAsia" w:ascii="仿宋_GB2312" w:hAnsi="华文中宋" w:eastAsia="仿宋_GB2312" w:cs="华文中宋"/>
          <w:u w:val="single"/>
        </w:rPr>
        <w:t xml:space="preserve">   %</w:t>
      </w:r>
      <w:r>
        <w:rPr>
          <w:rFonts w:hint="eastAsia" w:ascii="仿宋_GB2312" w:hAnsi="华文中宋" w:eastAsia="仿宋_GB2312" w:cs="华文中宋"/>
        </w:rPr>
        <w:t>价格不限于到交货地点前所发生的运输费、装卸费、保险费，检测,以及货物安装、调试、技术支持、培训、质保、售后等所有相关费用。</w:t>
      </w:r>
    </w:p>
    <w:p>
      <w:pPr>
        <w:adjustRightInd w:val="0"/>
        <w:snapToGrid w:val="0"/>
        <w:spacing w:line="360" w:lineRule="auto"/>
        <w:ind w:firstLine="480" w:firstLineChars="200"/>
        <w:rPr>
          <w:rFonts w:ascii="仿宋_GB2312" w:hAnsi="华文中宋" w:eastAsia="仿宋_GB2312" w:cs="华文中宋"/>
          <w:b/>
          <w:bCs/>
          <w:sz w:val="24"/>
        </w:rPr>
      </w:pPr>
      <w:r>
        <w:rPr>
          <w:rFonts w:hint="eastAsia" w:ascii="仿宋_GB2312" w:hAnsi="华文中宋" w:eastAsia="仿宋_GB2312" w:cs="华文中宋"/>
          <w:sz w:val="24"/>
        </w:rPr>
        <w:t>本次报价为总价最低价中，报价后为不变价，包括供方应交纳的税费运费等在内，报价的商品不得恶意报价，要符合市场规律。</w:t>
      </w:r>
      <w:r>
        <w:rPr>
          <w:rFonts w:hint="eastAsia" w:ascii="仿宋_GB2312" w:hAnsi="华文中宋" w:eastAsia="仿宋_GB2312" w:cs="华文中宋"/>
          <w:b/>
          <w:bCs/>
          <w:sz w:val="24"/>
        </w:rPr>
        <w:t>该标段超过限标价：</w:t>
      </w:r>
      <w:r>
        <w:rPr>
          <w:rFonts w:hint="eastAsia" w:ascii="仿宋_GB2312" w:hAnsi="华文中宋" w:eastAsia="仿宋_GB2312" w:cs="华文中宋"/>
          <w:b/>
          <w:bCs/>
          <w:sz w:val="24"/>
          <w:u w:val="single"/>
        </w:rPr>
        <w:t>¥</w:t>
      </w:r>
      <w:r>
        <w:rPr>
          <w:rFonts w:hint="eastAsia" w:ascii="仿宋_GB2312" w:hAnsi="华文中宋" w:eastAsia="仿宋_GB2312" w:cs="华文中宋"/>
          <w:b/>
          <w:bCs/>
          <w:sz w:val="24"/>
          <w:u w:val="single"/>
          <w:lang w:val="en-US" w:eastAsia="zh-CN"/>
        </w:rPr>
        <w:t>1200</w:t>
      </w:r>
      <w:r>
        <w:rPr>
          <w:rFonts w:hint="eastAsia" w:ascii="仿宋_GB2312" w:hAnsi="华文中宋" w:eastAsia="仿宋_GB2312" w:cs="华文中宋"/>
          <w:b/>
          <w:bCs/>
          <w:sz w:val="24"/>
          <w:u w:val="single"/>
        </w:rPr>
        <w:t>元</w:t>
      </w:r>
      <w:r>
        <w:rPr>
          <w:rFonts w:hint="eastAsia" w:ascii="仿宋_GB2312" w:hAnsi="华文中宋" w:eastAsia="仿宋_GB2312" w:cs="华文中宋"/>
          <w:b/>
          <w:bCs/>
          <w:sz w:val="24"/>
        </w:rPr>
        <w:t>视为无效报价，</w:t>
      </w:r>
      <w:r>
        <w:rPr>
          <w:rFonts w:hint="eastAsia" w:ascii="仿宋_GB2312" w:hAnsi="华文中宋" w:eastAsia="仿宋_GB2312" w:cs="华文中宋"/>
          <w:b/>
          <w:bCs/>
          <w:sz w:val="24"/>
          <w:shd w:val="clear" w:color="auto" w:fill="FFFFFF"/>
        </w:rPr>
        <w:t>供货不符合技术要求的也视为无效报价。报价方要</w:t>
      </w:r>
      <w:r>
        <w:rPr>
          <w:rFonts w:hint="eastAsia" w:ascii="仿宋_GB2312" w:hAnsi="华文中宋" w:eastAsia="仿宋_GB2312" w:cs="华文中宋"/>
          <w:b/>
          <w:bCs/>
          <w:sz w:val="24"/>
        </w:rPr>
        <w:t>保证商品是全新、正品、采购渠道正规，</w:t>
      </w:r>
      <w:r>
        <w:rPr>
          <w:rFonts w:hint="eastAsia" w:ascii="仿宋_GB2312" w:hAnsi="华文中宋" w:eastAsia="仿宋_GB2312" w:cs="华文中宋"/>
          <w:b/>
          <w:bCs/>
          <w:sz w:val="24"/>
          <w:shd w:val="clear" w:color="auto" w:fill="FFFFFF"/>
        </w:rPr>
        <w:t>出现假冒伪劣商品的，拉入供应商黑名单，以后不具备再参与询价单位报价资格。</w:t>
      </w:r>
    </w:p>
    <w:p>
      <w:pPr>
        <w:spacing w:line="360" w:lineRule="auto"/>
        <w:ind w:firstLine="482" w:firstLineChars="200"/>
        <w:rPr>
          <w:rFonts w:ascii="仿宋_GB2312" w:hAnsi="华文中宋" w:eastAsia="仿宋_GB2312" w:cs="华文中宋"/>
          <w:b/>
          <w:bCs/>
          <w:sz w:val="24"/>
        </w:rPr>
      </w:pPr>
      <w:r>
        <w:rPr>
          <w:rFonts w:hint="eastAsia" w:ascii="仿宋_GB2312" w:hAnsi="华文中宋" w:eastAsia="仿宋_GB2312" w:cs="华文中宋"/>
          <w:b/>
          <w:bCs/>
          <w:sz w:val="24"/>
        </w:rPr>
        <w:t>8.报价单位能达到按照询价方需求，按要求时间全部到货。</w:t>
      </w:r>
    </w:p>
    <w:p>
      <w:pPr>
        <w:spacing w:line="360" w:lineRule="auto"/>
        <w:ind w:firstLine="482" w:firstLineChars="200"/>
        <w:rPr>
          <w:rFonts w:ascii="仿宋_GB2312" w:hAnsi="华文中宋" w:eastAsia="仿宋_GB2312" w:cs="华文中宋"/>
        </w:rPr>
      </w:pPr>
      <w:r>
        <w:rPr>
          <w:rFonts w:hint="eastAsia" w:ascii="仿宋_GB2312" w:hAnsi="华文中宋" w:eastAsia="仿宋_GB2312" w:cs="华文中宋"/>
          <w:b/>
          <w:bCs/>
          <w:sz w:val="24"/>
          <w:u w:val="single"/>
        </w:rPr>
        <w:t>供货方送货前需提前一天联系采购方</w:t>
      </w:r>
      <w:r>
        <w:rPr>
          <w:rFonts w:hint="eastAsia" w:ascii="仿宋_GB2312" w:hAnsi="华文中宋" w:eastAsia="仿宋_GB2312" w:cs="华文中宋"/>
          <w:b/>
          <w:bCs/>
          <w:sz w:val="24"/>
          <w:lang w:val="zh-CN"/>
        </w:rPr>
        <w:t>，</w:t>
      </w:r>
      <w:r>
        <w:rPr>
          <w:rFonts w:hint="eastAsia" w:ascii="仿宋_GB2312" w:hAnsi="华文中宋" w:eastAsia="仿宋_GB2312" w:cs="华文中宋"/>
          <w:sz w:val="24"/>
        </w:rPr>
        <w:t>将有关运输提单、等额增值税专用发票等以可靠方式寄递给询价方，并将货物交送到询价单位指定地点：</w:t>
      </w:r>
      <w:r>
        <w:rPr>
          <w:rFonts w:hint="eastAsia" w:ascii="仿宋_GB2312" w:hAnsi="华文中宋" w:eastAsia="仿宋_GB2312" w:cs="华文中宋"/>
          <w:b/>
          <w:bCs/>
          <w:sz w:val="24"/>
        </w:rPr>
        <w:t>舟山市临城街道金岛路20号舟基大厦</w:t>
      </w:r>
      <w:r>
        <w:rPr>
          <w:rFonts w:hint="eastAsia" w:ascii="仿宋_GB2312" w:hAnsi="华文中宋" w:eastAsia="仿宋_GB2312" w:cs="华文中宋"/>
          <w:b/>
          <w:bCs/>
          <w:sz w:val="24"/>
          <w:lang w:val="en-US" w:eastAsia="zh-CN"/>
        </w:rPr>
        <w:t>13</w:t>
      </w:r>
      <w:r>
        <w:rPr>
          <w:rFonts w:hint="eastAsia" w:ascii="仿宋_GB2312" w:hAnsi="华文中宋" w:eastAsia="仿宋_GB2312" w:cs="华文中宋"/>
          <w:b/>
          <w:bCs/>
          <w:sz w:val="24"/>
        </w:rPr>
        <w:t>楼</w:t>
      </w:r>
      <w:r>
        <w:rPr>
          <w:rFonts w:hint="eastAsia" w:ascii="仿宋_GB2312" w:hAnsi="华文中宋" w:eastAsia="仿宋_GB2312" w:cs="华文中宋"/>
          <w:b/>
          <w:bCs/>
          <w:sz w:val="24"/>
          <w:lang w:val="en-US" w:eastAsia="zh-CN"/>
        </w:rPr>
        <w:t>1312</w:t>
      </w:r>
      <w:r>
        <w:rPr>
          <w:rFonts w:hint="eastAsia" w:ascii="仿宋_GB2312" w:hAnsi="华文中宋" w:eastAsia="仿宋_GB2312" w:cs="华文中宋"/>
          <w:b/>
          <w:bCs/>
          <w:sz w:val="24"/>
        </w:rPr>
        <w:t>室或者指定的地点完成卸货</w:t>
      </w:r>
      <w:r>
        <w:rPr>
          <w:rFonts w:hint="eastAsia" w:ascii="仿宋_GB2312" w:hAnsi="华文中宋" w:eastAsia="仿宋_GB2312" w:cs="华文中宋"/>
          <w:sz w:val="24"/>
        </w:rPr>
        <w:t>（由供货方承担卸货责任、风险和相关一切费用）。该标段询价单位收到以上单据并在指定地点收到货物并经到货验收合格的次日起</w:t>
      </w:r>
      <w:r>
        <w:rPr>
          <w:rFonts w:hint="eastAsia" w:ascii="仿宋_GB2312" w:hAnsi="华文中宋" w:eastAsia="仿宋_GB2312" w:cs="华文中宋"/>
          <w:sz w:val="24"/>
          <w:u w:val="single"/>
        </w:rPr>
        <w:t xml:space="preserve">  30   </w:t>
      </w:r>
      <w:r>
        <w:rPr>
          <w:rFonts w:hint="eastAsia" w:ascii="仿宋_GB2312" w:hAnsi="华文中宋" w:eastAsia="仿宋_GB2312" w:cs="华文中宋"/>
          <w:sz w:val="24"/>
        </w:rPr>
        <w:t>天内，支付货款总价的</w:t>
      </w:r>
      <w:r>
        <w:rPr>
          <w:rFonts w:hint="eastAsia" w:ascii="仿宋_GB2312" w:hAnsi="华文中宋" w:eastAsia="仿宋_GB2312" w:cs="华文中宋"/>
          <w:b/>
          <w:bCs/>
          <w:sz w:val="24"/>
          <w:u w:val="single"/>
        </w:rPr>
        <w:t xml:space="preserve">  100%</w:t>
      </w:r>
      <w:r>
        <w:rPr>
          <w:rFonts w:hint="eastAsia" w:ascii="仿宋_GB2312" w:hAnsi="华文中宋" w:eastAsia="仿宋_GB2312" w:cs="华文中宋"/>
          <w:sz w:val="24"/>
          <w:u w:val="single"/>
        </w:rPr>
        <w:t xml:space="preserve"> </w:t>
      </w:r>
      <w:r>
        <w:rPr>
          <w:rFonts w:hint="eastAsia" w:ascii="仿宋_GB2312" w:hAnsi="华文中宋" w:eastAsia="仿宋_GB2312" w:cs="华文中宋"/>
          <w:sz w:val="24"/>
        </w:rPr>
        <w:t>给中标单位。</w:t>
      </w:r>
    </w:p>
    <w:p>
      <w:pPr>
        <w:spacing w:line="360" w:lineRule="auto"/>
        <w:ind w:firstLine="480" w:firstLineChars="200"/>
        <w:rPr>
          <w:rFonts w:ascii="仿宋_GB2312" w:hAnsi="华文中宋" w:eastAsia="仿宋_GB2312" w:cs="华文中宋"/>
          <w:kern w:val="0"/>
          <w:sz w:val="24"/>
          <w:lang w:bidi="ar"/>
        </w:rPr>
      </w:pPr>
      <w:r>
        <w:rPr>
          <w:rFonts w:ascii="仿宋_GB2312" w:hAnsi="华文中宋" w:eastAsia="仿宋_GB2312" w:cs="华文中宋"/>
          <w:kern w:val="0"/>
          <w:sz w:val="24"/>
          <w:lang w:bidi="ar"/>
        </w:rPr>
        <w:t>9</w:t>
      </w:r>
      <w:r>
        <w:rPr>
          <w:rFonts w:hint="eastAsia" w:ascii="仿宋_GB2312" w:hAnsi="华文中宋" w:eastAsia="仿宋_GB2312" w:cs="华文中宋"/>
          <w:kern w:val="0"/>
          <w:sz w:val="24"/>
          <w:lang w:bidi="ar"/>
        </w:rPr>
        <w:t>.报价单位资质</w:t>
      </w:r>
    </w:p>
    <w:p>
      <w:pPr>
        <w:spacing w:line="360" w:lineRule="auto"/>
        <w:ind w:firstLine="480" w:firstLineChars="200"/>
        <w:jc w:val="left"/>
        <w:rPr>
          <w:rFonts w:ascii="仿宋_GB2312" w:hAnsi="华文中宋" w:eastAsia="仿宋_GB2312" w:cs="华文中宋"/>
          <w:kern w:val="0"/>
          <w:sz w:val="24"/>
          <w:lang w:val="zh-CN" w:bidi="ar"/>
        </w:rPr>
      </w:pPr>
      <w:r>
        <w:rPr>
          <w:rFonts w:hint="eastAsia" w:ascii="仿宋_GB2312" w:hAnsi="华文中宋" w:eastAsia="仿宋_GB2312" w:cs="华文中宋"/>
          <w:kern w:val="0"/>
          <w:sz w:val="24"/>
          <w:lang w:val="zh-CN" w:bidi="ar"/>
        </w:rPr>
        <w:t>报价人应在中华人民共和国注册合法持有营业执照（</w:t>
      </w:r>
      <w:r>
        <w:rPr>
          <w:rFonts w:hint="eastAsia" w:ascii="仿宋_GB2312" w:hAnsi="华文中宋" w:eastAsia="仿宋_GB2312" w:cs="华文中宋"/>
          <w:kern w:val="0"/>
          <w:sz w:val="24"/>
          <w:lang w:bidi="ar"/>
        </w:rPr>
        <w:t>五（三）</w:t>
      </w:r>
      <w:r>
        <w:rPr>
          <w:rFonts w:hint="eastAsia" w:ascii="仿宋_GB2312" w:hAnsi="华文中宋" w:eastAsia="仿宋_GB2312" w:cs="华文中宋"/>
          <w:kern w:val="0"/>
          <w:sz w:val="24"/>
          <w:lang w:val="zh-CN" w:bidi="ar"/>
        </w:rPr>
        <w:t>证合一提供唯一号码）。</w:t>
      </w:r>
    </w:p>
    <w:p>
      <w:pPr>
        <w:widowControl/>
        <w:jc w:val="left"/>
      </w:pPr>
      <w:r>
        <w:br w:type="page"/>
      </w:r>
    </w:p>
    <w:p>
      <w:pPr>
        <w:sectPr>
          <w:headerReference r:id="rId3" w:type="default"/>
          <w:footerReference r:id="rId4" w:type="default"/>
          <w:pgSz w:w="11906" w:h="16838"/>
          <w:pgMar w:top="1440" w:right="1797" w:bottom="1440" w:left="1797" w:header="851" w:footer="992" w:gutter="0"/>
          <w:cols w:space="720" w:num="1"/>
          <w:docGrid w:type="lines" w:linePitch="319" w:charSpace="0"/>
        </w:sectPr>
      </w:pPr>
    </w:p>
    <w:tbl>
      <w:tblPr>
        <w:tblStyle w:val="10"/>
        <w:tblW w:w="14159" w:type="dxa"/>
        <w:jc w:val="center"/>
        <w:tblLayout w:type="fixed"/>
        <w:tblCellMar>
          <w:top w:w="0" w:type="dxa"/>
          <w:left w:w="108" w:type="dxa"/>
          <w:bottom w:w="0" w:type="dxa"/>
          <w:right w:w="108" w:type="dxa"/>
        </w:tblCellMar>
      </w:tblPr>
      <w:tblGrid>
        <w:gridCol w:w="14159"/>
      </w:tblGrid>
      <w:tr>
        <w:tblPrEx>
          <w:tblCellMar>
            <w:top w:w="0" w:type="dxa"/>
            <w:left w:w="108" w:type="dxa"/>
            <w:bottom w:w="0" w:type="dxa"/>
            <w:right w:w="108" w:type="dxa"/>
          </w:tblCellMar>
        </w:tblPrEx>
        <w:trPr>
          <w:trHeight w:val="375" w:hRule="atLeast"/>
          <w:jc w:val="center"/>
        </w:trPr>
        <w:tc>
          <w:tcPr>
            <w:tcW w:w="14159" w:type="dxa"/>
            <w:tcBorders>
              <w:top w:val="nil"/>
              <w:bottom w:val="single" w:color="auto" w:sz="4" w:space="0"/>
              <w:right w:val="nil"/>
            </w:tcBorders>
            <w:shd w:val="clear" w:color="auto" w:fill="auto"/>
            <w:vAlign w:val="center"/>
          </w:tcPr>
          <w:p>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报价清单</w:t>
            </w:r>
          </w:p>
          <w:tbl>
            <w:tblPr>
              <w:tblStyle w:val="10"/>
              <w:tblW w:w="13830" w:type="dxa"/>
              <w:tblInd w:w="0" w:type="dxa"/>
              <w:tblLayout w:type="fixed"/>
              <w:tblCellMar>
                <w:top w:w="0" w:type="dxa"/>
                <w:left w:w="108" w:type="dxa"/>
                <w:bottom w:w="0" w:type="dxa"/>
                <w:right w:w="108" w:type="dxa"/>
              </w:tblCellMar>
            </w:tblPr>
            <w:tblGrid>
              <w:gridCol w:w="705"/>
              <w:gridCol w:w="1185"/>
              <w:gridCol w:w="1260"/>
              <w:gridCol w:w="3660"/>
              <w:gridCol w:w="930"/>
              <w:gridCol w:w="900"/>
              <w:gridCol w:w="2580"/>
              <w:gridCol w:w="2610"/>
            </w:tblGrid>
            <w:tr>
              <w:tblPrEx>
                <w:tblCellMar>
                  <w:top w:w="0" w:type="dxa"/>
                  <w:left w:w="108" w:type="dxa"/>
                  <w:bottom w:w="0" w:type="dxa"/>
                  <w:right w:w="108" w:type="dxa"/>
                </w:tblCellMar>
              </w:tblPrEx>
              <w:trPr>
                <w:trHeight w:val="28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序号</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品名</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品牌规格型号</w:t>
                  </w:r>
                </w:p>
              </w:tc>
              <w:tc>
                <w:tcPr>
                  <w:tcW w:w="3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图片</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单位</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数量</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所报单价</w:t>
                  </w:r>
                </w:p>
              </w:tc>
              <w:tc>
                <w:tcPr>
                  <w:tcW w:w="26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所报总价</w:t>
                  </w:r>
                </w:p>
              </w:tc>
            </w:tr>
            <w:tr>
              <w:tblPrEx>
                <w:tblCellMar>
                  <w:top w:w="0" w:type="dxa"/>
                  <w:left w:w="108" w:type="dxa"/>
                  <w:bottom w:w="0" w:type="dxa"/>
                  <w:right w:w="108" w:type="dxa"/>
                </w:tblCellMar>
              </w:tblPrEx>
              <w:trPr>
                <w:trHeight w:val="1842"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0"/>
                      <w:szCs w:val="20"/>
                      <w:lang w:eastAsia="zh-CN"/>
                    </w:rPr>
                  </w:pPr>
                  <w:r>
                    <w:rPr>
                      <w:rFonts w:hint="eastAsia" w:ascii="仿宋_GB2312" w:hAnsi="等线" w:eastAsia="仿宋_GB2312" w:cs="宋体"/>
                      <w:color w:val="000000"/>
                      <w:kern w:val="0"/>
                      <w:sz w:val="20"/>
                      <w:szCs w:val="20"/>
                      <w:lang w:val="en-US" w:eastAsia="zh-CN"/>
                    </w:rPr>
                    <w:t>1</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0"/>
                      <w:szCs w:val="20"/>
                      <w:lang w:val="en-US" w:eastAsia="zh-CN"/>
                    </w:rPr>
                  </w:pPr>
                  <w:r>
                    <w:rPr>
                      <w:rFonts w:hint="eastAsia" w:ascii="仿宋_GB2312" w:hAnsi="等线" w:eastAsia="仿宋_GB2312" w:cs="宋体"/>
                      <w:color w:val="000000"/>
                      <w:kern w:val="0"/>
                      <w:sz w:val="20"/>
                      <w:szCs w:val="20"/>
                      <w:lang w:val="en-US" w:eastAsia="zh-CN"/>
                    </w:rPr>
                    <w:t>激光多能能一体机</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0"/>
                      <w:szCs w:val="20"/>
                      <w:lang w:val="en-US"/>
                    </w:rPr>
                  </w:pPr>
                  <w:r>
                    <w:rPr>
                      <w:rFonts w:hint="eastAsia" w:ascii="仿宋_GB2312" w:hAnsi="等线" w:eastAsia="仿宋_GB2312" w:cs="宋体"/>
                      <w:color w:val="333333"/>
                      <w:kern w:val="0"/>
                      <w:sz w:val="20"/>
                      <w:szCs w:val="20"/>
                      <w:lang w:val="en-US" w:eastAsia="zh-CN"/>
                    </w:rPr>
                    <w:t>惠普1188W激光多功能一体机</w:t>
                  </w:r>
                </w:p>
              </w:tc>
              <w:tc>
                <w:tcPr>
                  <w:tcW w:w="3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drawing>
                      <wp:inline distT="0" distB="0" distL="114300" distR="114300">
                        <wp:extent cx="2303780" cy="1915160"/>
                        <wp:effectExtent l="0" t="0" r="127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303780" cy="1915160"/>
                                </a:xfrm>
                                <a:prstGeom prst="rect">
                                  <a:avLst/>
                                </a:prstGeom>
                                <a:noFill/>
                                <a:ln>
                                  <a:noFill/>
                                </a:ln>
                              </pic:spPr>
                            </pic:pic>
                          </a:graphicData>
                        </a:graphic>
                      </wp:inline>
                    </w:drawing>
                  </w:r>
                </w:p>
              </w:tc>
              <w:tc>
                <w:tcPr>
                  <w:tcW w:w="93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0"/>
                      <w:szCs w:val="20"/>
                      <w:lang w:val="en-US" w:eastAsia="zh-CN"/>
                    </w:rPr>
                  </w:pPr>
                  <w:r>
                    <w:rPr>
                      <w:rFonts w:hint="eastAsia" w:ascii="仿宋_GB2312" w:hAnsi="等线" w:eastAsia="仿宋_GB2312" w:cs="宋体"/>
                      <w:color w:val="000000"/>
                      <w:kern w:val="0"/>
                      <w:sz w:val="20"/>
                      <w:szCs w:val="20"/>
                      <w:lang w:val="en-US" w:eastAsia="zh-CN"/>
                    </w:rPr>
                    <w:t>台</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0"/>
                      <w:szCs w:val="20"/>
                      <w:lang w:val="en-US" w:eastAsia="zh-CN"/>
                    </w:rPr>
                  </w:pPr>
                  <w:r>
                    <w:rPr>
                      <w:rFonts w:hint="eastAsia" w:ascii="仿宋_GB2312" w:hAnsi="等线" w:eastAsia="仿宋_GB2312" w:cs="宋体"/>
                      <w:color w:val="000000"/>
                      <w:kern w:val="0"/>
                      <w:sz w:val="20"/>
                      <w:szCs w:val="20"/>
                      <w:lang w:val="en-US" w:eastAsia="zh-CN"/>
                    </w:rPr>
                    <w:t>1</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2"/>
                      <w:szCs w:val="22"/>
                    </w:rPr>
                  </w:pPr>
                </w:p>
              </w:tc>
              <w:tc>
                <w:tcPr>
                  <w:tcW w:w="2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333333"/>
                      <w:kern w:val="0"/>
                      <w:sz w:val="20"/>
                      <w:szCs w:val="20"/>
                    </w:rPr>
                  </w:pPr>
                </w:p>
              </w:tc>
            </w:tr>
            <w:tr>
              <w:tblPrEx>
                <w:tblCellMar>
                  <w:top w:w="0" w:type="dxa"/>
                  <w:left w:w="108" w:type="dxa"/>
                  <w:bottom w:w="0" w:type="dxa"/>
                  <w:right w:w="108" w:type="dxa"/>
                </w:tblCellMar>
              </w:tblPrEx>
              <w:trPr>
                <w:trHeight w:val="45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244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0"/>
                      <w:szCs w:val="20"/>
                    </w:rPr>
                  </w:pPr>
                  <w:r>
                    <w:rPr>
                      <w:rFonts w:hint="eastAsia" w:ascii="仿宋_GB2312" w:hAnsi="等线" w:eastAsia="仿宋_GB2312" w:cs="宋体"/>
                      <w:b/>
                      <w:bCs/>
                      <w:color w:val="000000"/>
                      <w:kern w:val="0"/>
                      <w:sz w:val="20"/>
                      <w:szCs w:val="20"/>
                    </w:rPr>
                    <w:t>报价总价</w:t>
                  </w:r>
                </w:p>
              </w:tc>
              <w:tc>
                <w:tcPr>
                  <w:tcW w:w="1068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333333"/>
                      <w:kern w:val="0"/>
                      <w:sz w:val="20"/>
                      <w:szCs w:val="20"/>
                    </w:rPr>
                  </w:pPr>
                </w:p>
              </w:tc>
            </w:tr>
            <w:tr>
              <w:tblPrEx>
                <w:tblCellMar>
                  <w:top w:w="0" w:type="dxa"/>
                  <w:left w:w="108" w:type="dxa"/>
                  <w:bottom w:w="0" w:type="dxa"/>
                  <w:right w:w="108" w:type="dxa"/>
                </w:tblCellMar>
              </w:tblPrEx>
              <w:trPr>
                <w:trHeight w:val="45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24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333333"/>
                      <w:kern w:val="0"/>
                      <w:sz w:val="20"/>
                      <w:szCs w:val="20"/>
                    </w:rPr>
                  </w:pPr>
                  <w:r>
                    <w:rPr>
                      <w:rFonts w:hint="eastAsia" w:ascii="仿宋_GB2312" w:hAnsi="等线" w:eastAsia="仿宋_GB2312" w:cs="宋体"/>
                      <w:b/>
                      <w:bCs/>
                      <w:color w:val="000000"/>
                      <w:kern w:val="0"/>
                      <w:sz w:val="20"/>
                      <w:szCs w:val="20"/>
                    </w:rPr>
                    <w:t>最高限价</w:t>
                  </w:r>
                </w:p>
              </w:tc>
              <w:tc>
                <w:tcPr>
                  <w:tcW w:w="106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333333"/>
                      <w:kern w:val="0"/>
                      <w:sz w:val="20"/>
                      <w:szCs w:val="20"/>
                      <w:lang w:val="en-US" w:eastAsia="zh-CN"/>
                    </w:rPr>
                  </w:pPr>
                  <w:r>
                    <w:rPr>
                      <w:rFonts w:hint="eastAsia" w:ascii="宋体" w:hAnsi="宋体" w:cs="宋体"/>
                      <w:b/>
                      <w:bCs/>
                      <w:color w:val="333333"/>
                      <w:kern w:val="0"/>
                      <w:sz w:val="20"/>
                      <w:szCs w:val="20"/>
                      <w:lang w:val="en-US" w:eastAsia="zh-CN"/>
                    </w:rPr>
                    <w:t>1200</w:t>
                  </w:r>
                </w:p>
              </w:tc>
            </w:tr>
            <w:tr>
              <w:tblPrEx>
                <w:tblCellMar>
                  <w:top w:w="0" w:type="dxa"/>
                  <w:left w:w="108" w:type="dxa"/>
                  <w:bottom w:w="0" w:type="dxa"/>
                  <w:right w:w="108" w:type="dxa"/>
                </w:tblCellMar>
              </w:tblPrEx>
              <w:trPr>
                <w:trHeight w:val="45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244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333333"/>
                      <w:kern w:val="0"/>
                      <w:sz w:val="20"/>
                      <w:szCs w:val="20"/>
                    </w:rPr>
                  </w:pPr>
                  <w:r>
                    <w:rPr>
                      <w:rFonts w:hint="eastAsia" w:ascii="仿宋_GB2312" w:hAnsi="等线" w:eastAsia="仿宋_GB2312" w:cs="宋体"/>
                      <w:b/>
                      <w:bCs/>
                      <w:color w:val="000000"/>
                      <w:kern w:val="0"/>
                      <w:sz w:val="20"/>
                      <w:szCs w:val="20"/>
                    </w:rPr>
                    <w:t>报价单位</w:t>
                  </w:r>
                </w:p>
              </w:tc>
              <w:tc>
                <w:tcPr>
                  <w:tcW w:w="1068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333333"/>
                      <w:kern w:val="0"/>
                      <w:sz w:val="20"/>
                      <w:szCs w:val="20"/>
                    </w:rPr>
                  </w:pPr>
                </w:p>
              </w:tc>
            </w:tr>
          </w:tbl>
          <w:p>
            <w:pPr>
              <w:pStyle w:val="2"/>
            </w:pPr>
          </w:p>
        </w:tc>
      </w:tr>
    </w:tbl>
    <w:p>
      <w:bookmarkStart w:id="0" w:name="_GoBack"/>
      <w:bookmarkEnd w:id="0"/>
    </w:p>
    <w:sectPr>
      <w:pgSz w:w="16838" w:h="11906" w:orient="landscape"/>
      <w:pgMar w:top="1134" w:right="1134" w:bottom="1134" w:left="1134"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59264;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t1P+0QAAAAQBAAAPAAAAAAAAAAEAIAAAACIAAABkcnMvZG93bnJldi54&#10;bWxQSwECFAAUAAAACACHTuJAUXZgYsgBAACLAwAADgAAAAAAAAABACAAAAAgAQAAZHJzL2Uyb0Rv&#10;Yy54bWxQSwUGAAAAAAYABgBZAQAAWg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NjU2NjNiZDM0MzBlM2UyMmRlNmRmMWI1MmIzMzEifQ=="/>
  </w:docVars>
  <w:rsids>
    <w:rsidRoot w:val="00172A27"/>
    <w:rsid w:val="000B6136"/>
    <w:rsid w:val="00172A27"/>
    <w:rsid w:val="001C1F05"/>
    <w:rsid w:val="001E160C"/>
    <w:rsid w:val="00207529"/>
    <w:rsid w:val="0025273A"/>
    <w:rsid w:val="002E3DDE"/>
    <w:rsid w:val="00385E28"/>
    <w:rsid w:val="00475A1B"/>
    <w:rsid w:val="00494775"/>
    <w:rsid w:val="007426B5"/>
    <w:rsid w:val="008527E8"/>
    <w:rsid w:val="00866240"/>
    <w:rsid w:val="009A1D99"/>
    <w:rsid w:val="009C1618"/>
    <w:rsid w:val="00B41CA1"/>
    <w:rsid w:val="00C0627E"/>
    <w:rsid w:val="00C43CA8"/>
    <w:rsid w:val="00D82611"/>
    <w:rsid w:val="00DE5586"/>
    <w:rsid w:val="00E22089"/>
    <w:rsid w:val="00FA1CA3"/>
    <w:rsid w:val="0217728A"/>
    <w:rsid w:val="021E1B4E"/>
    <w:rsid w:val="03216E13"/>
    <w:rsid w:val="03C44583"/>
    <w:rsid w:val="0480567A"/>
    <w:rsid w:val="0520288C"/>
    <w:rsid w:val="053B0626"/>
    <w:rsid w:val="05F81957"/>
    <w:rsid w:val="08F10352"/>
    <w:rsid w:val="09B2622C"/>
    <w:rsid w:val="0BF75316"/>
    <w:rsid w:val="0CBC1675"/>
    <w:rsid w:val="0E216386"/>
    <w:rsid w:val="0E7E7C64"/>
    <w:rsid w:val="0F264031"/>
    <w:rsid w:val="0FF72C97"/>
    <w:rsid w:val="112F4AEB"/>
    <w:rsid w:val="12B0666F"/>
    <w:rsid w:val="163254FA"/>
    <w:rsid w:val="170F00AB"/>
    <w:rsid w:val="1844634A"/>
    <w:rsid w:val="18796332"/>
    <w:rsid w:val="19994FF3"/>
    <w:rsid w:val="1A99161F"/>
    <w:rsid w:val="1AA52706"/>
    <w:rsid w:val="1B7246C1"/>
    <w:rsid w:val="1B7A6240"/>
    <w:rsid w:val="1B867945"/>
    <w:rsid w:val="1C71737A"/>
    <w:rsid w:val="1C873E15"/>
    <w:rsid w:val="1D107BE1"/>
    <w:rsid w:val="1D26012F"/>
    <w:rsid w:val="1DA44A1A"/>
    <w:rsid w:val="1E2536F5"/>
    <w:rsid w:val="1F275EC2"/>
    <w:rsid w:val="1F6C32DE"/>
    <w:rsid w:val="20D63407"/>
    <w:rsid w:val="217246B3"/>
    <w:rsid w:val="21BD6633"/>
    <w:rsid w:val="21D56090"/>
    <w:rsid w:val="23256DAA"/>
    <w:rsid w:val="2363459D"/>
    <w:rsid w:val="23710513"/>
    <w:rsid w:val="241A51BE"/>
    <w:rsid w:val="25AE09E7"/>
    <w:rsid w:val="265C645B"/>
    <w:rsid w:val="26995DC4"/>
    <w:rsid w:val="27B566C1"/>
    <w:rsid w:val="29606BB3"/>
    <w:rsid w:val="298A34E2"/>
    <w:rsid w:val="2BB10229"/>
    <w:rsid w:val="2BF05949"/>
    <w:rsid w:val="2CA967EE"/>
    <w:rsid w:val="30973272"/>
    <w:rsid w:val="30990538"/>
    <w:rsid w:val="3214061A"/>
    <w:rsid w:val="32465296"/>
    <w:rsid w:val="329A7E40"/>
    <w:rsid w:val="351E6E1C"/>
    <w:rsid w:val="368A2987"/>
    <w:rsid w:val="3715317A"/>
    <w:rsid w:val="37747B68"/>
    <w:rsid w:val="37EE5BF3"/>
    <w:rsid w:val="3A68437B"/>
    <w:rsid w:val="3AEB3952"/>
    <w:rsid w:val="3BC53205"/>
    <w:rsid w:val="3C06188A"/>
    <w:rsid w:val="3C46071B"/>
    <w:rsid w:val="3C717BBE"/>
    <w:rsid w:val="3FFE02B9"/>
    <w:rsid w:val="418B329E"/>
    <w:rsid w:val="42A5793D"/>
    <w:rsid w:val="45380DA5"/>
    <w:rsid w:val="45D0679E"/>
    <w:rsid w:val="464E37A5"/>
    <w:rsid w:val="47426018"/>
    <w:rsid w:val="49A00C67"/>
    <w:rsid w:val="4A1355A3"/>
    <w:rsid w:val="4AFC21A0"/>
    <w:rsid w:val="4B32450D"/>
    <w:rsid w:val="4B783B5E"/>
    <w:rsid w:val="4B836161"/>
    <w:rsid w:val="51457EE2"/>
    <w:rsid w:val="515F21F7"/>
    <w:rsid w:val="52626166"/>
    <w:rsid w:val="5270700E"/>
    <w:rsid w:val="54542CF5"/>
    <w:rsid w:val="55053C70"/>
    <w:rsid w:val="55844D73"/>
    <w:rsid w:val="55CF1F63"/>
    <w:rsid w:val="574975DC"/>
    <w:rsid w:val="59245047"/>
    <w:rsid w:val="5B4D6AD9"/>
    <w:rsid w:val="5B6E6CE6"/>
    <w:rsid w:val="5E583FD7"/>
    <w:rsid w:val="5E7C02B8"/>
    <w:rsid w:val="5EF3396C"/>
    <w:rsid w:val="5F6E527F"/>
    <w:rsid w:val="5FC64EE1"/>
    <w:rsid w:val="601614E8"/>
    <w:rsid w:val="621E11AD"/>
    <w:rsid w:val="623F66A8"/>
    <w:rsid w:val="62666210"/>
    <w:rsid w:val="62A2745F"/>
    <w:rsid w:val="62BE42B9"/>
    <w:rsid w:val="64172ABC"/>
    <w:rsid w:val="64681A74"/>
    <w:rsid w:val="655C72FC"/>
    <w:rsid w:val="66054401"/>
    <w:rsid w:val="667679BC"/>
    <w:rsid w:val="667D7BFD"/>
    <w:rsid w:val="66810595"/>
    <w:rsid w:val="68E010B9"/>
    <w:rsid w:val="69844530"/>
    <w:rsid w:val="69EF70DA"/>
    <w:rsid w:val="6A026890"/>
    <w:rsid w:val="6A2F664F"/>
    <w:rsid w:val="6AC07030"/>
    <w:rsid w:val="6CA144DC"/>
    <w:rsid w:val="6D333DF9"/>
    <w:rsid w:val="70A028BF"/>
    <w:rsid w:val="70E84D05"/>
    <w:rsid w:val="712F0B3A"/>
    <w:rsid w:val="717C0401"/>
    <w:rsid w:val="72C07E7A"/>
    <w:rsid w:val="75644FBB"/>
    <w:rsid w:val="776858A3"/>
    <w:rsid w:val="78554E13"/>
    <w:rsid w:val="790A4622"/>
    <w:rsid w:val="79AD1034"/>
    <w:rsid w:val="7A103753"/>
    <w:rsid w:val="7A797AD2"/>
    <w:rsid w:val="7CF4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jc w:val="center"/>
      <w:outlineLvl w:val="0"/>
    </w:pPr>
    <w:rPr>
      <w:b/>
      <w:bCs/>
      <w:kern w:val="44"/>
      <w:sz w:val="44"/>
      <w:szCs w:val="44"/>
    </w:rPr>
  </w:style>
  <w:style w:type="paragraph" w:styleId="2">
    <w:name w:val="heading 2"/>
    <w:basedOn w:val="1"/>
    <w:next w:val="1"/>
    <w:qFormat/>
    <w:uiPriority w:val="0"/>
    <w:pPr>
      <w:keepNext/>
      <w:keepLines/>
      <w:adjustRightInd w:val="0"/>
      <w:spacing w:before="40" w:after="40" w:line="300" w:lineRule="auto"/>
      <w:textAlignment w:val="baseline"/>
      <w:outlineLvl w:val="1"/>
    </w:pPr>
    <w:rPr>
      <w:rFonts w:ascii="Arial" w:hAnsi="Arial"/>
      <w:kern w:val="0"/>
      <w:szCs w:val="20"/>
    </w:rPr>
  </w:style>
  <w:style w:type="paragraph" w:styleId="4">
    <w:name w:val="heading 3"/>
    <w:basedOn w:val="1"/>
    <w:next w:val="1"/>
    <w:autoRedefine/>
    <w:qFormat/>
    <w:uiPriority w:val="0"/>
    <w:pPr>
      <w:keepNext/>
      <w:keepLines/>
      <w:spacing w:before="260" w:after="260" w:line="416" w:lineRule="auto"/>
      <w:outlineLvl w:val="2"/>
    </w:pPr>
    <w:rPr>
      <w:rFonts w:ascii="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after="120"/>
      <w:ind w:firstLine="1021"/>
    </w:pPr>
    <w:rPr>
      <w:rFonts w:ascii="Times New Roman"/>
      <w:sz w:val="28"/>
    </w:rPr>
  </w:style>
  <w:style w:type="paragraph" w:styleId="6">
    <w:name w:val="toa heading"/>
    <w:basedOn w:val="1"/>
    <w:next w:val="1"/>
    <w:autoRedefine/>
    <w:semiHidden/>
    <w:qFormat/>
    <w:uiPriority w:val="0"/>
    <w:pPr>
      <w:spacing w:before="120"/>
    </w:pPr>
    <w:rPr>
      <w:rFonts w:ascii="Arial" w:hAnsi="Arial" w:cs="Arial"/>
      <w:sz w:val="24"/>
    </w:rPr>
  </w:style>
  <w:style w:type="paragraph" w:styleId="7">
    <w:name w:val="footer"/>
    <w:basedOn w:val="1"/>
    <w:autoRedefine/>
    <w:qFormat/>
    <w:uiPriority w:val="0"/>
    <w:pPr>
      <w:tabs>
        <w:tab w:val="center" w:pos="4153"/>
        <w:tab w:val="right" w:pos="8306"/>
      </w:tabs>
      <w:snapToGrid w:val="0"/>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
    <w:autoRedefine/>
    <w:qFormat/>
    <w:uiPriority w:val="0"/>
    <w:pPr>
      <w:spacing w:before="100" w:beforeAutospacing="1" w:after="100" w:afterAutospacing="1"/>
      <w:jc w:val="left"/>
    </w:pPr>
    <w:rPr>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autoRedefine/>
    <w:qFormat/>
    <w:uiPriority w:val="0"/>
    <w:pPr>
      <w:widowControl w:val="0"/>
      <w:autoSpaceDE w:val="0"/>
      <w:autoSpaceDN w:val="0"/>
      <w:adjustRightInd w:val="0"/>
    </w:pPr>
    <w:rPr>
      <w:rFonts w:ascii="Times New Roman" w:hAnsi="Courier New" w:eastAsia="Times New Roman" w:cs="Times New Roman"/>
      <w:color w:val="000000"/>
      <w:sz w:val="24"/>
      <w:szCs w:val="24"/>
      <w:lang w:val="en-US" w:eastAsia="zh-CN" w:bidi="ar-SA"/>
    </w:rPr>
  </w:style>
  <w:style w:type="paragraph" w:customStyle="1" w:styleId="14">
    <w:name w:val="Blockquote"/>
    <w:basedOn w:val="1"/>
    <w:autoRedefine/>
    <w:qFormat/>
    <w:uiPriority w:val="0"/>
    <w:pPr>
      <w:autoSpaceDE w:val="0"/>
      <w:autoSpaceDN w:val="0"/>
      <w:adjustRightInd w:val="0"/>
      <w:spacing w:before="100" w:after="100"/>
      <w:ind w:left="360" w:right="360"/>
    </w:pPr>
    <w:rPr>
      <w:rFonts w:ascii="Times New Roman"/>
      <w:kern w:val="0"/>
    </w:rPr>
  </w:style>
  <w:style w:type="paragraph" w:customStyle="1" w:styleId="15">
    <w:name w:val="正文－小4"/>
    <w:basedOn w:val="1"/>
    <w:autoRedefine/>
    <w:qFormat/>
    <w:uiPriority w:val="0"/>
    <w:pPr>
      <w:spacing w:line="360" w:lineRule="exact"/>
      <w:ind w:firstLine="200" w:firstLineChars="200"/>
      <w:jc w:val="left"/>
    </w:pPr>
    <w:rPr>
      <w:sz w:val="24"/>
    </w:rPr>
  </w:style>
  <w:style w:type="character" w:customStyle="1" w:styleId="16">
    <w:name w:val="font41"/>
    <w:basedOn w:val="12"/>
    <w:autoRedefine/>
    <w:qFormat/>
    <w:uiPriority w:val="0"/>
    <w:rPr>
      <w:rFonts w:hint="eastAsia" w:ascii="宋体" w:hAnsi="宋体" w:eastAsia="宋体" w:cs="宋体"/>
      <w:color w:val="000000"/>
      <w:sz w:val="20"/>
      <w:szCs w:val="20"/>
      <w:u w:val="none"/>
    </w:rPr>
  </w:style>
  <w:style w:type="character" w:customStyle="1" w:styleId="17">
    <w:name w:val="font51"/>
    <w:basedOn w:val="12"/>
    <w:autoRedefine/>
    <w:qFormat/>
    <w:uiPriority w:val="0"/>
    <w:rPr>
      <w:rFonts w:hint="eastAsia" w:ascii="宋体" w:hAnsi="宋体" w:eastAsia="宋体" w:cs="宋体"/>
      <w:color w:val="000000"/>
      <w:sz w:val="24"/>
      <w:szCs w:val="24"/>
      <w:u w:val="none"/>
    </w:rPr>
  </w:style>
  <w:style w:type="character" w:customStyle="1" w:styleId="18">
    <w:name w:val="font11"/>
    <w:basedOn w:val="12"/>
    <w:autoRedefine/>
    <w:qFormat/>
    <w:uiPriority w:val="0"/>
    <w:rPr>
      <w:rFonts w:hint="eastAsia" w:ascii="宋体" w:hAnsi="宋体" w:eastAsia="宋体" w:cs="宋体"/>
      <w:color w:val="000000"/>
      <w:sz w:val="24"/>
      <w:szCs w:val="24"/>
      <w:u w:val="none"/>
    </w:rPr>
  </w:style>
  <w:style w:type="character" w:customStyle="1" w:styleId="19">
    <w:name w:val="font01"/>
    <w:basedOn w:val="12"/>
    <w:autoRedefine/>
    <w:qFormat/>
    <w:uiPriority w:val="0"/>
    <w:rPr>
      <w:rFonts w:hint="eastAsia" w:ascii="宋体" w:hAnsi="宋体" w:eastAsia="宋体" w:cs="宋体"/>
      <w:color w:val="000000"/>
      <w:sz w:val="20"/>
      <w:szCs w:val="20"/>
      <w:u w:val="none"/>
    </w:rPr>
  </w:style>
  <w:style w:type="character" w:customStyle="1" w:styleId="20">
    <w:name w:val="font21"/>
    <w:basedOn w:val="1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1102</Words>
  <Characters>1135</Characters>
  <Lines>13</Lines>
  <Paragraphs>3</Paragraphs>
  <TotalTime>20</TotalTime>
  <ScaleCrop>false</ScaleCrop>
  <LinksUpToDate>false</LinksUpToDate>
  <CharactersWithSpaces>1146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2020-12-02T08:14:00Z</dcterms:created>
  <dc:creator>Administrator</dc:creator>
  <cp:lastModifiedBy>王建业</cp:lastModifiedBy>
  <cp:lastPrinted>2023-10-18T02:13:00Z</cp:lastPrinted>
  <dcterms:modified xsi:type="dcterms:W3CDTF">2024-05-28T00:55:14Z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A9C7776D0380409684F5CD07AB0A11F2_13</vt:lpwstr>
  </property>
</Properties>
</file>