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183" w:lineRule="auto"/>
        <w:jc w:val="center"/>
        <w:rPr>
          <w:rFonts w:hint="eastAsia" w:ascii="宋体" w:hAnsi="宋体" w:eastAsia="宋体" w:cs="宋体"/>
          <w:b/>
          <w:bCs/>
          <w:spacing w:val="-1"/>
          <w:sz w:val="30"/>
          <w:szCs w:val="30"/>
        </w:rPr>
      </w:pPr>
      <w:r>
        <w:rPr>
          <w:rFonts w:hint="eastAsia" w:ascii="宋体" w:hAnsi="宋体" w:eastAsia="宋体" w:cs="宋体"/>
          <w:b/>
          <w:bCs/>
          <w:sz w:val="30"/>
          <w:szCs w:val="30"/>
          <w:lang w:val="en-US" w:eastAsia="zh-CN"/>
        </w:rPr>
        <w:t>富春绿谷土方外运项目-爆破服务</w:t>
      </w:r>
      <w:r>
        <w:rPr>
          <w:rFonts w:hint="eastAsia" w:ascii="宋体" w:hAnsi="宋体" w:eastAsia="宋体" w:cs="宋体"/>
          <w:b/>
          <w:bCs/>
          <w:sz w:val="30"/>
          <w:szCs w:val="30"/>
        </w:rPr>
        <w:t>在线询价商务</w:t>
      </w:r>
      <w:r>
        <w:rPr>
          <w:rFonts w:hint="eastAsia" w:ascii="宋体" w:hAnsi="宋体" w:eastAsia="宋体" w:cs="宋体"/>
          <w:b/>
          <w:bCs/>
          <w:spacing w:val="-1"/>
          <w:sz w:val="30"/>
          <w:szCs w:val="30"/>
        </w:rPr>
        <w:t>要求</w:t>
      </w:r>
    </w:p>
    <w:p>
      <w:pPr>
        <w:spacing w:before="129" w:line="183" w:lineRule="auto"/>
        <w:ind w:left="1069"/>
        <w:rPr>
          <w:rFonts w:hint="eastAsia" w:ascii="宋体" w:hAnsi="宋体" w:eastAsia="宋体" w:cs="宋体"/>
          <w:b/>
          <w:bCs/>
          <w:spacing w:val="-1"/>
          <w:sz w:val="30"/>
          <w:szCs w:val="30"/>
        </w:rPr>
      </w:pPr>
    </w:p>
    <w:p>
      <w:pPr>
        <w:pStyle w:val="3"/>
        <w:keepNext w:val="0"/>
        <w:keepLines w:val="0"/>
        <w:pageBreakBefore w:val="0"/>
        <w:widowControl/>
        <w:kinsoku w:val="0"/>
        <w:wordWrap/>
        <w:overflowPunct/>
        <w:topLinePunct w:val="0"/>
        <w:autoSpaceDE w:val="0"/>
        <w:autoSpaceDN w:val="0"/>
        <w:bidi w:val="0"/>
        <w:adjustRightInd w:val="0"/>
        <w:snapToGrid w:val="0"/>
        <w:spacing w:before="62" w:line="400" w:lineRule="exact"/>
        <w:ind w:left="15" w:firstLine="504" w:firstLineChars="200"/>
        <w:textAlignment w:val="baseline"/>
        <w:outlineLvl w:val="0"/>
        <w:rPr>
          <w:sz w:val="24"/>
          <w:szCs w:val="24"/>
        </w:rPr>
      </w:pPr>
      <w:r>
        <w:rPr>
          <w:rFonts w:hint="eastAsia"/>
          <w:spacing w:val="6"/>
          <w:sz w:val="24"/>
          <w:szCs w:val="24"/>
          <w:lang w:val="en-US" w:eastAsia="zh-CN"/>
          <w14:textOutline w14:w="3614" w14:cap="sq" w14:cmpd="sng">
            <w14:solidFill>
              <w14:srgbClr w14:val="000000"/>
            </w14:solidFill>
            <w14:prstDash w14:val="solid"/>
            <w14:bevel/>
          </w14:textOutline>
        </w:rPr>
        <w:t>一</w:t>
      </w:r>
      <w:r>
        <w:rPr>
          <w:spacing w:val="6"/>
          <w:sz w:val="24"/>
          <w:szCs w:val="24"/>
          <w14:textOutline w14:w="3614" w14:cap="sq" w14:cmpd="sng">
            <w14:solidFill>
              <w14:srgbClr w14:val="000000"/>
            </w14:solidFill>
            <w14:prstDash w14:val="solid"/>
            <w14:bevel/>
          </w14:textOutline>
        </w:rPr>
        <w:t>、项目概况</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firstLine="480" w:firstLineChars="200"/>
        <w:textAlignment w:val="baseline"/>
        <w:rPr>
          <w:rFonts w:hint="eastAsia"/>
          <w:sz w:val="24"/>
          <w:szCs w:val="24"/>
        </w:rPr>
      </w:pPr>
      <w:r>
        <w:rPr>
          <w:rFonts w:hint="eastAsia"/>
          <w:sz w:val="24"/>
          <w:szCs w:val="24"/>
          <w:lang w:eastAsia="zh-CN"/>
        </w:rPr>
        <w:t>为</w:t>
      </w:r>
      <w:r>
        <w:rPr>
          <w:rFonts w:hint="eastAsia"/>
          <w:sz w:val="24"/>
          <w:szCs w:val="24"/>
        </w:rPr>
        <w:t>推动区域经济的持续发展，</w:t>
      </w:r>
      <w:r>
        <w:rPr>
          <w:rFonts w:hint="eastAsia"/>
          <w:sz w:val="24"/>
          <w:szCs w:val="24"/>
          <w:lang w:eastAsia="zh-CN"/>
        </w:rPr>
        <w:t>满足产业引进，</w:t>
      </w:r>
      <w:r>
        <w:rPr>
          <w:rFonts w:hint="eastAsia"/>
          <w:sz w:val="24"/>
          <w:szCs w:val="24"/>
        </w:rPr>
        <w:t>富阳区政府决定实施“富春绿谷”项目。</w:t>
      </w:r>
      <w:r>
        <w:rPr>
          <w:rFonts w:hint="eastAsia"/>
          <w:sz w:val="24"/>
          <w:szCs w:val="24"/>
          <w:lang w:eastAsia="zh-CN"/>
        </w:rPr>
        <w:t>由交通集团对富春绿谷地块进行场平工程，目前项目已完成供地，正进行场地平整，现场约</w:t>
      </w:r>
      <w:r>
        <w:rPr>
          <w:rFonts w:hint="eastAsia"/>
          <w:sz w:val="24"/>
          <w:szCs w:val="24"/>
          <w:lang w:val="en-US" w:eastAsia="zh-CN"/>
        </w:rPr>
        <w:t>5.3万方石料（暂估数量，具体以实际数量为准）需完成爆破外运</w:t>
      </w:r>
      <w:r>
        <w:rPr>
          <w:rFonts w:hint="eastAsia"/>
          <w:sz w:val="24"/>
          <w:szCs w:val="24"/>
        </w:rPr>
        <w:t>。为了满足这一需求，</w:t>
      </w:r>
      <w:r>
        <w:rPr>
          <w:rFonts w:hint="eastAsia"/>
          <w:sz w:val="24"/>
          <w:szCs w:val="24"/>
          <w:lang w:eastAsia="zh-CN"/>
        </w:rPr>
        <w:t>面向市场进行爆破服务采购，具体采购需求如下</w:t>
      </w:r>
      <w:r>
        <w:rPr>
          <w:rFonts w:hint="eastAsia"/>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before="62" w:line="400" w:lineRule="exact"/>
        <w:ind w:left="15" w:firstLine="504" w:firstLineChars="200"/>
        <w:textAlignment w:val="baseline"/>
        <w:outlineLvl w:val="0"/>
        <w:rPr>
          <w:rFonts w:hint="eastAsia"/>
          <w:spacing w:val="6"/>
          <w:sz w:val="24"/>
          <w:szCs w:val="24"/>
          <w:lang w:val="en-US" w:eastAsia="zh-CN"/>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二、项目内容</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firstLine="480" w:firstLineChars="200"/>
        <w:textAlignment w:val="baseline"/>
        <w:rPr>
          <w:rFonts w:hint="eastAsia"/>
          <w:sz w:val="24"/>
          <w:szCs w:val="24"/>
          <w:lang w:val="en-US" w:eastAsia="zh-CN"/>
        </w:rPr>
      </w:pPr>
      <w:r>
        <w:rPr>
          <w:rFonts w:hint="eastAsia"/>
          <w:sz w:val="24"/>
          <w:szCs w:val="24"/>
          <w:lang w:val="en-US" w:eastAsia="zh-CN"/>
        </w:rPr>
        <w:t>1.爆破内容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“富春绿谷”爆破内容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名称</w:t>
            </w:r>
          </w:p>
        </w:tc>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数量</w:t>
            </w:r>
          </w:p>
        </w:tc>
        <w:tc>
          <w:tcPr>
            <w:tcW w:w="2131"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单位</w:t>
            </w:r>
          </w:p>
        </w:tc>
        <w:tc>
          <w:tcPr>
            <w:tcW w:w="2131"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面积</w:t>
            </w:r>
          </w:p>
        </w:tc>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15000</w:t>
            </w:r>
          </w:p>
        </w:tc>
        <w:tc>
          <w:tcPr>
            <w:tcW w:w="2131"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m²</w:t>
            </w:r>
          </w:p>
        </w:tc>
        <w:tc>
          <w:tcPr>
            <w:tcW w:w="2131" w:type="dxa"/>
            <w:noWrap w:val="0"/>
            <w:vAlign w:val="center"/>
          </w:tcPr>
          <w:p>
            <w:pPr>
              <w:pStyle w:val="3"/>
              <w:spacing w:line="228" w:lineRule="auto"/>
              <w:ind w:left="2" w:firstLine="480" w:firstLineChars="20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工程量</w:t>
            </w:r>
          </w:p>
        </w:tc>
        <w:tc>
          <w:tcPr>
            <w:tcW w:w="2130"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53000（暂估数量，具体以实际数量为准）</w:t>
            </w:r>
          </w:p>
        </w:tc>
        <w:tc>
          <w:tcPr>
            <w:tcW w:w="2131"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m³</w:t>
            </w:r>
          </w:p>
        </w:tc>
        <w:tc>
          <w:tcPr>
            <w:tcW w:w="2131" w:type="dxa"/>
            <w:noWrap w:val="0"/>
            <w:vAlign w:val="center"/>
          </w:tcPr>
          <w:p>
            <w:pPr>
              <w:pStyle w:val="3"/>
              <w:spacing w:line="228" w:lineRule="auto"/>
              <w:jc w:val="center"/>
              <w:rPr>
                <w:rFonts w:hint="eastAsia"/>
                <w:sz w:val="24"/>
                <w:szCs w:val="24"/>
                <w:lang w:val="en-US" w:eastAsia="zh-CN"/>
              </w:rPr>
            </w:pPr>
            <w:r>
              <w:rPr>
                <w:rFonts w:hint="eastAsia"/>
                <w:sz w:val="24"/>
                <w:szCs w:val="24"/>
                <w:lang w:val="en-US" w:eastAsia="zh-CN"/>
              </w:rPr>
              <w:t>石料强度约51.7MPa</w:t>
            </w:r>
          </w:p>
        </w:tc>
      </w:tr>
    </w:tbl>
    <w:p>
      <w:pPr>
        <w:pStyle w:val="3"/>
        <w:spacing w:line="228" w:lineRule="auto"/>
        <w:ind w:left="2" w:firstLine="480" w:firstLineChars="200"/>
        <w:rPr>
          <w:rFonts w:hint="eastAsia"/>
          <w:sz w:val="24"/>
          <w:szCs w:val="24"/>
          <w:lang w:val="en-US" w:eastAsia="zh-CN"/>
        </w:rPr>
      </w:pPr>
      <w:r>
        <w:rPr>
          <w:rFonts w:hint="eastAsia"/>
          <w:sz w:val="24"/>
          <w:szCs w:val="24"/>
          <w:lang w:val="en-US" w:eastAsia="zh-CN"/>
        </w:rPr>
        <w:t>附图：</w:t>
      </w:r>
    </w:p>
    <w:p>
      <w:pPr>
        <w:pStyle w:val="3"/>
        <w:spacing w:line="228" w:lineRule="auto"/>
        <w:ind w:left="2" w:firstLine="480" w:firstLineChars="200"/>
        <w:rPr>
          <w:sz w:val="24"/>
          <w:szCs w:val="24"/>
        </w:rPr>
      </w:pPr>
      <w:r>
        <w:rPr>
          <w:rFonts w:hint="eastAsia"/>
          <w:sz w:val="24"/>
          <w:szCs w:val="24"/>
          <w:lang w:val="en-US" w:eastAsia="zh-CN"/>
        </w:rPr>
        <w:drawing>
          <wp:inline distT="0" distB="0" distL="114300" distR="114300">
            <wp:extent cx="3409950" cy="4250690"/>
            <wp:effectExtent l="0" t="0" r="3810" b="1270"/>
            <wp:docPr id="2" name="图片 2" descr="富春绿谷场地土方外运项目（一期红线-中期）标高现状图-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富春绿谷场地土方外运项目（一期红线-中期）标高现状图-Model_00"/>
                    <pic:cNvPicPr>
                      <a:picLocks noChangeAspect="1"/>
                    </pic:cNvPicPr>
                  </pic:nvPicPr>
                  <pic:blipFill>
                    <a:blip r:embed="rId8"/>
                    <a:srcRect l="21487" r="21729"/>
                    <a:stretch>
                      <a:fillRect/>
                    </a:stretch>
                  </pic:blipFill>
                  <pic:spPr>
                    <a:xfrm>
                      <a:off x="0" y="0"/>
                      <a:ext cx="3409950" cy="4250690"/>
                    </a:xfrm>
                    <a:prstGeom prst="rect">
                      <a:avLst/>
                    </a:prstGeom>
                    <a:noFill/>
                    <a:ln>
                      <a:noFill/>
                    </a:ln>
                  </pic:spPr>
                </pic:pic>
              </a:graphicData>
            </a:graphic>
          </wp:inline>
        </w:drawing>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left="15" w:firstLine="504" w:firstLineChars="200"/>
        <w:textAlignment w:val="baseline"/>
        <w:outlineLvl w:val="0"/>
        <w:rPr>
          <w:spacing w:val="6"/>
          <w:sz w:val="24"/>
          <w:szCs w:val="24"/>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三</w:t>
      </w:r>
      <w:r>
        <w:rPr>
          <w:spacing w:val="6"/>
          <w:sz w:val="24"/>
          <w:szCs w:val="24"/>
          <w14:textOutline w14:w="3614" w14:cap="sq" w14:cmpd="sng">
            <w14:solidFill>
              <w14:srgbClr w14:val="000000"/>
            </w14:solidFill>
            <w14:prstDash w14:val="solid"/>
            <w14:bevel/>
          </w14:textOutline>
        </w:rPr>
        <w:t>、资质要求</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1.</w:t>
      </w:r>
      <w:r>
        <w:rPr>
          <w:rFonts w:hint="eastAsia"/>
          <w:sz w:val="24"/>
          <w:szCs w:val="24"/>
          <w:lang w:eastAsia="zh-CN"/>
        </w:rPr>
        <w:t>须具备</w:t>
      </w:r>
      <w:r>
        <w:rPr>
          <w:rFonts w:hint="eastAsia"/>
          <w:sz w:val="24"/>
          <w:szCs w:val="24"/>
          <w:lang w:val="en-US" w:eastAsia="zh-CN"/>
        </w:rPr>
        <w:t>爆破作业单位许可证</w:t>
      </w:r>
      <w:r>
        <w:rPr>
          <w:rFonts w:hint="eastAsia"/>
          <w:sz w:val="24"/>
          <w:szCs w:val="24"/>
          <w:lang w:eastAsia="zh-CN"/>
        </w:rPr>
        <w:t>的企业；</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2.</w:t>
      </w:r>
      <w:r>
        <w:rPr>
          <w:rFonts w:hint="eastAsia"/>
          <w:sz w:val="24"/>
          <w:szCs w:val="24"/>
          <w:lang w:eastAsia="zh-CN"/>
        </w:rPr>
        <w:t>须具备</w:t>
      </w:r>
      <w:r>
        <w:rPr>
          <w:rFonts w:hint="eastAsia"/>
          <w:sz w:val="24"/>
          <w:szCs w:val="24"/>
          <w:lang w:val="en-US" w:eastAsia="zh-CN"/>
        </w:rPr>
        <w:t>安全生产许可证</w:t>
      </w:r>
      <w:r>
        <w:rPr>
          <w:rFonts w:hint="eastAsia"/>
          <w:sz w:val="24"/>
          <w:szCs w:val="24"/>
          <w:lang w:eastAsia="zh-CN"/>
        </w:rPr>
        <w:t>的企业；</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本项目不接受联合体投标。</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504" w:firstLineChars="200"/>
        <w:textAlignment w:val="baseline"/>
        <w:rPr>
          <w:rFonts w:hint="eastAsia"/>
          <w:sz w:val="24"/>
          <w:szCs w:val="24"/>
          <w:lang w:eastAsia="zh-CN"/>
        </w:rPr>
      </w:pPr>
      <w:r>
        <w:rPr>
          <w:spacing w:val="6"/>
          <w:sz w:val="24"/>
          <w:szCs w:val="24"/>
          <w14:textOutline w14:w="3614" w14:cap="sq" w14:cmpd="sng">
            <w14:solidFill>
              <w14:srgbClr w14:val="000000"/>
            </w14:solidFill>
            <w14:prstDash w14:val="solid"/>
            <w14:bevel/>
          </w14:textOutline>
        </w:rPr>
        <w:t>证明材料：</w:t>
      </w:r>
      <w:r>
        <w:rPr>
          <w:rFonts w:hint="eastAsia"/>
          <w:sz w:val="24"/>
          <w:szCs w:val="24"/>
          <w:lang w:eastAsia="zh-CN"/>
        </w:rPr>
        <w:t>营业执照复印件、资质证书复印件。</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left="2" w:leftChars="0" w:firstLine="504" w:firstLineChars="200"/>
        <w:textAlignment w:val="baseline"/>
        <w:rPr>
          <w:rFonts w:hint="eastAsia"/>
          <w:sz w:val="24"/>
          <w:szCs w:val="24"/>
          <w:lang w:val="en-US" w:eastAsia="zh-CN"/>
        </w:rPr>
      </w:pPr>
      <w:r>
        <w:rPr>
          <w:rFonts w:hint="eastAsia"/>
          <w:spacing w:val="6"/>
          <w:sz w:val="24"/>
          <w:szCs w:val="24"/>
          <w:lang w:val="en-US" w:eastAsia="zh-CN"/>
          <w14:textOutline w14:w="3614" w14:cap="sq" w14:cmpd="sng">
            <w14:solidFill>
              <w14:srgbClr w14:val="000000"/>
            </w14:solidFill>
            <w14:prstDash w14:val="solid"/>
            <w14:bevel/>
          </w14:textOutline>
        </w:rPr>
        <w:t>四、项目要求</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 xml:space="preserve">1.由中标单位进行方案编制并向公安部门完成报批，报批通过后实施爆破 </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textAlignment w:val="baseline"/>
        <w:outlineLvl w:val="0"/>
        <w:rPr>
          <w:rFonts w:hint="eastAsia"/>
          <w:sz w:val="24"/>
          <w:szCs w:val="24"/>
          <w:lang w:val="en-US" w:eastAsia="zh-CN"/>
        </w:rPr>
      </w:pPr>
      <w:r>
        <w:rPr>
          <w:rFonts w:hint="eastAsia"/>
          <w:sz w:val="24"/>
          <w:szCs w:val="24"/>
          <w:lang w:val="en-US" w:eastAsia="zh-CN"/>
        </w:rPr>
        <w:t xml:space="preserve">服务。 </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 xml:space="preserve">2.要求爆破至标高80米（黄海高程）。 </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3.爆破完成后所有石块、材料的粒径不大于1米，确保能正常装车外运。</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 xml:space="preserve">4.符合中华人民共和国行业现行标准、相关文件政策及有关验收要求，并 </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textAlignment w:val="baseline"/>
        <w:outlineLvl w:val="0"/>
        <w:rPr>
          <w:rFonts w:hint="eastAsia"/>
          <w:sz w:val="24"/>
          <w:szCs w:val="24"/>
          <w:lang w:val="en-US" w:eastAsia="zh-CN"/>
        </w:rPr>
      </w:pPr>
      <w:r>
        <w:rPr>
          <w:rFonts w:hint="eastAsia"/>
          <w:sz w:val="24"/>
          <w:szCs w:val="24"/>
          <w:lang w:val="en-US" w:eastAsia="zh-CN"/>
        </w:rPr>
        <w:t xml:space="preserve">通过我方验收合格。 </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504" w:firstLineChars="200"/>
        <w:textAlignment w:val="baseline"/>
        <w:outlineLvl w:val="0"/>
        <w:rPr>
          <w:spacing w:val="6"/>
          <w:sz w:val="24"/>
          <w:szCs w:val="24"/>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五</w:t>
      </w:r>
      <w:r>
        <w:rPr>
          <w:spacing w:val="6"/>
          <w:sz w:val="24"/>
          <w:szCs w:val="24"/>
          <w14:textOutline w14:w="3614" w14:cap="sq" w14:cmpd="sng">
            <w14:solidFill>
              <w14:srgbClr w14:val="000000"/>
            </w14:solidFill>
            <w14:prstDash w14:val="solid"/>
            <w14:bevel/>
          </w14:textOutline>
        </w:rPr>
        <w:t>、服务期</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default"/>
          <w:sz w:val="24"/>
          <w:szCs w:val="24"/>
          <w:highlight w:val="none"/>
          <w:lang w:val="en-US" w:eastAsia="zh-CN"/>
        </w:rPr>
      </w:pPr>
      <w:r>
        <w:rPr>
          <w:rFonts w:hint="eastAsia"/>
          <w:sz w:val="24"/>
          <w:szCs w:val="24"/>
          <w:highlight w:val="none"/>
          <w:lang w:val="en-US" w:eastAsia="zh-CN"/>
        </w:rPr>
        <w:t>签订合同之日起2个月内完成项目，并验收合格。</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left="15" w:firstLine="504" w:firstLineChars="200"/>
        <w:textAlignment w:val="baseline"/>
        <w:outlineLvl w:val="0"/>
        <w:rPr>
          <w:b w:val="0"/>
          <w:bCs w:val="0"/>
          <w:spacing w:val="6"/>
          <w:sz w:val="24"/>
          <w:szCs w:val="24"/>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六</w:t>
      </w:r>
      <w:r>
        <w:rPr>
          <w:spacing w:val="6"/>
          <w:sz w:val="24"/>
          <w:szCs w:val="24"/>
          <w14:textOutline w14:w="3614" w14:cap="sq" w14:cmpd="sng">
            <w14:solidFill>
              <w14:srgbClr w14:val="000000"/>
            </w14:solidFill>
            <w14:prstDash w14:val="solid"/>
            <w14:bevel/>
          </w14:textOutline>
        </w:rPr>
        <w:t>、报</w:t>
      </w:r>
      <w:r>
        <w:rPr>
          <w:b w:val="0"/>
          <w:bCs w:val="0"/>
          <w:spacing w:val="6"/>
          <w:sz w:val="24"/>
          <w:szCs w:val="24"/>
          <w14:textOutline w14:w="3614" w14:cap="sq" w14:cmpd="sng">
            <w14:solidFill>
              <w14:srgbClr w14:val="000000"/>
            </w14:solidFill>
            <w14:prstDash w14:val="solid"/>
            <w14:bevel/>
          </w14:textOutline>
        </w:rPr>
        <w:t>价说明</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1.</w:t>
      </w:r>
      <w:r>
        <w:rPr>
          <w:rFonts w:hint="eastAsia"/>
          <w:sz w:val="24"/>
          <w:szCs w:val="24"/>
          <w:lang w:eastAsia="zh-CN"/>
        </w:rPr>
        <w:t>本项目报价必须包括所有与本项目服务相关的、有关本项目实施所涉及的一切费用。</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2.</w:t>
      </w:r>
      <w:r>
        <w:rPr>
          <w:rFonts w:hint="eastAsia"/>
          <w:sz w:val="24"/>
          <w:szCs w:val="24"/>
          <w:lang w:eastAsia="zh-CN"/>
        </w:rPr>
        <w:t>本项目招标人特别提醒投标人应充分考虑市场价格较大波动因素及现场条件。一旦中标，中标人不得以任何理由调整合同价格。任何包含价格调整的要求，将被认为是非实质性响应而予以拒绝。</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2" w:firstLineChars="200"/>
        <w:textAlignment w:val="baseline"/>
        <w:rPr>
          <w:rFonts w:hint="eastAsia"/>
          <w:b/>
          <w:bCs/>
          <w:sz w:val="24"/>
          <w:szCs w:val="24"/>
          <w:lang w:val="en-US" w:eastAsia="zh-CN"/>
        </w:rPr>
      </w:pPr>
      <w:r>
        <w:rPr>
          <w:rFonts w:hint="eastAsia"/>
          <w:b/>
          <w:bCs/>
          <w:sz w:val="24"/>
          <w:szCs w:val="24"/>
          <w:lang w:val="en-US" w:eastAsia="zh-CN"/>
        </w:rPr>
        <w:t>七、履约保证金的收取及退还</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1.签订合同时中标人应向采购人缴纳中标价1%作为履约保证金，中标人在合同签订后5日内交付至指定账户。履约期结束，采购人无息退还履约保证金。</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480" w:firstLineChars="200"/>
        <w:textAlignment w:val="baseline"/>
        <w:outlineLvl w:val="0"/>
        <w:rPr>
          <w:rFonts w:hint="eastAsia"/>
          <w:sz w:val="24"/>
          <w:szCs w:val="24"/>
          <w:lang w:val="en-US" w:eastAsia="zh-CN"/>
        </w:rPr>
      </w:pPr>
      <w:r>
        <w:rPr>
          <w:rFonts w:hint="eastAsia"/>
          <w:sz w:val="24"/>
          <w:szCs w:val="24"/>
          <w:lang w:val="en-US" w:eastAsia="zh-CN"/>
        </w:rPr>
        <w:t>2.缴纳方式：银行转账。</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firstLine="504" w:firstLineChars="200"/>
        <w:textAlignment w:val="baseline"/>
        <w:outlineLvl w:val="0"/>
        <w:rPr>
          <w:spacing w:val="6"/>
          <w:sz w:val="24"/>
          <w:szCs w:val="24"/>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八</w:t>
      </w:r>
      <w:r>
        <w:rPr>
          <w:spacing w:val="6"/>
          <w:sz w:val="24"/>
          <w:szCs w:val="24"/>
          <w14:textOutline w14:w="3614" w14:cap="sq" w14:cmpd="sng">
            <w14:solidFill>
              <w14:srgbClr w14:val="000000"/>
            </w14:solidFill>
            <w14:prstDash w14:val="solid"/>
            <w14:bevel/>
          </w14:textOutline>
        </w:rPr>
        <w:t>、合同价款的支付方式</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1.中标人</w:t>
      </w:r>
      <w:r>
        <w:rPr>
          <w:rFonts w:hint="eastAsia" w:hAnsi="宋体" w:eastAsia="宋体"/>
          <w:sz w:val="24"/>
          <w:szCs w:val="24"/>
          <w:lang w:val="en-US" w:eastAsia="zh-CN"/>
        </w:rPr>
        <w:t>完成爆破方案编制并向公安部门报批通过后支付至合同价的</w:t>
      </w:r>
      <w:r>
        <w:rPr>
          <w:rFonts w:hint="eastAsia" w:hAnsi="宋体"/>
          <w:sz w:val="24"/>
          <w:szCs w:val="24"/>
        </w:rPr>
        <w:t>40%，</w:t>
      </w:r>
      <w:r>
        <w:rPr>
          <w:rFonts w:hint="eastAsia" w:hAnsi="宋体" w:eastAsia="宋体"/>
          <w:sz w:val="24"/>
          <w:szCs w:val="24"/>
          <w:lang w:eastAsia="zh-CN"/>
        </w:rPr>
        <w:t>剩余尾款在完成全部爆破服务并通过甲方验收合格后一次性支付。</w:t>
      </w:r>
    </w:p>
    <w:p>
      <w:pPr>
        <w:pStyle w:val="3"/>
        <w:keepNext w:val="0"/>
        <w:keepLines w:val="0"/>
        <w:pageBreakBefore w:val="0"/>
        <w:widowControl/>
        <w:kinsoku w:val="0"/>
        <w:wordWrap/>
        <w:overflowPunct/>
        <w:topLinePunct w:val="0"/>
        <w:autoSpaceDE w:val="0"/>
        <w:autoSpaceDN w:val="0"/>
        <w:bidi w:val="0"/>
        <w:adjustRightInd w:val="0"/>
        <w:snapToGrid w:val="0"/>
        <w:spacing w:before="62" w:line="380" w:lineRule="exact"/>
        <w:ind w:left="15" w:firstLine="504" w:firstLineChars="200"/>
        <w:textAlignment w:val="baseline"/>
        <w:outlineLvl w:val="0"/>
        <w:rPr>
          <w:spacing w:val="6"/>
          <w:sz w:val="24"/>
          <w:szCs w:val="24"/>
          <w14:textOutline w14:w="3614" w14:cap="sq" w14:cmpd="sng">
            <w14:solidFill>
              <w14:srgbClr w14:val="000000"/>
            </w14:solidFill>
            <w14:prstDash w14:val="solid"/>
            <w14:bevel/>
          </w14:textOutline>
        </w:rPr>
      </w:pPr>
      <w:r>
        <w:rPr>
          <w:rFonts w:hint="eastAsia"/>
          <w:spacing w:val="6"/>
          <w:sz w:val="24"/>
          <w:szCs w:val="24"/>
          <w:lang w:val="en-US" w:eastAsia="zh-CN"/>
          <w14:textOutline w14:w="3614" w14:cap="sq" w14:cmpd="sng">
            <w14:solidFill>
              <w14:srgbClr w14:val="000000"/>
            </w14:solidFill>
            <w14:prstDash w14:val="solid"/>
            <w14:bevel/>
          </w14:textOutline>
        </w:rPr>
        <w:t>九</w:t>
      </w:r>
      <w:r>
        <w:rPr>
          <w:spacing w:val="6"/>
          <w:sz w:val="24"/>
          <w:szCs w:val="24"/>
          <w14:textOutline w14:w="3614" w14:cap="sq" w14:cmpd="sng">
            <w14:solidFill>
              <w14:srgbClr w14:val="000000"/>
            </w14:solidFill>
            <w14:prstDash w14:val="solid"/>
            <w14:bevel/>
          </w14:textOutline>
        </w:rPr>
        <w:t>、注意事项</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eastAsia"/>
          <w:sz w:val="24"/>
          <w:szCs w:val="24"/>
          <w:lang w:eastAsia="zh-CN"/>
        </w:rPr>
      </w:pPr>
      <w:r>
        <w:rPr>
          <w:rFonts w:hint="eastAsia"/>
          <w:sz w:val="24"/>
          <w:szCs w:val="24"/>
          <w:lang w:val="en-US" w:eastAsia="zh-CN"/>
        </w:rPr>
        <w:t>1.</w:t>
      </w:r>
      <w:r>
        <w:rPr>
          <w:rFonts w:hint="eastAsia"/>
          <w:sz w:val="24"/>
          <w:szCs w:val="24"/>
          <w:lang w:eastAsia="zh-CN"/>
        </w:rPr>
        <w:t>报价单位必须符合以上商务要求，如有不符项，采购单位有权做</w:t>
      </w:r>
      <w:r>
        <w:rPr>
          <w:rFonts w:hint="eastAsia"/>
          <w:sz w:val="24"/>
          <w:szCs w:val="24"/>
          <w:lang w:val="en-US" w:eastAsia="zh-CN"/>
        </w:rPr>
        <w:t>无效</w:t>
      </w:r>
      <w:r>
        <w:rPr>
          <w:rFonts w:hint="eastAsia"/>
          <w:sz w:val="24"/>
          <w:szCs w:val="24"/>
          <w:lang w:eastAsia="zh-CN"/>
        </w:rPr>
        <w:t>处理。报价单位必须认真审核 所有商务及清单要求，如明知不满足询价要求进行恶意竞争的，将根据《政采云平台电子卖场权益维护及纠纷处理规则》的规定报相关部门处理。</w:t>
      </w:r>
    </w:p>
    <w:p>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2" w:firstLine="480" w:firstLineChars="200"/>
        <w:textAlignment w:val="baseline"/>
        <w:rPr>
          <w:rFonts w:hint="default" w:ascii="Times New Roman" w:hAnsi="Times New Roman" w:eastAsia="仿宋" w:cs="Times New Roman"/>
          <w:b/>
          <w:kern w:val="2"/>
          <w:sz w:val="24"/>
          <w:szCs w:val="24"/>
        </w:rPr>
      </w:pPr>
      <w:r>
        <w:rPr>
          <w:rFonts w:hint="eastAsia"/>
          <w:sz w:val="24"/>
          <w:szCs w:val="24"/>
          <w:lang w:val="en-US" w:eastAsia="zh-CN"/>
        </w:rPr>
        <w:t>2.投标单位需上传相关证明文件及报价一览表。</w:t>
      </w:r>
    </w:p>
    <w:p>
      <w:pPr>
        <w:keepNext w:val="0"/>
        <w:keepLines w:val="0"/>
        <w:pageBreakBefore w:val="0"/>
        <w:widowControl/>
        <w:kinsoku w:val="0"/>
        <w:wordWrap/>
        <w:overflowPunct/>
        <w:topLinePunct w:val="0"/>
        <w:autoSpaceDE w:val="0"/>
        <w:autoSpaceDN w:val="0"/>
        <w:bidi w:val="0"/>
        <w:adjustRightInd w:val="0"/>
        <w:snapToGrid w:val="0"/>
        <w:spacing w:after="240" w:line="500" w:lineRule="exact"/>
        <w:jc w:val="center"/>
        <w:textAlignment w:val="baseline"/>
        <w:rPr>
          <w:b/>
          <w:sz w:val="30"/>
          <w:szCs w:val="30"/>
        </w:rPr>
      </w:pPr>
      <w:r>
        <w:rPr>
          <w:b/>
          <w:sz w:val="30"/>
          <w:szCs w:val="30"/>
        </w:rPr>
        <w:t xml:space="preserve">   </w:t>
      </w:r>
    </w:p>
    <w:p>
      <w:pPr>
        <w:keepNext w:val="0"/>
        <w:keepLines w:val="0"/>
        <w:pageBreakBefore w:val="0"/>
        <w:widowControl/>
        <w:kinsoku w:val="0"/>
        <w:wordWrap/>
        <w:overflowPunct/>
        <w:topLinePunct w:val="0"/>
        <w:autoSpaceDE w:val="0"/>
        <w:autoSpaceDN w:val="0"/>
        <w:bidi w:val="0"/>
        <w:adjustRightInd w:val="0"/>
        <w:snapToGrid w:val="0"/>
        <w:spacing w:after="240" w:line="500" w:lineRule="exact"/>
        <w:jc w:val="center"/>
        <w:textAlignment w:val="baseline"/>
        <w:rPr>
          <w:sz w:val="44"/>
          <w:szCs w:val="44"/>
        </w:rPr>
      </w:pPr>
      <w:r>
        <w:rPr>
          <w:b/>
          <w:sz w:val="44"/>
          <w:szCs w:val="44"/>
        </w:rPr>
        <w:t xml:space="preserve"> </w:t>
      </w:r>
      <w:r>
        <w:rPr>
          <w:rFonts w:hAnsi="宋体"/>
          <w:b/>
          <w:sz w:val="44"/>
          <w:szCs w:val="44"/>
        </w:rPr>
        <w:t>爆破</w:t>
      </w:r>
      <w:r>
        <w:rPr>
          <w:rFonts w:hint="eastAsia" w:hAnsi="宋体" w:eastAsia="宋体"/>
          <w:b/>
          <w:sz w:val="44"/>
          <w:szCs w:val="44"/>
          <w:lang w:eastAsia="zh-CN"/>
        </w:rPr>
        <w:t>服务</w:t>
      </w:r>
      <w:r>
        <w:rPr>
          <w:rFonts w:hAnsi="宋体"/>
          <w:b/>
          <w:sz w:val="44"/>
          <w:szCs w:val="44"/>
        </w:rPr>
        <w:t>合同</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840" w:hanging="720" w:hangingChars="300"/>
        <w:jc w:val="left"/>
        <w:textAlignment w:val="baseline"/>
        <w:rPr>
          <w:rFonts w:hint="eastAsia" w:eastAsia="宋体"/>
          <w:sz w:val="24"/>
          <w:szCs w:val="24"/>
          <w:lang w:eastAsia="zh-CN"/>
        </w:rPr>
      </w:pPr>
      <w:r>
        <w:rPr>
          <w:rFonts w:hAnsi="宋体"/>
          <w:sz w:val="24"/>
          <w:szCs w:val="24"/>
        </w:rPr>
        <w:t>甲方：</w:t>
      </w:r>
      <w:r>
        <w:rPr>
          <w:rFonts w:hint="eastAsia" w:hAnsi="宋体"/>
          <w:sz w:val="24"/>
          <w:szCs w:val="24"/>
          <w:lang w:val="en-US" w:eastAsia="zh-CN"/>
        </w:rPr>
        <w:t>杭州富阳渌渚循环经济产业园建设投资有限公司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eastAsia="宋体"/>
          <w:sz w:val="24"/>
          <w:szCs w:val="24"/>
          <w:lang w:eastAsia="zh-CN"/>
        </w:rPr>
      </w:pPr>
      <w:r>
        <w:rPr>
          <w:rFonts w:hAnsi="宋体"/>
          <w:sz w:val="24"/>
          <w:szCs w:val="24"/>
        </w:rPr>
        <w:t>乙方：</w:t>
      </w:r>
      <w:r>
        <w:rPr>
          <w:rFonts w:hint="eastAsia" w:hAnsi="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12" w:firstLineChars="255"/>
        <w:textAlignment w:val="baseline"/>
        <w:rPr>
          <w:sz w:val="24"/>
          <w:szCs w:val="24"/>
        </w:rPr>
      </w:pPr>
      <w:r>
        <w:rPr>
          <w:rFonts w:hAnsi="宋体"/>
          <w:sz w:val="24"/>
          <w:szCs w:val="24"/>
        </w:rPr>
        <w:t>依据《中华人民共和国</w:t>
      </w:r>
      <w:r>
        <w:rPr>
          <w:rFonts w:hint="eastAsia" w:hAnsi="宋体"/>
          <w:sz w:val="24"/>
          <w:szCs w:val="24"/>
        </w:rPr>
        <w:t>民</w:t>
      </w:r>
      <w:r>
        <w:rPr>
          <w:rFonts w:hAnsi="宋体"/>
          <w:sz w:val="24"/>
          <w:szCs w:val="24"/>
        </w:rPr>
        <w:t>法典》、《民用爆炸物品安全管理条例》、《爆破安全规程》、《两个标准》的有关规定，并就此甲、乙双方协商一致，达成如下爆破作业安全协议：</w:t>
      </w:r>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192"/>
        <w:textAlignment w:val="baseline"/>
        <w:rPr>
          <w:rFonts w:hint="eastAsia" w:eastAsia="宋体"/>
          <w:sz w:val="24"/>
          <w:szCs w:val="24"/>
          <w:lang w:val="en-US" w:eastAsia="zh-CN"/>
        </w:rPr>
      </w:pPr>
      <w:r>
        <w:rPr>
          <w:rFonts w:hAnsi="宋体"/>
          <w:sz w:val="24"/>
          <w:szCs w:val="24"/>
        </w:rPr>
        <w:t>一、</w:t>
      </w:r>
      <w:r>
        <w:rPr>
          <w:rFonts w:hint="eastAsia" w:hAnsi="宋体" w:eastAsia="宋体"/>
          <w:sz w:val="24"/>
          <w:szCs w:val="24"/>
          <w:lang w:eastAsia="zh-CN"/>
        </w:rPr>
        <w:t>服务</w:t>
      </w:r>
      <w:r>
        <w:rPr>
          <w:rFonts w:hAnsi="宋体"/>
          <w:sz w:val="24"/>
          <w:szCs w:val="24"/>
        </w:rPr>
        <w:t>名称：</w:t>
      </w:r>
      <w:r>
        <w:rPr>
          <w:rFonts w:hint="eastAsia" w:hAnsi="宋体"/>
          <w:sz w:val="24"/>
          <w:szCs w:val="24"/>
        </w:rPr>
        <w:t>富春绿谷土方外运项目-爆破服务</w:t>
      </w:r>
      <w:r>
        <w:rPr>
          <w:rFonts w:hint="eastAsia" w:hAnsi="宋体"/>
          <w:kern w:val="0"/>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eastAsia="宋体"/>
          <w:sz w:val="24"/>
          <w:szCs w:val="24"/>
          <w:lang w:val="en-US" w:eastAsia="zh-CN"/>
        </w:rPr>
      </w:pPr>
      <w:r>
        <w:rPr>
          <w:rFonts w:hAnsi="宋体"/>
          <w:sz w:val="24"/>
          <w:szCs w:val="24"/>
        </w:rPr>
        <w:t>二、作业地点：</w:t>
      </w:r>
      <w:r>
        <w:rPr>
          <w:rFonts w:hint="eastAsia" w:hAnsi="宋体"/>
          <w:sz w:val="24"/>
          <w:szCs w:val="24"/>
          <w:lang w:val="en-US" w:eastAsia="zh-CN"/>
        </w:rPr>
        <w:t xml:space="preserve"> 杭州富阳</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192"/>
        <w:textAlignment w:val="baseline"/>
        <w:rPr>
          <w:rFonts w:hint="eastAsia" w:eastAsia="宋体"/>
          <w:sz w:val="24"/>
          <w:szCs w:val="24"/>
          <w:lang w:eastAsia="zh-CN"/>
        </w:rPr>
      </w:pPr>
      <w:r>
        <w:rPr>
          <w:rFonts w:hAnsi="宋体"/>
          <w:sz w:val="24"/>
          <w:szCs w:val="24"/>
        </w:rPr>
        <w:t>三、</w:t>
      </w:r>
      <w:r>
        <w:rPr>
          <w:rFonts w:hint="eastAsia" w:hAnsi="宋体" w:eastAsia="宋体"/>
          <w:sz w:val="24"/>
          <w:szCs w:val="24"/>
          <w:lang w:eastAsia="zh-CN"/>
        </w:rPr>
        <w:t>服务内容</w:t>
      </w:r>
      <w:r>
        <w:rPr>
          <w:rFonts w:hAnsi="宋体"/>
          <w:sz w:val="24"/>
          <w:szCs w:val="24"/>
        </w:rPr>
        <w:t>：</w:t>
      </w:r>
      <w:r>
        <w:rPr>
          <w:rFonts w:hint="eastAsia" w:hAnsi="宋体" w:eastAsia="宋体"/>
          <w:sz w:val="24"/>
          <w:szCs w:val="24"/>
          <w:lang w:val="en-US" w:eastAsia="zh-CN"/>
        </w:rPr>
        <w:t>1.</w:t>
      </w:r>
      <w:r>
        <w:rPr>
          <w:rFonts w:hint="eastAsia"/>
          <w:sz w:val="24"/>
          <w:szCs w:val="24"/>
          <w:lang w:val="en-US" w:eastAsia="zh-CN"/>
        </w:rPr>
        <w:t>由乙方进行方案编制并向公安部门完成报批，报批通过后实施爆破服务。2.要求爆破至标高80米（黄海高程）。3.爆破完成后所有石块、材料的粒径不大于1米，确保能正常装车外运，不超出货车装车限制。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192"/>
        <w:textAlignment w:val="baseline"/>
        <w:rPr>
          <w:rFonts w:hint="default"/>
          <w:sz w:val="24"/>
          <w:szCs w:val="24"/>
          <w:lang w:val="en-US" w:eastAsia="zh-CN"/>
        </w:rPr>
      </w:pPr>
      <w:r>
        <w:rPr>
          <w:rFonts w:hAnsi="宋体"/>
          <w:sz w:val="24"/>
          <w:szCs w:val="24"/>
        </w:rPr>
        <w:t>四、</w:t>
      </w:r>
      <w:r>
        <w:rPr>
          <w:rFonts w:hint="eastAsia" w:hAnsi="宋体" w:eastAsia="宋体"/>
          <w:sz w:val="24"/>
          <w:szCs w:val="24"/>
          <w:lang w:eastAsia="zh-CN"/>
        </w:rPr>
        <w:t>服务期限</w:t>
      </w:r>
      <w:r>
        <w:rPr>
          <w:rFonts w:hAnsi="宋体"/>
          <w:sz w:val="24"/>
          <w:szCs w:val="24"/>
        </w:rPr>
        <w:t>：</w:t>
      </w:r>
      <w:r>
        <w:rPr>
          <w:rFonts w:hint="eastAsia"/>
          <w:sz w:val="24"/>
          <w:szCs w:val="24"/>
          <w:lang w:val="en-US" w:eastAsia="zh-CN"/>
        </w:rPr>
        <w:t>签订合同之日起2个月内完成项目，并验收合格。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eastAsia="宋体"/>
          <w:sz w:val="24"/>
          <w:szCs w:val="24"/>
          <w:lang w:val="en-US" w:eastAsia="zh-CN"/>
        </w:rPr>
      </w:pPr>
      <w:r>
        <w:rPr>
          <w:rFonts w:hAnsi="宋体"/>
          <w:sz w:val="24"/>
          <w:szCs w:val="24"/>
        </w:rPr>
        <w:t>五、承包方式：</w:t>
      </w:r>
      <w:r>
        <w:rPr>
          <w:rFonts w:hint="eastAsia" w:hAnsi="宋体" w:eastAsia="宋体"/>
          <w:sz w:val="24"/>
          <w:szCs w:val="24"/>
          <w:lang w:eastAsia="zh-CN"/>
        </w:rPr>
        <w:t>总价包干（</w:t>
      </w:r>
      <w:r>
        <w:rPr>
          <w:rFonts w:ascii="HYShuSongErKW" w:hAnsi="HYShuSongErKW" w:eastAsia="HYShuSongErKW" w:cs="HYShuSongErKW"/>
          <w:snapToGrid w:val="0"/>
          <w:color w:val="000000"/>
          <w:kern w:val="0"/>
          <w:sz w:val="24"/>
          <w:szCs w:val="24"/>
          <w:lang w:val="en-US" w:eastAsia="zh-CN" w:bidi="ar"/>
        </w:rPr>
        <w:t>包括所有与本项目服务相关的、有关本项目实施所涉及</w:t>
      </w:r>
      <w:r>
        <w:rPr>
          <w:rFonts w:hint="default" w:ascii="HYShuSongErKW" w:hAnsi="HYShuSongErKW" w:eastAsia="HYShuSongErKW" w:cs="HYShuSongErKW"/>
          <w:snapToGrid w:val="0"/>
          <w:color w:val="000000"/>
          <w:kern w:val="0"/>
          <w:sz w:val="24"/>
          <w:szCs w:val="24"/>
          <w:lang w:val="en-US" w:eastAsia="zh-CN" w:bidi="ar"/>
        </w:rPr>
        <w:t>的一切费用。</w:t>
      </w:r>
      <w:r>
        <w:rPr>
          <w:rFonts w:hint="eastAsia" w:hAnsi="宋体" w:eastAsia="宋体"/>
          <w:sz w:val="24"/>
          <w:szCs w:val="24"/>
          <w:lang w:eastAsia="zh-CN"/>
        </w:rPr>
        <w:t>）</w:t>
      </w:r>
      <w:r>
        <w:rPr>
          <w:rFonts w:hint="eastAsia" w:hAnsi="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2" w:leftChars="253" w:hanging="1651" w:hangingChars="688"/>
        <w:textAlignment w:val="baseline"/>
        <w:rPr>
          <w:rFonts w:hint="eastAsia" w:eastAsia="宋体"/>
          <w:sz w:val="24"/>
          <w:szCs w:val="24"/>
          <w:lang w:val="en-US" w:eastAsia="zh-CN"/>
        </w:rPr>
      </w:pPr>
      <w:r>
        <w:rPr>
          <w:rFonts w:hAnsi="宋体"/>
          <w:sz w:val="24"/>
          <w:szCs w:val="24"/>
        </w:rPr>
        <w:t>六、</w:t>
      </w:r>
      <w:r>
        <w:rPr>
          <w:rFonts w:hint="eastAsia" w:hAnsi="宋体" w:eastAsia="宋体"/>
          <w:sz w:val="24"/>
          <w:szCs w:val="24"/>
          <w:lang w:eastAsia="zh-CN"/>
        </w:rPr>
        <w:t>服务</w:t>
      </w:r>
      <w:r>
        <w:rPr>
          <w:rFonts w:hAnsi="宋体"/>
          <w:sz w:val="24"/>
          <w:szCs w:val="24"/>
        </w:rPr>
        <w:t>价款：</w:t>
      </w:r>
      <w:r>
        <w:rPr>
          <w:rFonts w:hint="eastAsia"/>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60" w:firstLineChars="192"/>
        <w:textAlignment w:val="baseline"/>
        <w:rPr>
          <w:rFonts w:hint="eastAsia" w:eastAsia="宋体"/>
          <w:sz w:val="24"/>
          <w:szCs w:val="24"/>
          <w:lang w:val="en-US" w:eastAsia="zh-CN"/>
        </w:rPr>
      </w:pPr>
      <w:r>
        <w:rPr>
          <w:rFonts w:hAnsi="宋体"/>
          <w:sz w:val="24"/>
          <w:szCs w:val="24"/>
        </w:rPr>
        <w:t>七、付款办法：</w:t>
      </w:r>
      <w:r>
        <w:rPr>
          <w:rFonts w:hint="eastAsia" w:hAnsi="宋体" w:eastAsia="宋体"/>
          <w:sz w:val="24"/>
          <w:szCs w:val="24"/>
          <w:lang w:val="en-US" w:eastAsia="zh-CN"/>
        </w:rPr>
        <w:t>乙方完成爆破方案编制并向公安部门报批通过后支付至合同价的</w:t>
      </w:r>
      <w:r>
        <w:rPr>
          <w:rFonts w:hint="eastAsia" w:hAnsi="宋体"/>
          <w:sz w:val="24"/>
          <w:szCs w:val="24"/>
        </w:rPr>
        <w:t>40%，</w:t>
      </w:r>
      <w:r>
        <w:rPr>
          <w:rFonts w:hint="eastAsia" w:hAnsi="宋体" w:eastAsia="宋体"/>
          <w:sz w:val="24"/>
          <w:szCs w:val="24"/>
          <w:lang w:eastAsia="zh-CN"/>
        </w:rPr>
        <w:t>剩余尾款在完成全部爆破服务并通过甲方验收合格后一次性支付。</w:t>
      </w:r>
      <w:r>
        <w:rPr>
          <w:rFonts w:hint="eastAsia" w:hAnsi="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rFonts w:hint="eastAsia" w:hAnsi="宋体" w:eastAsia="宋体"/>
          <w:sz w:val="24"/>
          <w:szCs w:val="24"/>
          <w:lang w:eastAsia="zh-CN"/>
        </w:rPr>
      </w:pPr>
      <w:r>
        <w:rPr>
          <w:rFonts w:hAnsi="宋体"/>
          <w:sz w:val="24"/>
          <w:szCs w:val="24"/>
        </w:rPr>
        <w:t>八、</w:t>
      </w:r>
      <w:r>
        <w:rPr>
          <w:rFonts w:hint="eastAsia" w:hAnsi="宋体" w:eastAsia="宋体"/>
          <w:sz w:val="24"/>
          <w:szCs w:val="24"/>
          <w:lang w:eastAsia="zh-CN"/>
        </w:rPr>
        <w:t>履约保证金：签订合同前乙方应向甲方缴纳中标价1%作为履约保证金，乙方在收到中标通知书之日起7个工作日内缴纳履约保证金至甲方指定账户。履约期结束，采购人无息退还履约保证金。缴纳方式为银行转账。</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rFonts w:hint="eastAsia" w:hAnsi="宋体" w:eastAsia="宋体"/>
          <w:sz w:val="24"/>
          <w:szCs w:val="24"/>
          <w:lang w:eastAsia="zh-CN"/>
        </w:rPr>
        <w:t>九、</w:t>
      </w:r>
      <w:r>
        <w:rPr>
          <w:rFonts w:hAnsi="宋体"/>
          <w:sz w:val="24"/>
          <w:szCs w:val="24"/>
        </w:rPr>
        <w:t>双方权利、义务与责任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360" w:firstLineChars="150"/>
        <w:textAlignment w:val="baseline"/>
        <w:rPr>
          <w:sz w:val="24"/>
          <w:szCs w:val="24"/>
        </w:rPr>
      </w:pPr>
      <w:r>
        <w:rPr>
          <w:rFonts w:hAnsi="宋体"/>
          <w:sz w:val="24"/>
          <w:szCs w:val="24"/>
        </w:rPr>
        <w:t>（一）甲方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240" w:firstLineChars="100"/>
        <w:textAlignment w:val="baseline"/>
        <w:rPr>
          <w:sz w:val="24"/>
          <w:szCs w:val="24"/>
        </w:rPr>
      </w:pPr>
      <w:r>
        <w:rPr>
          <w:sz w:val="24"/>
          <w:szCs w:val="24"/>
        </w:rPr>
        <w:t>1</w:t>
      </w:r>
      <w:r>
        <w:rPr>
          <w:rFonts w:hAnsi="宋体"/>
          <w:sz w:val="24"/>
          <w:szCs w:val="24"/>
        </w:rPr>
        <w:t>、有权监督、纠正乙方所派项目</w:t>
      </w:r>
      <w:r>
        <w:rPr>
          <w:rFonts w:hint="eastAsia" w:hAnsi="宋体" w:eastAsia="宋体"/>
          <w:sz w:val="24"/>
          <w:szCs w:val="24"/>
          <w:lang w:eastAsia="zh-CN"/>
        </w:rPr>
        <w:t>服务的</w:t>
      </w:r>
      <w:r>
        <w:rPr>
          <w:rFonts w:hAnsi="宋体"/>
          <w:sz w:val="24"/>
          <w:szCs w:val="24"/>
        </w:rPr>
        <w:t>负责人、技术员、安全员、爆破员、保管员的违规爆破作业或不安全行为。</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240" w:firstLineChars="100"/>
        <w:textAlignment w:val="baseline"/>
        <w:rPr>
          <w:sz w:val="24"/>
          <w:szCs w:val="24"/>
        </w:rPr>
      </w:pPr>
      <w:r>
        <w:rPr>
          <w:sz w:val="24"/>
          <w:szCs w:val="24"/>
        </w:rPr>
        <w:t>2</w:t>
      </w:r>
      <w:r>
        <w:rPr>
          <w:rFonts w:hAnsi="宋体"/>
          <w:sz w:val="24"/>
          <w:szCs w:val="24"/>
        </w:rPr>
        <w:t>、负责确定爆破现场的基准点和爆破作业范围，向乙方提供该项爆破工程、项目合法性证明文件或批复、中标通知书、施工图纸和参数。爆破听从乙方指挥，撤出警戒区。</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3</w:t>
      </w:r>
      <w:r>
        <w:rPr>
          <w:rFonts w:hAnsi="宋体"/>
          <w:sz w:val="24"/>
          <w:szCs w:val="24"/>
        </w:rPr>
        <w:t>、确保乙方在爆破作业前，所涉及的管线、网线等全部拆除。</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4</w:t>
      </w:r>
      <w:r>
        <w:rPr>
          <w:rFonts w:hAnsi="宋体"/>
          <w:sz w:val="24"/>
          <w:szCs w:val="24"/>
        </w:rPr>
        <w:t>、处理好用地矛盾，协调因爆破震动（国家允许标准）而受到影响的周边单位和住户关系，保证爆破作业工程顺利进行。</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5</w:t>
      </w:r>
      <w:r>
        <w:rPr>
          <w:rFonts w:hAnsi="宋体"/>
          <w:sz w:val="24"/>
          <w:szCs w:val="24"/>
        </w:rPr>
        <w:t>、与警戒范围内的住宅、设施所有权人签订安全责任协议。</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6</w:t>
      </w:r>
      <w:r>
        <w:rPr>
          <w:rFonts w:hAnsi="宋体"/>
          <w:sz w:val="24"/>
          <w:szCs w:val="24"/>
        </w:rPr>
        <w:t>、按时按约定支付乙方爆破</w:t>
      </w:r>
      <w:r>
        <w:rPr>
          <w:rFonts w:hint="eastAsia" w:hAnsi="宋体" w:eastAsia="宋体"/>
          <w:sz w:val="24"/>
          <w:szCs w:val="24"/>
          <w:lang w:eastAsia="zh-CN"/>
        </w:rPr>
        <w:t>服务</w:t>
      </w:r>
      <w:r>
        <w:rPr>
          <w:rFonts w:hAnsi="宋体"/>
          <w:sz w:val="24"/>
          <w:szCs w:val="24"/>
        </w:rPr>
        <w:t>款。</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7</w:t>
      </w:r>
      <w:r>
        <w:rPr>
          <w:rFonts w:hAnsi="宋体"/>
          <w:sz w:val="24"/>
          <w:szCs w:val="24"/>
        </w:rPr>
        <w:t>、甲方有权对乙方所购买炸药、雷管及爆破物品的数量及现场使用情况进行核查。</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rFonts w:hAnsi="宋体"/>
          <w:sz w:val="24"/>
          <w:szCs w:val="24"/>
        </w:rPr>
        <w:t>（二）乙方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1</w:t>
      </w:r>
      <w:r>
        <w:rPr>
          <w:rFonts w:hAnsi="宋体"/>
          <w:sz w:val="24"/>
          <w:szCs w:val="24"/>
        </w:rPr>
        <w:t>、必须遵守国家的法律法规及甲方的安全生产管理制度。</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2</w:t>
      </w:r>
      <w:r>
        <w:rPr>
          <w:rFonts w:hAnsi="宋体"/>
          <w:sz w:val="24"/>
          <w:szCs w:val="24"/>
        </w:rPr>
        <w:t>、编制切实可行的工程《爆破设计方案》和《爆破</w:t>
      </w:r>
      <w:r>
        <w:rPr>
          <w:rFonts w:hint="eastAsia" w:hAnsi="宋体"/>
          <w:sz w:val="24"/>
          <w:szCs w:val="24"/>
        </w:rPr>
        <w:t>设计</w:t>
      </w:r>
      <w:r>
        <w:rPr>
          <w:rFonts w:hAnsi="宋体"/>
          <w:sz w:val="24"/>
          <w:szCs w:val="24"/>
        </w:rPr>
        <w:t>书》，进行公共安全评估，报公安机关备案后实施爆破作业。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75"/>
        <w:textAlignment w:val="baseline"/>
        <w:rPr>
          <w:sz w:val="24"/>
          <w:szCs w:val="24"/>
        </w:rPr>
      </w:pPr>
      <w:r>
        <w:rPr>
          <w:sz w:val="24"/>
          <w:szCs w:val="24"/>
        </w:rPr>
        <w:t>3</w:t>
      </w:r>
      <w:r>
        <w:rPr>
          <w:rFonts w:hAnsi="宋体"/>
          <w:sz w:val="24"/>
          <w:szCs w:val="24"/>
        </w:rPr>
        <w:t>、办理爆破物品购买和运输等相关手续，负责爆破作业工地安全管理。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4</w:t>
      </w:r>
      <w:r>
        <w:rPr>
          <w:rFonts w:hAnsi="宋体"/>
          <w:sz w:val="24"/>
          <w:szCs w:val="24"/>
        </w:rPr>
        <w:t>、</w:t>
      </w:r>
      <w:r>
        <w:rPr>
          <w:rFonts w:hint="eastAsia" w:hAnsi="宋体" w:eastAsia="宋体"/>
          <w:sz w:val="24"/>
          <w:szCs w:val="24"/>
          <w:lang w:eastAsia="zh-CN"/>
        </w:rPr>
        <w:t>配备按照公安部门审查通过后的报批方案和相关部门要求配备的各类人员，</w:t>
      </w:r>
      <w:r>
        <w:rPr>
          <w:rFonts w:hAnsi="宋体"/>
          <w:sz w:val="24"/>
          <w:szCs w:val="24"/>
        </w:rPr>
        <w:t>组织爆破作业人员按时按要求制定安全防范措施，实施爆破作业。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5</w:t>
      </w:r>
      <w:r>
        <w:rPr>
          <w:rFonts w:hAnsi="宋体"/>
          <w:sz w:val="24"/>
          <w:szCs w:val="24"/>
        </w:rPr>
        <w:t>、配合协助甲方与警戒范围内的住宅、设施与所有权人签订安全责任协议。</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6</w:t>
      </w:r>
      <w:r>
        <w:rPr>
          <w:rFonts w:hAnsi="宋体"/>
          <w:sz w:val="24"/>
          <w:szCs w:val="24"/>
        </w:rPr>
        <w:t>、建立并登记民爆物品日（次）使用情况，检查保管员、安全员、爆破员按《爆破安全规程》安全作业。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leftChars="207" w:firstLine="120" w:firstLineChars="50"/>
        <w:textAlignment w:val="baseline"/>
        <w:rPr>
          <w:sz w:val="24"/>
          <w:szCs w:val="24"/>
        </w:rPr>
      </w:pPr>
      <w:r>
        <w:rPr>
          <w:sz w:val="24"/>
          <w:szCs w:val="24"/>
        </w:rPr>
        <w:t>7</w:t>
      </w:r>
      <w:r>
        <w:rPr>
          <w:rFonts w:hAnsi="宋体"/>
          <w:sz w:val="24"/>
          <w:szCs w:val="24"/>
        </w:rPr>
        <w:t>、在爆破过程中发生爆炸物品流失及安全生产责任事故，应承担全部责任。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rFonts w:hint="eastAsia" w:hAnsi="宋体"/>
          <w:sz w:val="24"/>
          <w:szCs w:val="24"/>
        </w:rPr>
      </w:pPr>
      <w:r>
        <w:rPr>
          <w:rFonts w:hAnsi="宋体"/>
          <w:sz w:val="24"/>
          <w:szCs w:val="24"/>
        </w:rPr>
        <w:t>十、违约责任：</w:t>
      </w:r>
      <w:r>
        <w:rPr>
          <w:rFonts w:hint="eastAsia" w:hAnsi="宋体"/>
          <w:sz w:val="24"/>
          <w:szCs w:val="24"/>
        </w:rPr>
        <w:t>本合同在履行过程中发生的争议，由双方当事人协商解决，协商或调解不成立的，提请杭州市富阳区人民法院裁决。</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sz w:val="24"/>
          <w:szCs w:val="24"/>
        </w:rPr>
      </w:pPr>
      <w:r>
        <w:rPr>
          <w:rFonts w:hAnsi="宋体"/>
          <w:sz w:val="24"/>
          <w:szCs w:val="24"/>
        </w:rPr>
        <w:t>十一、合同一式</w:t>
      </w:r>
      <w:r>
        <w:rPr>
          <w:rFonts w:hint="eastAsia" w:hAnsi="宋体" w:eastAsia="宋体"/>
          <w:sz w:val="24"/>
          <w:szCs w:val="24"/>
          <w:lang w:eastAsia="zh-CN"/>
        </w:rPr>
        <w:t>伍</w:t>
      </w:r>
      <w:r>
        <w:rPr>
          <w:rFonts w:hAnsi="宋体"/>
          <w:sz w:val="24"/>
          <w:szCs w:val="24"/>
        </w:rPr>
        <w:t>份，甲方执</w:t>
      </w:r>
      <w:r>
        <w:rPr>
          <w:rFonts w:hint="eastAsia" w:hAnsi="宋体" w:eastAsia="宋体"/>
          <w:sz w:val="24"/>
          <w:szCs w:val="24"/>
          <w:lang w:eastAsia="zh-CN"/>
        </w:rPr>
        <w:t>贰</w:t>
      </w:r>
      <w:r>
        <w:rPr>
          <w:rFonts w:hAnsi="宋体"/>
          <w:sz w:val="24"/>
          <w:szCs w:val="24"/>
        </w:rPr>
        <w:t>份，乙方执</w:t>
      </w:r>
      <w:r>
        <w:rPr>
          <w:rFonts w:hint="eastAsia" w:hAnsi="宋体" w:eastAsia="宋体"/>
          <w:sz w:val="24"/>
          <w:szCs w:val="24"/>
          <w:lang w:eastAsia="zh-CN"/>
        </w:rPr>
        <w:t>叁</w:t>
      </w:r>
      <w:r>
        <w:rPr>
          <w:rFonts w:hAnsi="宋体"/>
          <w:sz w:val="24"/>
          <w:szCs w:val="24"/>
        </w:rPr>
        <w:t>份，双方签字盖章后生效。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4669" w:leftChars="115" w:hanging="4428" w:hangingChars="1845"/>
        <w:jc w:val="left"/>
        <w:textAlignment w:val="baseline"/>
        <w:rPr>
          <w:rFonts w:hint="eastAsia" w:eastAsia="宋体"/>
          <w:sz w:val="24"/>
          <w:szCs w:val="24"/>
          <w:lang w:val="en-US" w:eastAsia="zh-CN"/>
        </w:rPr>
      </w:pPr>
      <w:r>
        <w:rPr>
          <w:rFonts w:hAnsi="宋体"/>
          <w:sz w:val="24"/>
          <w:szCs w:val="24"/>
        </w:rPr>
        <w:t>甲方（盖章）：</w:t>
      </w:r>
      <w:r>
        <w:rPr>
          <w:rFonts w:hint="eastAsia" w:hAnsi="宋体"/>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Ansi="宋体"/>
          <w:sz w:val="24"/>
          <w:szCs w:val="24"/>
        </w:rPr>
        <w:t>乙方（盖章）：</w:t>
      </w:r>
      <w:r>
        <w:rPr>
          <w:rFonts w:hint="eastAsia" w:hAnsi="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560" w:firstLineChars="650"/>
        <w:textAlignment w:val="baseline"/>
        <w:rPr>
          <w:rFonts w:hint="eastAsia" w:eastAsia="宋体"/>
          <w:sz w:val="24"/>
          <w:szCs w:val="24"/>
          <w:lang w:val="en-US" w:eastAsia="zh-CN"/>
        </w:rPr>
      </w:pPr>
      <w:r>
        <w:rPr>
          <w:rFonts w:hint="eastAsia" w:hAnsi="宋体"/>
          <w:sz w:val="24"/>
          <w:szCs w:val="24"/>
          <w:lang w:val="en-US" w:eastAsia="zh-CN"/>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840" w:hanging="720" w:hangingChars="300"/>
        <w:jc w:val="left"/>
        <w:textAlignment w:val="baseline"/>
        <w:rPr>
          <w:sz w:val="24"/>
          <w:szCs w:val="24"/>
        </w:rPr>
      </w:pPr>
      <w:r>
        <w:rPr>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1560" w:firstLineChars="650"/>
        <w:textAlignment w:val="baseline"/>
        <w:rPr>
          <w:sz w:val="24"/>
          <w:szCs w:val="24"/>
        </w:rPr>
      </w:pPr>
      <w:r>
        <w:rPr>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 w:firstLine="480" w:firstLineChars="200"/>
        <w:textAlignment w:val="baseline"/>
        <w:rPr>
          <w:sz w:val="24"/>
          <w:szCs w:val="24"/>
        </w:rPr>
      </w:pPr>
      <w:r>
        <w:rPr>
          <w:rFonts w:hAnsi="宋体"/>
          <w:sz w:val="24"/>
          <w:szCs w:val="24"/>
        </w:rPr>
        <w:t>代表人（签名）：</w:t>
      </w:r>
      <w:r>
        <w:rPr>
          <w:sz w:val="24"/>
          <w:szCs w:val="24"/>
        </w:rPr>
        <w:t xml:space="preserve">                        </w:t>
      </w:r>
      <w:r>
        <w:rPr>
          <w:rFonts w:hAnsi="宋体"/>
          <w:sz w:val="24"/>
          <w:szCs w:val="24"/>
        </w:rPr>
        <w:t>代表人（签名）：</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83" w:leftChars="135" w:firstLine="840" w:firstLineChars="350"/>
        <w:textAlignment w:val="baseline"/>
        <w:rPr>
          <w:sz w:val="24"/>
          <w:szCs w:val="24"/>
        </w:rPr>
      </w:pPr>
      <w:r>
        <w:rPr>
          <w:rFonts w:hAnsi="宋体"/>
          <w:sz w:val="24"/>
          <w:szCs w:val="24"/>
        </w:rPr>
        <w:t>联系电话：</w:t>
      </w:r>
      <w:r>
        <w:rPr>
          <w:sz w:val="24"/>
          <w:szCs w:val="24"/>
        </w:rPr>
        <w:t xml:space="preserve">                             </w:t>
      </w:r>
      <w:r>
        <w:rPr>
          <w:rFonts w:hAnsi="宋体"/>
          <w:sz w:val="24"/>
          <w:szCs w:val="24"/>
        </w:rPr>
        <w:t>联系电话：</w:t>
      </w:r>
      <w:r>
        <w:rPr>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sz w:val="24"/>
          <w:szCs w:val="24"/>
        </w:rPr>
      </w:pPr>
      <w:r>
        <w:rPr>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0" w:firstLineChars="1000"/>
        <w:jc w:val="right"/>
        <w:textAlignment w:val="baseline"/>
        <w:rPr>
          <w:rFonts w:hAnsi="宋体"/>
          <w:sz w:val="24"/>
          <w:szCs w:val="24"/>
        </w:rPr>
      </w:pPr>
      <w:r>
        <w:rPr>
          <w:rFonts w:hAnsi="宋体"/>
          <w:sz w:val="24"/>
          <w:szCs w:val="24"/>
        </w:rPr>
        <w:t>签约时间：</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p>
    <w:p>
      <w:pPr>
        <w:pStyle w:val="5"/>
        <w:pageBreakBefore w:val="0"/>
        <w:shd w:val="clear" w:color="auto" w:fill="FFFFFF"/>
        <w:kinsoku/>
        <w:wordWrap/>
        <w:overflowPunct/>
        <w:bidi w:val="0"/>
        <w:snapToGrid/>
        <w:spacing w:before="0" w:beforeAutospacing="0" w:after="0" w:afterAutospacing="0" w:line="440" w:lineRule="exact"/>
        <w:jc w:val="center"/>
        <w:rPr>
          <w:rFonts w:hint="default" w:ascii="宋体" w:hAnsi="宋体" w:eastAsia="宋体" w:cs="宋体"/>
          <w:b/>
          <w:bCs/>
          <w:snapToGrid w:val="0"/>
          <w:color w:val="000000"/>
          <w:kern w:val="0"/>
          <w:sz w:val="24"/>
          <w:szCs w:val="24"/>
          <w:lang w:val="en-US" w:eastAsia="zh-CN" w:bidi="ar-SA"/>
        </w:rPr>
      </w:pPr>
    </w:p>
    <w:p>
      <w:pPr>
        <w:pStyle w:val="5"/>
        <w:pageBreakBefore w:val="0"/>
        <w:shd w:val="clear" w:color="auto" w:fill="FFFFFF"/>
        <w:kinsoku/>
        <w:wordWrap/>
        <w:overflowPunct/>
        <w:bidi w:val="0"/>
        <w:snapToGrid/>
        <w:spacing w:before="0" w:beforeAutospacing="0" w:after="0" w:afterAutospacing="0" w:line="440" w:lineRule="exact"/>
        <w:jc w:val="center"/>
        <w:rPr>
          <w:rFonts w:hint="default" w:ascii="宋体" w:hAnsi="宋体" w:eastAsia="宋体" w:cs="宋体"/>
          <w:b/>
          <w:bCs/>
          <w:snapToGrid w:val="0"/>
          <w:color w:val="000000"/>
          <w:kern w:val="0"/>
          <w:sz w:val="24"/>
          <w:szCs w:val="24"/>
          <w:lang w:val="en-US" w:eastAsia="zh-CN" w:bidi="ar-SA"/>
        </w:rPr>
      </w:pPr>
    </w:p>
    <w:p>
      <w:pPr>
        <w:pStyle w:val="5"/>
        <w:pageBreakBefore w:val="0"/>
        <w:shd w:val="clear" w:color="auto" w:fill="FFFFFF"/>
        <w:kinsoku/>
        <w:wordWrap/>
        <w:overflowPunct/>
        <w:bidi w:val="0"/>
        <w:snapToGrid/>
        <w:spacing w:before="0" w:beforeAutospacing="0" w:after="0" w:afterAutospacing="0" w:line="440" w:lineRule="exact"/>
        <w:jc w:val="center"/>
        <w:rPr>
          <w:rFonts w:hint="default" w:ascii="宋体" w:hAnsi="宋体" w:eastAsia="宋体" w:cs="宋体"/>
          <w:b/>
          <w:bCs/>
          <w:snapToGrid w:val="0"/>
          <w:color w:val="000000"/>
          <w:kern w:val="0"/>
          <w:sz w:val="24"/>
          <w:szCs w:val="24"/>
          <w:lang w:val="en-US" w:eastAsia="zh-CN" w:bidi="ar-SA"/>
        </w:rPr>
      </w:pPr>
      <w:bookmarkStart w:id="0" w:name="_GoBack"/>
      <w:bookmarkEnd w:id="0"/>
      <w:r>
        <w:rPr>
          <w:rFonts w:hint="default" w:ascii="宋体" w:hAnsi="宋体" w:eastAsia="宋体" w:cs="宋体"/>
          <w:b/>
          <w:bCs/>
          <w:snapToGrid w:val="0"/>
          <w:color w:val="000000"/>
          <w:kern w:val="0"/>
          <w:sz w:val="24"/>
          <w:szCs w:val="24"/>
          <w:lang w:val="en-US" w:eastAsia="zh-CN" w:bidi="ar-SA"/>
        </w:rPr>
        <w:t>富春绿谷土方外运项目-爆破服务</w:t>
      </w:r>
    </w:p>
    <w:p>
      <w:pPr>
        <w:pStyle w:val="5"/>
        <w:pageBreakBefore w:val="0"/>
        <w:shd w:val="clear" w:color="auto" w:fill="FFFFFF"/>
        <w:kinsoku/>
        <w:wordWrap/>
        <w:overflowPunct/>
        <w:bidi w:val="0"/>
        <w:snapToGrid/>
        <w:spacing w:before="0" w:beforeAutospacing="0" w:after="0" w:afterAutospacing="0" w:line="440" w:lineRule="exact"/>
        <w:jc w:val="center"/>
        <w:rPr>
          <w:rFonts w:hint="eastAsia" w:ascii="宋体" w:hAnsi="宋体" w:eastAsia="宋体" w:cs="宋体"/>
          <w:b/>
          <w:bCs/>
          <w:snapToGrid w:val="0"/>
          <w:color w:val="000000"/>
          <w:kern w:val="0"/>
          <w:sz w:val="24"/>
          <w:szCs w:val="24"/>
          <w:lang w:val="en-US" w:eastAsia="zh-CN" w:bidi="ar-SA"/>
        </w:rPr>
      </w:pPr>
      <w:r>
        <w:rPr>
          <w:rFonts w:hint="default" w:ascii="宋体" w:hAnsi="宋体" w:eastAsia="宋体" w:cs="宋体"/>
          <w:b/>
          <w:bCs/>
          <w:snapToGrid w:val="0"/>
          <w:color w:val="000000"/>
          <w:kern w:val="0"/>
          <w:sz w:val="24"/>
          <w:szCs w:val="24"/>
          <w:lang w:val="en-US" w:eastAsia="zh-CN" w:bidi="ar-SA"/>
        </w:rPr>
        <w:t>报价</w:t>
      </w:r>
      <w:r>
        <w:rPr>
          <w:rFonts w:hint="eastAsia" w:ascii="宋体" w:hAnsi="宋体" w:eastAsia="宋体" w:cs="宋体"/>
          <w:b/>
          <w:bCs/>
          <w:snapToGrid w:val="0"/>
          <w:color w:val="000000"/>
          <w:kern w:val="0"/>
          <w:sz w:val="24"/>
          <w:szCs w:val="24"/>
          <w:lang w:val="en-US" w:eastAsia="zh-CN" w:bidi="ar-SA"/>
        </w:rPr>
        <w:t>一览表</w:t>
      </w:r>
    </w:p>
    <w:tbl>
      <w:tblPr>
        <w:tblStyle w:val="6"/>
        <w:tblpPr w:leftFromText="180" w:rightFromText="180" w:vertAnchor="text" w:horzAnchor="page" w:tblpXSpec="center" w:tblpY="291"/>
        <w:tblOverlap w:val="never"/>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3247"/>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before="120" w:line="440" w:lineRule="exact"/>
              <w:jc w:val="center"/>
              <w:rPr>
                <w:rFonts w:hint="default" w:ascii="宋体" w:hAnsi="宋体" w:eastAsia="宋体" w:cs="宋体"/>
                <w:b/>
                <w:bCs/>
                <w:snapToGrid w:val="0"/>
                <w:color w:val="000000"/>
                <w:kern w:val="0"/>
                <w:sz w:val="24"/>
                <w:szCs w:val="24"/>
                <w:lang w:val="en-US" w:eastAsia="zh-CN" w:bidi="ar-SA"/>
              </w:rPr>
            </w:pPr>
            <w:r>
              <w:rPr>
                <w:rFonts w:hint="default" w:ascii="宋体" w:hAnsi="宋体" w:eastAsia="宋体" w:cs="宋体"/>
                <w:b/>
                <w:bCs/>
                <w:snapToGrid w:val="0"/>
                <w:color w:val="000000"/>
                <w:kern w:val="0"/>
                <w:sz w:val="24"/>
                <w:szCs w:val="24"/>
                <w:lang w:val="en-US" w:eastAsia="zh-CN" w:bidi="ar-SA"/>
              </w:rPr>
              <w:t>序号</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before="120" w:line="440" w:lineRule="exact"/>
              <w:jc w:val="center"/>
              <w:rPr>
                <w:rFonts w:hint="default" w:ascii="宋体" w:hAnsi="宋体" w:eastAsia="宋体" w:cs="宋体"/>
                <w:b/>
                <w:bCs/>
                <w:snapToGrid w:val="0"/>
                <w:color w:val="000000"/>
                <w:kern w:val="0"/>
                <w:sz w:val="24"/>
                <w:szCs w:val="24"/>
                <w:lang w:val="en-US" w:eastAsia="zh-CN" w:bidi="ar-SA"/>
              </w:rPr>
            </w:pPr>
            <w:r>
              <w:rPr>
                <w:rFonts w:hint="default" w:ascii="宋体" w:hAnsi="宋体" w:eastAsia="宋体" w:cs="宋体"/>
                <w:b/>
                <w:bCs/>
                <w:snapToGrid w:val="0"/>
                <w:color w:val="000000"/>
                <w:kern w:val="0"/>
                <w:sz w:val="24"/>
                <w:szCs w:val="24"/>
                <w:lang w:val="en-US" w:eastAsia="zh-CN" w:bidi="ar-SA"/>
              </w:rPr>
              <w:t>项目名称</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before="120" w:line="440" w:lineRule="exact"/>
              <w:jc w:val="center"/>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总价（元）</w:t>
            </w:r>
          </w:p>
          <w:p>
            <w:pPr>
              <w:pageBreakBefore w:val="0"/>
              <w:kinsoku/>
              <w:wordWrap/>
              <w:overflowPunct/>
              <w:bidi w:val="0"/>
              <w:snapToGrid/>
              <w:spacing w:before="120" w:line="440" w:lineRule="exact"/>
              <w:jc w:val="center"/>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注：石料数量暂定5.3万m³</w:t>
            </w:r>
            <w:r>
              <w:rPr>
                <w:rFonts w:hint="eastAsia"/>
                <w:b/>
                <w:bCs/>
                <w:sz w:val="24"/>
                <w:szCs w:val="24"/>
                <w:lang w:val="en-US" w:eastAsia="zh-CN"/>
              </w:rPr>
              <w:t>（暂估数量，具体以实际数量为准）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8" w:hRule="atLeas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before="120" w:line="440" w:lineRule="exact"/>
              <w:jc w:val="center"/>
              <w:rPr>
                <w:rFonts w:hint="default" w:ascii="宋体" w:hAnsi="宋体" w:eastAsia="宋体" w:cs="宋体"/>
                <w:b/>
                <w:bCs/>
                <w:snapToGrid w:val="0"/>
                <w:color w:val="000000"/>
                <w:kern w:val="0"/>
                <w:sz w:val="24"/>
                <w:szCs w:val="24"/>
                <w:lang w:val="en-US" w:eastAsia="zh-CN" w:bidi="ar-SA"/>
              </w:rPr>
            </w:pPr>
            <w:r>
              <w:rPr>
                <w:rFonts w:hint="default" w:ascii="宋体" w:hAnsi="宋体" w:eastAsia="宋体" w:cs="宋体"/>
                <w:b/>
                <w:bCs/>
                <w:snapToGrid w:val="0"/>
                <w:color w:val="000000"/>
                <w:kern w:val="0"/>
                <w:sz w:val="24"/>
                <w:szCs w:val="24"/>
                <w:lang w:val="en-US" w:eastAsia="zh-CN" w:bidi="ar-SA"/>
              </w:rPr>
              <w:t>1</w:t>
            </w:r>
          </w:p>
        </w:tc>
        <w:tc>
          <w:tcPr>
            <w:tcW w:w="32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line="440" w:lineRule="exact"/>
              <w:jc w:val="center"/>
              <w:rPr>
                <w:rFonts w:hint="default" w:ascii="宋体" w:hAnsi="宋体" w:eastAsia="宋体" w:cs="宋体"/>
                <w:b/>
                <w:bCs/>
                <w:snapToGrid w:val="0"/>
                <w:color w:val="000000"/>
                <w:kern w:val="0"/>
                <w:sz w:val="24"/>
                <w:szCs w:val="24"/>
                <w:lang w:val="en-US" w:eastAsia="zh-CN" w:bidi="ar-SA"/>
              </w:rPr>
            </w:pPr>
            <w:r>
              <w:rPr>
                <w:rFonts w:hint="default" w:ascii="宋体" w:hAnsi="宋体" w:eastAsia="宋体" w:cs="宋体"/>
                <w:b/>
                <w:bCs/>
                <w:snapToGrid w:val="0"/>
                <w:color w:val="000000"/>
                <w:kern w:val="0"/>
                <w:sz w:val="24"/>
                <w:szCs w:val="24"/>
                <w:lang w:val="en-US" w:eastAsia="zh-CN" w:bidi="ar-SA"/>
              </w:rPr>
              <w:t>富春绿谷土方外运项目-爆破服务</w:t>
            </w:r>
          </w:p>
        </w:tc>
        <w:tc>
          <w:tcPr>
            <w:tcW w:w="40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snapToGrid/>
              <w:spacing w:before="120" w:line="440" w:lineRule="exact"/>
              <w:jc w:val="center"/>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大写：</w:t>
            </w:r>
            <w:r>
              <w:rPr>
                <w:rFonts w:hint="default" w:ascii="宋体" w:hAnsi="宋体" w:eastAsia="宋体" w:cs="宋体"/>
                <w:snapToGrid w:val="0"/>
                <w:color w:val="000000"/>
                <w:kern w:val="0"/>
                <w:sz w:val="24"/>
                <w:szCs w:val="24"/>
                <w:u w:val="single"/>
                <w:lang w:val="en-US" w:eastAsia="zh-CN" w:bidi="ar-SA"/>
              </w:rPr>
              <w:t xml:space="preserve">      </w:t>
            </w:r>
            <w:r>
              <w:rPr>
                <w:rFonts w:hint="eastAsia"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lang w:val="en-US" w:eastAsia="zh-CN" w:bidi="ar-SA"/>
              </w:rPr>
              <w:t>元</w:t>
            </w:r>
          </w:p>
          <w:p>
            <w:pPr>
              <w:pageBreakBefore w:val="0"/>
              <w:kinsoku/>
              <w:wordWrap/>
              <w:overflowPunct/>
              <w:bidi w:val="0"/>
              <w:snapToGrid/>
              <w:spacing w:before="120" w:line="440" w:lineRule="exact"/>
              <w:jc w:val="center"/>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小写：</w:t>
            </w:r>
            <w:r>
              <w:rPr>
                <w:rFonts w:hint="default" w:ascii="宋体" w:hAnsi="宋体" w:eastAsia="宋体" w:cs="宋体"/>
                <w:snapToGrid w:val="0"/>
                <w:color w:val="000000"/>
                <w:kern w:val="0"/>
                <w:sz w:val="24"/>
                <w:szCs w:val="24"/>
                <w:u w:val="single"/>
                <w:lang w:val="en-US" w:eastAsia="zh-CN" w:bidi="ar-SA"/>
              </w:rPr>
              <w:t xml:space="preserve">      </w:t>
            </w:r>
            <w:r>
              <w:rPr>
                <w:rFonts w:hint="eastAsia"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lang w:val="en-US" w:eastAsia="zh-CN" w:bidi="ar-SA"/>
              </w:rPr>
              <w:t>元</w:t>
            </w:r>
          </w:p>
        </w:tc>
      </w:tr>
    </w:tbl>
    <w:p>
      <w:pPr>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报价说明：</w:t>
      </w:r>
    </w:p>
    <w:p>
      <w:pPr>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1.本项目报价包括涉及项目所需的一切费用（含税金）；</w:t>
      </w:r>
    </w:p>
    <w:p>
      <w:pPr>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2.报价符合行业规定及有关法律、法规；</w:t>
      </w:r>
    </w:p>
    <w:p>
      <w:pPr>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3.本次报价需报出一次性不可修改的最终价格，价格最低的为本项目成交供应商。</w:t>
      </w:r>
    </w:p>
    <w:p>
      <w:pPr>
        <w:spacing w:line="360" w:lineRule="auto"/>
        <w:ind w:firstLine="480" w:firstLineChars="20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4.本次报价不得超过最高限价，否则视为无效报价，最高总价限价为</w:t>
      </w:r>
      <w:r>
        <w:rPr>
          <w:rFonts w:hint="eastAsia" w:ascii="宋体" w:hAnsi="宋体" w:eastAsia="宋体" w:cs="宋体"/>
          <w:snapToGrid w:val="0"/>
          <w:color w:val="000000"/>
          <w:kern w:val="0"/>
          <w:sz w:val="24"/>
          <w:szCs w:val="24"/>
          <w:u w:val="single"/>
          <w:lang w:val="en-US" w:eastAsia="zh-CN" w:bidi="ar-SA"/>
        </w:rPr>
        <w:t>765000</w:t>
      </w:r>
      <w:r>
        <w:rPr>
          <w:rFonts w:hint="eastAsia" w:ascii="宋体" w:hAnsi="宋体" w:eastAsia="宋体" w:cs="宋体"/>
          <w:snapToGrid w:val="0"/>
          <w:color w:val="000000"/>
          <w:kern w:val="0"/>
          <w:sz w:val="24"/>
          <w:szCs w:val="24"/>
          <w:lang w:val="en-US" w:eastAsia="zh-CN" w:bidi="ar-SA"/>
        </w:rPr>
        <w:t>元，通过固定总价进行报价。</w:t>
      </w:r>
    </w:p>
    <w:p>
      <w:pPr>
        <w:spacing w:line="440" w:lineRule="exact"/>
        <w:ind w:firstLine="3600" w:firstLineChars="1500"/>
        <w:jc w:val="right"/>
        <w:rPr>
          <w:rFonts w:hint="eastAsia" w:ascii="宋体" w:hAnsi="宋体" w:eastAsia="宋体" w:cs="宋体"/>
          <w:snapToGrid w:val="0"/>
          <w:color w:val="000000"/>
          <w:kern w:val="0"/>
          <w:sz w:val="24"/>
          <w:szCs w:val="24"/>
          <w:lang w:val="en-US" w:eastAsia="zh-CN" w:bidi="ar-SA"/>
        </w:rPr>
      </w:pPr>
    </w:p>
    <w:p>
      <w:pPr>
        <w:spacing w:line="440" w:lineRule="exact"/>
        <w:ind w:firstLine="3600" w:firstLineChars="1500"/>
        <w:jc w:val="right"/>
        <w:rPr>
          <w:rFonts w:hint="eastAsia" w:ascii="宋体" w:hAnsi="宋体" w:eastAsia="宋体" w:cs="宋体"/>
          <w:snapToGrid w:val="0"/>
          <w:color w:val="000000"/>
          <w:kern w:val="0"/>
          <w:sz w:val="24"/>
          <w:szCs w:val="24"/>
          <w:lang w:val="en-US" w:eastAsia="zh-CN" w:bidi="ar-SA"/>
        </w:rPr>
      </w:pPr>
    </w:p>
    <w:p>
      <w:pPr>
        <w:spacing w:line="360" w:lineRule="auto"/>
        <w:ind w:firstLine="3600" w:firstLineChars="1500"/>
        <w:jc w:val="righ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报价单位(盖章) ：                     </w:t>
      </w:r>
    </w:p>
    <w:p>
      <w:pPr>
        <w:pStyle w:val="2"/>
        <w:spacing w:before="0" w:after="0" w:line="360" w:lineRule="auto"/>
        <w:jc w:val="righ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    年   月   日</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sz w:val="24"/>
          <w:szCs w:val="24"/>
          <w:lang w:val="en-US" w:eastAsia="zh-CN"/>
        </w:rPr>
      </w:pPr>
    </w:p>
    <w:sectPr>
      <w:headerReference r:id="rId5" w:type="default"/>
      <w:footerReference r:id="rId6"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YShuSongErK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mZDAwZGEwNThlYWU2ZGUxMmJkZWUzZDRiZTA2N2MifQ=="/>
  </w:docVars>
  <w:rsids>
    <w:rsidRoot w:val="00000000"/>
    <w:rsid w:val="01306EAB"/>
    <w:rsid w:val="0C0B1618"/>
    <w:rsid w:val="1A9C00FC"/>
    <w:rsid w:val="2D9A2E9E"/>
    <w:rsid w:val="320652AA"/>
    <w:rsid w:val="395D152B"/>
    <w:rsid w:val="3A23508C"/>
    <w:rsid w:val="591A7C3E"/>
    <w:rsid w:val="5CDC5534"/>
    <w:rsid w:val="71784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19"/>
      <w:szCs w:val="19"/>
      <w:lang w:val="en-US" w:eastAsia="en-US" w:bidi="ar-SA"/>
    </w:rPr>
  </w:style>
  <w:style w:type="paragraph" w:styleId="4">
    <w:name w:val="Body Text Indent"/>
    <w:basedOn w:val="1"/>
    <w:autoRedefine/>
    <w:qFormat/>
    <w:uiPriority w:val="0"/>
    <w:pPr>
      <w:spacing w:after="120"/>
      <w:ind w:left="420" w:leftChars="200"/>
    </w:pPr>
  </w:style>
  <w:style w:type="paragraph" w:styleId="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Office_12.1.0.16309_F1E327BC-269C-435d-A152-05C5408002CA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2024-02-01T06:51:00Z</dcterms:created>
  <dc:creator>DQ</dc:creator>
  <cp:lastModifiedBy>zz</cp:lastModifiedBy>
  <cp:lastPrinted>2024-02-01T08:35:00Z</cp:lastPrinted>
  <dcterms:modified xsi:type="dcterms:W3CDTF">2024-02-05T07:45:12Z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2024-02-01T14:51:06Z</vt:filetime>
  </property>
  <property fmtid="{D5CDD505-2E9C-101B-9397-08002B2CF9AE}" pid="4" name="KSOProductBuildVer">
    <vt:lpwstr>2052-12.1.0.16309</vt:lpwstr>
  </property>
  <property fmtid="{D5CDD505-2E9C-101B-9397-08002B2CF9AE}" pid="5" name="ICV">
    <vt:lpwstr>312AF0C0ED6B42BE96A763D20DAE3A26_13</vt:lpwstr>
  </property>
</Properties>
</file>