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第十四师昆玉市</w:t>
      </w:r>
      <w:r>
        <w:rPr>
          <w:rFonts w:hint="eastAsia" w:ascii="方正小标宋简体" w:hAnsi="方正小标宋简体" w:eastAsia="方正小标宋简体" w:cs="方正小标宋简体"/>
          <w:sz w:val="44"/>
          <w:szCs w:val="44"/>
          <w:lang w:val="en-US" w:eastAsia="zh-CN"/>
        </w:rPr>
        <w:t>卫生健康委</w:t>
      </w:r>
      <w:r>
        <w:rPr>
          <w:rFonts w:hint="eastAsia" w:ascii="方正小标宋简体" w:hAnsi="方正小标宋简体" w:eastAsia="方正小标宋简体" w:cs="方正小标宋简体"/>
          <w:sz w:val="44"/>
          <w:szCs w:val="44"/>
        </w:rPr>
        <w:t>病媒生物防制</w:t>
      </w:r>
      <w:r>
        <w:rPr>
          <w:rFonts w:hint="eastAsia" w:ascii="方正小标宋简体" w:hAnsi="方正小标宋简体" w:eastAsia="方正小标宋简体" w:cs="方正小标宋简体"/>
          <w:sz w:val="44"/>
          <w:szCs w:val="44"/>
          <w:lang w:val="en-US" w:eastAsia="zh-CN"/>
        </w:rPr>
        <w:t>物（药）品采购</w:t>
      </w:r>
      <w:r>
        <w:rPr>
          <w:rFonts w:hint="eastAsia" w:ascii="方正小标宋简体" w:hAnsi="方正小标宋简体" w:eastAsia="方正小标宋简体" w:cs="方正小标宋简体"/>
          <w:sz w:val="44"/>
          <w:szCs w:val="44"/>
        </w:rPr>
        <w:t>项目招标文件</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项目名称：第十四师昆玉市卫生健康委病媒生物防制物（药）品采购项目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项目编号：202500</w:t>
      </w:r>
      <w:r>
        <w:rPr>
          <w:rFonts w:hint="eastAsia" w:ascii="Times New Roman" w:hAnsi="Times New Roman" w:eastAsia="仿宋_GB2312" w:cs="Times New Roman"/>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采购单位：第十四师昆玉市卫生健康委员会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发布平台：政财云平台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预算金额：2</w:t>
      </w:r>
      <w:r>
        <w:rPr>
          <w:rFonts w:hint="eastAsia" w:ascii="Times New Roman" w:hAnsi="Times New Roman" w:eastAsia="仿宋_GB2312" w:cs="Times New Roman"/>
          <w:sz w:val="32"/>
          <w:szCs w:val="32"/>
          <w:lang w:val="en-US" w:eastAsia="zh-CN"/>
        </w:rPr>
        <w:t>0.222</w:t>
      </w:r>
      <w:r>
        <w:rPr>
          <w:rFonts w:hint="default" w:ascii="Times New Roman" w:hAnsi="Times New Roman" w:eastAsia="仿宋_GB2312" w:cs="Times New Roman"/>
          <w:sz w:val="32"/>
          <w:szCs w:val="32"/>
          <w:lang w:val="en-US" w:eastAsia="zh-CN"/>
        </w:rPr>
        <w:t>万元（人民币）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资金来源：财政资金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投标截止时间：2025年4月2</w:t>
      </w: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lang w:val="en-US" w:eastAsia="zh-CN"/>
        </w:rPr>
        <w:t>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服务周期：合同签订后30天完成病媒生物防制物（药）品交付。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kern w:val="2"/>
          <w:sz w:val="32"/>
          <w:szCs w:val="32"/>
          <w:lang w:val="en-US" w:eastAsia="zh-CN" w:bidi="ar-SA"/>
        </w:rPr>
        <w:t>一、</w:t>
      </w:r>
      <w:r>
        <w:rPr>
          <w:rFonts w:hint="default" w:ascii="Times New Roman" w:hAnsi="Times New Roman" w:eastAsia="黑体" w:cs="Times New Roman"/>
          <w:sz w:val="32"/>
          <w:szCs w:val="32"/>
        </w:rPr>
        <w:t>招标公告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（一）项目背景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为有效控制病媒生物（鼠、蚊子、蝇、蟑螂等）密度，降低病媒传播疾病风险，保障第十四师昆玉市辖区5个农牧团场居民公共卫生安全，现通过公开招标方式采购病媒生物防制物（药）品，由中标单位统一完成病媒生物防制物（药）品供应。</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（二）项目概况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监测范围：根据各种病媒生物生物特性及监测需要，覆盖第十四师昆玉市辖区5个农牧团场，每个团场在东南西北中设置点位，其中224团18个点位、皮山农场18个点位、一牧场13个点位、225团12个点位、47团11个点位。（共72个点位）。监测点根据辖区监测实际，可适当调整。监测方法采用路径法、停落指数法、夹夜法、粉块法、粘捕法、笼诱法等。各监测点包括机关企事业单位、宾馆、饭店、农贸市场、医院等特殊行业和居民区、公园、人工湖。监测点的选择具有一定的代表性，能真实反映病媒生物侵害状况，监测成员单位在一个监测周期内相对固定，一个监测周期结束后，进行相应调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kern w:val="2"/>
          <w:sz w:val="32"/>
          <w:szCs w:val="32"/>
          <w:lang w:val="en-US" w:eastAsia="zh-CN" w:bidi="ar-SA"/>
        </w:rPr>
      </w:pPr>
      <w:r>
        <w:rPr>
          <w:rFonts w:hint="default" w:ascii="Times New Roman" w:hAnsi="Times New Roman" w:eastAsia="黑体" w:cs="Times New Roman"/>
          <w:kern w:val="2"/>
          <w:sz w:val="32"/>
          <w:szCs w:val="32"/>
          <w:lang w:val="en-US" w:eastAsia="zh-CN" w:bidi="ar-SA"/>
        </w:rPr>
        <w:t>二、采购内容及要求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药品配送：中标后</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0日内完成配送，并</w:t>
      </w:r>
      <w:r>
        <w:rPr>
          <w:rFonts w:hint="default" w:ascii="Times New Roman" w:hAnsi="Times New Roman" w:eastAsia="仿宋_GB2312" w:cs="Times New Roman"/>
          <w:sz w:val="32"/>
          <w:szCs w:val="32"/>
          <w:lang w:val="en-US" w:eastAsia="zh-CN"/>
        </w:rPr>
        <w:t>组织一次病媒生物防制培训班</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三、投标人资格</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1.具备独立法人资格，经营范围含病媒生物防制或药品供应。</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2.</w:t>
      </w:r>
      <w:r>
        <w:rPr>
          <w:rFonts w:hint="default" w:ascii="Times New Roman" w:hAnsi="Times New Roman" w:eastAsia="仿宋_GB2312" w:cs="Times New Roman"/>
          <w:sz w:val="32"/>
          <w:szCs w:val="32"/>
          <w:lang w:val="en-US" w:eastAsia="zh-CN"/>
        </w:rPr>
        <w:t>具备有害生物防制服务资质（如中国卫生有害生物防制协会A级及以上资质）或药品经营许可证。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近</w:t>
      </w:r>
      <w:r>
        <w:rPr>
          <w:rFonts w:hint="default"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年承接类似项目案例≥</w:t>
      </w: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个（需提供合同</w:t>
      </w:r>
      <w:r>
        <w:rPr>
          <w:rFonts w:hint="default" w:ascii="Times New Roman" w:hAnsi="Times New Roman" w:eastAsia="仿宋_GB2312" w:cs="Times New Roman"/>
          <w:sz w:val="32"/>
          <w:szCs w:val="32"/>
          <w:lang w:val="en-US" w:eastAsia="zh-CN"/>
        </w:rPr>
        <w:t>复印件</w:t>
      </w:r>
      <w:r>
        <w:rPr>
          <w:rFonts w:hint="default" w:ascii="Times New Roman" w:hAnsi="Times New Roman" w:eastAsia="仿宋_GB2312" w:cs="Times New Roman"/>
          <w:sz w:val="32"/>
          <w:szCs w:val="32"/>
        </w:rPr>
        <w:t>证明）。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拟派项目负责人需具备病媒生物防制专业培训证书。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.未被列入“信用中国”失信被执行人、重大税收违法失信主体名单。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6.本项目不接受联合体投标。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四、投标文件组成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1.投标函、法定代表人授权书。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2.企业资质证明（营业执照、许可证、信用报告）。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3.近年同类项目业绩证明。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药品供应方案：含药品来源、</w:t>
      </w:r>
      <w:r>
        <w:rPr>
          <w:rFonts w:hint="default" w:ascii="Times New Roman" w:hAnsi="Times New Roman" w:eastAsia="仿宋_GB2312" w:cs="Times New Roman"/>
          <w:sz w:val="32"/>
          <w:szCs w:val="32"/>
        </w:rPr>
        <w:t>药品清单及质检文件</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质量保证措施、运输及储存方案。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.第三方检测报告：至少3种主力药品/设备的检测证明。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6</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服务承诺：药品质量承诺、售后服务（如质保期1年，免费提供用药指导）</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lang w:val="en-US" w:eastAsia="zh-CN"/>
        </w:rPr>
        <w:t>五</w:t>
      </w:r>
      <w:r>
        <w:rPr>
          <w:rFonts w:hint="default" w:ascii="Times New Roman" w:hAnsi="Times New Roman" w:eastAsia="黑体" w:cs="Times New Roman"/>
          <w:sz w:val="32"/>
          <w:szCs w:val="32"/>
        </w:rPr>
        <w:t>、评标标准（总分100分）</w:t>
      </w:r>
    </w:p>
    <w:tbl>
      <w:tblPr>
        <w:tblStyle w:val="2"/>
        <w:tblW w:w="95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472"/>
        <w:gridCol w:w="854"/>
        <w:gridCol w:w="72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jc w:val="center"/>
        </w:trPr>
        <w:tc>
          <w:tcPr>
            <w:tcW w:w="1472"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黑体" w:cs="Times New Roman"/>
                <w:sz w:val="24"/>
                <w:szCs w:val="24"/>
                <w:lang w:val="en-US" w:eastAsia="zh-CN"/>
              </w:rPr>
            </w:pPr>
            <w:r>
              <w:rPr>
                <w:rFonts w:hint="default" w:ascii="Times New Roman" w:hAnsi="Times New Roman" w:eastAsia="黑体" w:cs="Times New Roman"/>
                <w:sz w:val="24"/>
                <w:szCs w:val="24"/>
                <w:lang w:val="en-US" w:eastAsia="zh-CN"/>
              </w:rPr>
              <w:t>评分项</w:t>
            </w:r>
          </w:p>
        </w:tc>
        <w:tc>
          <w:tcPr>
            <w:tcW w:w="854"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黑体" w:cs="Times New Roman"/>
                <w:sz w:val="24"/>
                <w:szCs w:val="24"/>
                <w:lang w:val="en-US" w:eastAsia="zh-CN"/>
              </w:rPr>
            </w:pPr>
            <w:r>
              <w:rPr>
                <w:rFonts w:hint="default" w:ascii="Times New Roman" w:hAnsi="Times New Roman" w:eastAsia="黑体" w:cs="Times New Roman"/>
                <w:sz w:val="24"/>
                <w:szCs w:val="24"/>
                <w:lang w:val="en-US" w:eastAsia="zh-CN"/>
              </w:rPr>
              <w:t>分值</w:t>
            </w:r>
          </w:p>
        </w:tc>
        <w:tc>
          <w:tcPr>
            <w:tcW w:w="7273"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黑体" w:cs="Times New Roman"/>
                <w:sz w:val="24"/>
                <w:szCs w:val="24"/>
                <w:lang w:val="en-US" w:eastAsia="zh-CN"/>
              </w:rPr>
            </w:pPr>
            <w:r>
              <w:rPr>
                <w:rFonts w:hint="default" w:ascii="Times New Roman" w:hAnsi="Times New Roman" w:eastAsia="黑体" w:cs="Times New Roman"/>
                <w:sz w:val="24"/>
                <w:szCs w:val="24"/>
                <w:lang w:val="en-US" w:eastAsia="zh-CN"/>
              </w:rPr>
              <w:t>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jc w:val="center"/>
        </w:trPr>
        <w:tc>
          <w:tcPr>
            <w:tcW w:w="1472"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技术方案</w:t>
            </w:r>
          </w:p>
        </w:tc>
        <w:tc>
          <w:tcPr>
            <w:tcW w:w="854"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40分</w:t>
            </w:r>
          </w:p>
        </w:tc>
        <w:tc>
          <w:tcPr>
            <w:tcW w:w="7273"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药品质量证明（</w:t>
            </w:r>
            <w:r>
              <w:rPr>
                <w:rFonts w:hint="eastAsia" w:ascii="Times New Roman" w:hAnsi="Times New Roman" w:eastAsia="仿宋_GB2312" w:cs="Times New Roman"/>
                <w:sz w:val="24"/>
                <w:szCs w:val="24"/>
                <w:lang w:val="en-US" w:eastAsia="zh-CN"/>
              </w:rPr>
              <w:t>2</w:t>
            </w:r>
            <w:r>
              <w:rPr>
                <w:rFonts w:hint="default" w:ascii="Times New Roman" w:hAnsi="Times New Roman" w:eastAsia="仿宋_GB2312" w:cs="Times New Roman"/>
                <w:sz w:val="24"/>
                <w:szCs w:val="24"/>
                <w:lang w:val="en-US" w:eastAsia="zh-CN"/>
              </w:rPr>
              <w:t>0分）、应急预案（</w:t>
            </w:r>
            <w:r>
              <w:rPr>
                <w:rFonts w:hint="eastAsia" w:ascii="Times New Roman" w:hAnsi="Times New Roman" w:eastAsia="仿宋_GB2312" w:cs="Times New Roman"/>
                <w:sz w:val="24"/>
                <w:szCs w:val="24"/>
                <w:lang w:val="en-US" w:eastAsia="zh-CN"/>
              </w:rPr>
              <w:t>2</w:t>
            </w:r>
            <w:r>
              <w:rPr>
                <w:rFonts w:hint="default" w:ascii="Times New Roman" w:hAnsi="Times New Roman" w:eastAsia="仿宋_GB2312" w:cs="Times New Roman"/>
                <w:sz w:val="24"/>
                <w:szCs w:val="24"/>
                <w:lang w:val="en-US" w:eastAsia="zh-CN"/>
              </w:rPr>
              <w:t>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jc w:val="center"/>
        </w:trPr>
        <w:tc>
          <w:tcPr>
            <w:tcW w:w="1472"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报价合理性</w:t>
            </w:r>
          </w:p>
        </w:tc>
        <w:tc>
          <w:tcPr>
            <w:tcW w:w="854"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30分</w:t>
            </w:r>
          </w:p>
        </w:tc>
        <w:tc>
          <w:tcPr>
            <w:tcW w:w="7273"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总报价≤2</w:t>
            </w:r>
            <w:r>
              <w:rPr>
                <w:rFonts w:hint="eastAsia" w:ascii="Times New Roman" w:hAnsi="Times New Roman" w:eastAsia="仿宋_GB2312" w:cs="Times New Roman"/>
                <w:sz w:val="24"/>
                <w:szCs w:val="24"/>
                <w:lang w:val="en-US" w:eastAsia="zh-CN"/>
              </w:rPr>
              <w:t>0</w:t>
            </w:r>
            <w:r>
              <w:rPr>
                <w:rFonts w:hint="default" w:ascii="Times New Roman" w:hAnsi="Times New Roman" w:eastAsia="仿宋_GB2312" w:cs="Times New Roman"/>
                <w:sz w:val="24"/>
                <w:szCs w:val="24"/>
                <w:lang w:val="en-US" w:eastAsia="zh-CN"/>
              </w:rPr>
              <w:t>万，低价优先（每高于均价1%扣2分，扣完为止）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jc w:val="center"/>
        </w:trPr>
        <w:tc>
          <w:tcPr>
            <w:tcW w:w="1472"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企业资质</w:t>
            </w:r>
          </w:p>
        </w:tc>
        <w:tc>
          <w:tcPr>
            <w:tcW w:w="854"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20分</w:t>
            </w:r>
          </w:p>
        </w:tc>
        <w:tc>
          <w:tcPr>
            <w:tcW w:w="7273"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相关资质证书（10分）、同类项目经验（10分）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jc w:val="center"/>
        </w:trPr>
        <w:tc>
          <w:tcPr>
            <w:tcW w:w="1472"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服务响应</w:t>
            </w:r>
          </w:p>
        </w:tc>
        <w:tc>
          <w:tcPr>
            <w:tcW w:w="854"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10分</w:t>
            </w:r>
          </w:p>
        </w:tc>
        <w:tc>
          <w:tcPr>
            <w:tcW w:w="7273"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交付时间承诺、售后支持（如免费补货等）</w:t>
            </w:r>
          </w:p>
        </w:tc>
      </w:tr>
    </w:tbl>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lang w:val="en-US" w:eastAsia="zh-CN"/>
        </w:rPr>
        <w:t>六</w:t>
      </w:r>
      <w:r>
        <w:rPr>
          <w:rFonts w:hint="default" w:ascii="Times New Roman" w:hAnsi="Times New Roman" w:eastAsia="黑体" w:cs="Times New Roman"/>
          <w:sz w:val="32"/>
          <w:szCs w:val="32"/>
        </w:rPr>
        <w:t>、合同主要条款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一</w:t>
      </w: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服务地点</w:t>
      </w:r>
      <w:r>
        <w:rPr>
          <w:rFonts w:hint="eastAsia" w:ascii="Times New Roman" w:hAnsi="Times New Roman" w:eastAsia="楷体_GB2312" w:cs="Times New Roman"/>
          <w:sz w:val="32"/>
          <w:szCs w:val="32"/>
          <w:lang w:val="en-US" w:eastAsia="zh-CN"/>
        </w:rPr>
        <w:t>：第十四师昆玉市卫生健康委员会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二</w:t>
      </w: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rPr>
        <w:t>付款方式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病媒生物防制物（药）品交付通过验收后，支付95%物（药）品；质保期（1年）满无质量问题，支付5%质保金。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z w:val="32"/>
          <w:szCs w:val="32"/>
          <w:lang w:eastAsia="zh-CN"/>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三</w:t>
      </w:r>
      <w:r>
        <w:rPr>
          <w:rFonts w:hint="default" w:ascii="Times New Roman" w:hAnsi="Times New Roman" w:eastAsia="楷体_GB2312" w:cs="Times New Roman"/>
          <w:sz w:val="32"/>
          <w:szCs w:val="32"/>
          <w:lang w:eastAsia="zh-CN"/>
        </w:rPr>
        <w:t>）违约责任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逾期交付</w:t>
      </w:r>
      <w:r>
        <w:rPr>
          <w:rFonts w:hint="default" w:ascii="Times New Roman" w:hAnsi="Times New Roman" w:eastAsia="仿宋_GB2312" w:cs="Times New Roman"/>
          <w:sz w:val="32"/>
          <w:szCs w:val="32"/>
          <w:lang w:val="en-US" w:eastAsia="zh-CN"/>
        </w:rPr>
        <w:t>物（药）品或报告，</w:t>
      </w:r>
      <w:r>
        <w:rPr>
          <w:rFonts w:hint="default" w:ascii="Times New Roman" w:hAnsi="Times New Roman" w:eastAsia="仿宋_GB2312" w:cs="Times New Roman"/>
          <w:sz w:val="32"/>
          <w:szCs w:val="32"/>
        </w:rPr>
        <w:t>每日扣款</w:t>
      </w:r>
      <w:r>
        <w:rPr>
          <w:rFonts w:hint="default" w:ascii="Times New Roman" w:hAnsi="Times New Roman" w:eastAsia="仿宋_GB2312" w:cs="Times New Roman"/>
          <w:sz w:val="32"/>
          <w:szCs w:val="32"/>
          <w:lang w:val="en-US" w:eastAsia="zh-CN"/>
        </w:rPr>
        <w:t>总</w:t>
      </w:r>
      <w:r>
        <w:rPr>
          <w:rFonts w:hint="default" w:ascii="Times New Roman" w:hAnsi="Times New Roman" w:eastAsia="仿宋_GB2312" w:cs="Times New Roman"/>
          <w:sz w:val="32"/>
          <w:szCs w:val="32"/>
        </w:rPr>
        <w:t>合同总额1%</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物资规格不符或数量短缺，</w:t>
      </w:r>
      <w:r>
        <w:rPr>
          <w:rFonts w:hint="default" w:ascii="Times New Roman" w:hAnsi="Times New Roman" w:eastAsia="仿宋_GB2312" w:cs="Times New Roman"/>
          <w:sz w:val="32"/>
          <w:szCs w:val="32"/>
          <w:lang w:val="en-US" w:eastAsia="zh-CN"/>
        </w:rPr>
        <w:t>采购人有权拒收并扣除全部质保金</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z w:val="32"/>
          <w:szCs w:val="32"/>
          <w:lang w:eastAsia="zh-CN"/>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四）</w:t>
      </w:r>
      <w:r>
        <w:rPr>
          <w:rFonts w:hint="default" w:ascii="Times New Roman" w:hAnsi="Times New Roman" w:eastAsia="楷体_GB2312" w:cs="Times New Roman"/>
          <w:sz w:val="32"/>
          <w:szCs w:val="32"/>
          <w:lang w:eastAsia="zh-CN"/>
        </w:rPr>
        <w:t>验收标准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物（药）品</w:t>
      </w:r>
      <w:r>
        <w:rPr>
          <w:rFonts w:hint="default" w:ascii="Times New Roman" w:hAnsi="Times New Roman" w:eastAsia="仿宋_GB2312" w:cs="Times New Roman"/>
          <w:sz w:val="32"/>
          <w:szCs w:val="32"/>
        </w:rPr>
        <w:t>质检合格</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无三无产品。</w:t>
      </w:r>
      <w:r>
        <w:rPr>
          <w:rFonts w:hint="default" w:ascii="Times New Roman" w:hAnsi="Times New Roman" w:eastAsia="仿宋_GB2312" w:cs="Times New Roman"/>
          <w:sz w:val="32"/>
          <w:szCs w:val="32"/>
        </w:rPr>
        <w:t>物资核对误差≤±2%，关键设备抽检合格（如诱蚊灯波长、鼠夹感量）。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lang w:val="en-US" w:eastAsia="zh-CN"/>
        </w:rPr>
        <w:t>七、</w:t>
      </w:r>
      <w:r>
        <w:rPr>
          <w:rFonts w:hint="default" w:ascii="Times New Roman" w:hAnsi="Times New Roman" w:eastAsia="黑体" w:cs="Times New Roman"/>
          <w:sz w:val="32"/>
          <w:szCs w:val="32"/>
        </w:rPr>
        <w:t>时间安排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1.投</w:t>
      </w:r>
      <w:r>
        <w:rPr>
          <w:rFonts w:hint="default" w:ascii="Times New Roman" w:hAnsi="Times New Roman" w:eastAsia="仿宋_GB2312" w:cs="Times New Roman"/>
          <w:sz w:val="32"/>
          <w:szCs w:val="32"/>
        </w:rPr>
        <w:t>标</w:t>
      </w:r>
      <w:r>
        <w:rPr>
          <w:rFonts w:hint="default" w:ascii="Times New Roman" w:hAnsi="Times New Roman" w:eastAsia="仿宋_GB2312" w:cs="Times New Roman"/>
          <w:sz w:val="32"/>
          <w:szCs w:val="32"/>
          <w:lang w:val="en-US" w:eastAsia="zh-CN"/>
        </w:rPr>
        <w:t>截至时间：2025年4月2</w:t>
      </w: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lang w:val="en-US" w:eastAsia="zh-CN"/>
        </w:rPr>
        <w:t>日2</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lang w:val="en-US" w:eastAsia="zh-CN"/>
        </w:rPr>
        <w:t>时00分</w:t>
      </w:r>
      <w:r>
        <w:rPr>
          <w:rFonts w:hint="eastAsia" w:ascii="Times New Roman" w:hAnsi="Times New Roman" w:eastAsia="仿宋_GB2312"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2.投标文件递交：通过政财云平台在线提交电子文档（PDF格式，加密报价部分需单独上传）。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八、联系方式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采购人：第十四师昆玉市卫生健康委员会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地址：新疆生产建设兵团第十四师昆玉市玉枣路1号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联系人：</w:t>
      </w:r>
      <w:r>
        <w:rPr>
          <w:rFonts w:hint="default" w:ascii="Times New Roman" w:hAnsi="Times New Roman" w:eastAsia="仿宋_GB2312" w:cs="Times New Roman"/>
          <w:sz w:val="32"/>
          <w:szCs w:val="32"/>
          <w:lang w:val="en-US" w:eastAsia="zh-CN"/>
        </w:rPr>
        <w:t xml:space="preserve">杨玉莹  </w:t>
      </w:r>
      <w:r>
        <w:rPr>
          <w:rFonts w:hint="default" w:ascii="Times New Roman" w:hAnsi="Times New Roman" w:eastAsia="仿宋_GB2312" w:cs="Times New Roman"/>
          <w:sz w:val="32"/>
          <w:szCs w:val="32"/>
        </w:rPr>
        <w:t>联系电话：</w:t>
      </w:r>
      <w:r>
        <w:rPr>
          <w:rFonts w:hint="default" w:ascii="Times New Roman" w:hAnsi="Times New Roman" w:eastAsia="仿宋_GB2312" w:cs="Times New Roman"/>
          <w:sz w:val="32"/>
          <w:szCs w:val="32"/>
          <w:lang w:val="en-US" w:eastAsia="zh-CN"/>
        </w:rPr>
        <w:t>15582151981</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注意事项：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1.投标文件需密封并标注“病媒生物防制项目投标文件”。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2.未响应关键需求（如时间节点、点位覆盖）视为无效标。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3.预算分配说明：</w:t>
      </w:r>
      <w:r>
        <w:rPr>
          <w:rFonts w:hint="default" w:ascii="Times New Roman" w:hAnsi="Times New Roman" w:eastAsia="仿宋_GB2312" w:cs="Times New Roman"/>
          <w:sz w:val="32"/>
          <w:szCs w:val="32"/>
          <w:lang w:val="en-US" w:eastAsia="zh-CN"/>
        </w:rPr>
        <w:t>投标人需根据监测结果指定药品采购量，报价时可提供“按实际监测密度调整供货量”的承诺</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4.本招标最终解释权归第十四师昆玉市</w:t>
      </w:r>
      <w:r>
        <w:rPr>
          <w:rFonts w:hint="default" w:ascii="Times New Roman" w:hAnsi="Times New Roman" w:eastAsia="仿宋_GB2312" w:cs="Times New Roman"/>
          <w:sz w:val="32"/>
          <w:szCs w:val="32"/>
          <w:lang w:val="en-US" w:eastAsia="zh-CN"/>
        </w:rPr>
        <w:t>卫生健康委员会</w:t>
      </w:r>
      <w:r>
        <w:rPr>
          <w:rFonts w:hint="default" w:ascii="Times New Roman" w:hAnsi="Times New Roman" w:eastAsia="仿宋_GB2312" w:cs="Times New Roman"/>
          <w:sz w:val="32"/>
          <w:szCs w:val="32"/>
        </w:rPr>
        <w:t>所有。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p>
    <w:p>
      <w:pPr>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附件：</w:t>
      </w:r>
      <w:r>
        <w:rPr>
          <w:rFonts w:hint="default" w:ascii="Times New Roman" w:hAnsi="Times New Roman" w:eastAsia="黑体" w:cs="Times New Roman"/>
          <w:sz w:val="32"/>
          <w:szCs w:val="32"/>
        </w:rPr>
        <w:t>病媒生物物资技术参数明细表</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lang w:val="en-US" w:eastAsia="zh-CN"/>
        </w:rPr>
        <w:t>第十四师昆玉市</w:t>
      </w:r>
      <w:r>
        <w:rPr>
          <w:rFonts w:hint="default" w:ascii="Times New Roman" w:hAnsi="Times New Roman" w:eastAsia="方正小标宋简体" w:cs="Times New Roman"/>
          <w:sz w:val="44"/>
          <w:szCs w:val="44"/>
        </w:rPr>
        <w:t>病媒生物物资技术参数</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明细</w:t>
      </w:r>
      <w:r>
        <w:rPr>
          <w:rFonts w:hint="default" w:ascii="Times New Roman" w:hAnsi="Times New Roman" w:eastAsia="方正小标宋简体" w:cs="Times New Roman"/>
          <w:sz w:val="44"/>
          <w:szCs w:val="44"/>
          <w:lang w:val="en-US" w:eastAsia="zh-CN"/>
        </w:rPr>
        <w:t>及报价</w:t>
      </w:r>
      <w:r>
        <w:rPr>
          <w:rFonts w:hint="default" w:ascii="Times New Roman" w:hAnsi="Times New Roman" w:eastAsia="方正小标宋简体" w:cs="Times New Roman"/>
          <w:sz w:val="44"/>
          <w:szCs w:val="44"/>
        </w:rPr>
        <w:t>表</w:t>
      </w:r>
    </w:p>
    <w:tbl>
      <w:tblPr>
        <w:tblStyle w:val="2"/>
        <w:tblpPr w:leftFromText="180" w:rightFromText="180" w:vertAnchor="text" w:horzAnchor="page" w:tblpXSpec="center" w:tblpY="559"/>
        <w:tblOverlap w:val="never"/>
        <w:tblW w:w="582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20"/>
        <w:gridCol w:w="1575"/>
        <w:gridCol w:w="3060"/>
        <w:gridCol w:w="825"/>
        <w:gridCol w:w="945"/>
        <w:gridCol w:w="945"/>
        <w:gridCol w:w="18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9"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黑体" w:cs="Times New Roman"/>
                <w:i w:val="0"/>
                <w:iCs w:val="0"/>
                <w:color w:val="404040"/>
                <w:sz w:val="24"/>
                <w:szCs w:val="24"/>
                <w:u w:val="none"/>
              </w:rPr>
            </w:pPr>
            <w:r>
              <w:rPr>
                <w:rFonts w:hint="default" w:ascii="Times New Roman" w:hAnsi="Times New Roman" w:eastAsia="黑体" w:cs="Times New Roman"/>
                <w:i w:val="0"/>
                <w:iCs w:val="0"/>
                <w:color w:val="404040"/>
                <w:kern w:val="0"/>
                <w:sz w:val="24"/>
                <w:szCs w:val="24"/>
                <w:u w:val="none"/>
                <w:lang w:val="en-US" w:eastAsia="zh-CN" w:bidi="ar"/>
              </w:rPr>
              <w:t>序号</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黑体" w:cs="Times New Roman"/>
                <w:i w:val="0"/>
                <w:iCs w:val="0"/>
                <w:color w:val="404040"/>
                <w:sz w:val="24"/>
                <w:szCs w:val="24"/>
                <w:u w:val="none"/>
              </w:rPr>
            </w:pPr>
            <w:r>
              <w:rPr>
                <w:rFonts w:hint="default" w:ascii="Times New Roman" w:hAnsi="Times New Roman" w:eastAsia="黑体" w:cs="Times New Roman"/>
                <w:i w:val="0"/>
                <w:iCs w:val="0"/>
                <w:color w:val="404040"/>
                <w:kern w:val="0"/>
                <w:sz w:val="24"/>
                <w:szCs w:val="24"/>
                <w:u w:val="none"/>
                <w:lang w:val="en-US" w:eastAsia="zh-CN" w:bidi="ar"/>
              </w:rPr>
              <w:t>物资名称</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黑体" w:cs="Times New Roman"/>
                <w:i w:val="0"/>
                <w:iCs w:val="0"/>
                <w:color w:val="404040"/>
                <w:sz w:val="24"/>
                <w:szCs w:val="24"/>
                <w:u w:val="none"/>
              </w:rPr>
            </w:pPr>
            <w:r>
              <w:rPr>
                <w:rFonts w:hint="default" w:ascii="Times New Roman" w:hAnsi="Times New Roman" w:eastAsia="黑体" w:cs="Times New Roman"/>
                <w:i w:val="0"/>
                <w:iCs w:val="0"/>
                <w:color w:val="404040"/>
                <w:kern w:val="0"/>
                <w:sz w:val="24"/>
                <w:szCs w:val="24"/>
                <w:u w:val="none"/>
                <w:lang w:val="en-US" w:eastAsia="zh-CN" w:bidi="ar"/>
              </w:rPr>
              <w:t>规格参数</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黑体" w:cs="Times New Roman"/>
                <w:i w:val="0"/>
                <w:iCs w:val="0"/>
                <w:color w:val="404040"/>
                <w:kern w:val="0"/>
                <w:sz w:val="24"/>
                <w:szCs w:val="24"/>
                <w:u w:val="none"/>
                <w:lang w:val="en-US" w:eastAsia="zh-CN" w:bidi="ar"/>
              </w:rPr>
            </w:pPr>
            <w:r>
              <w:rPr>
                <w:rFonts w:hint="default" w:ascii="Times New Roman" w:hAnsi="Times New Roman" w:eastAsia="黑体" w:cs="Times New Roman"/>
                <w:i w:val="0"/>
                <w:iCs w:val="0"/>
                <w:color w:val="404040"/>
                <w:kern w:val="0"/>
                <w:sz w:val="24"/>
                <w:szCs w:val="24"/>
                <w:u w:val="none"/>
                <w:lang w:val="en-US" w:eastAsia="zh-CN" w:bidi="ar"/>
              </w:rPr>
              <w:t>数量</w:t>
            </w:r>
          </w:p>
        </w:tc>
        <w:tc>
          <w:tcPr>
            <w:tcW w:w="475" w:type="pct"/>
            <w:shd w:val="clear" w:color="auto" w:fill="auto"/>
            <w:vAlign w:val="center"/>
          </w:tcPr>
          <w:p>
            <w:pPr>
              <w:keepNext w:val="0"/>
              <w:keepLines w:val="0"/>
              <w:pageBreakBefore w:val="0"/>
              <w:widowControl/>
              <w:suppressLineNumbers w:val="0"/>
              <w:tabs>
                <w:tab w:val="left" w:pos="357"/>
              </w:tabs>
              <w:kinsoku/>
              <w:wordWrap/>
              <w:overflowPunct/>
              <w:topLinePunct w:val="0"/>
              <w:autoSpaceDE/>
              <w:autoSpaceDN/>
              <w:bidi w:val="0"/>
              <w:adjustRightInd/>
              <w:snapToGrid/>
              <w:spacing w:line="300" w:lineRule="exact"/>
              <w:jc w:val="center"/>
              <w:textAlignment w:val="center"/>
              <w:rPr>
                <w:rFonts w:hint="default" w:ascii="Times New Roman" w:hAnsi="Times New Roman" w:eastAsia="黑体" w:cs="Times New Roman"/>
                <w:i w:val="0"/>
                <w:iCs w:val="0"/>
                <w:color w:val="404040"/>
                <w:kern w:val="0"/>
                <w:sz w:val="24"/>
                <w:szCs w:val="24"/>
                <w:u w:val="none"/>
                <w:lang w:val="en-US" w:eastAsia="zh-CN" w:bidi="ar"/>
              </w:rPr>
            </w:pPr>
            <w:r>
              <w:rPr>
                <w:rFonts w:hint="default" w:ascii="Times New Roman" w:hAnsi="Times New Roman" w:eastAsia="黑体" w:cs="Times New Roman"/>
                <w:i w:val="0"/>
                <w:iCs w:val="0"/>
                <w:color w:val="404040"/>
                <w:kern w:val="0"/>
                <w:sz w:val="24"/>
                <w:szCs w:val="24"/>
                <w:u w:val="none"/>
                <w:lang w:val="en-US" w:eastAsia="zh-CN" w:bidi="ar"/>
              </w:rPr>
              <w:t>单位</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黑体" w:cs="Times New Roman"/>
                <w:i w:val="0"/>
                <w:iCs w:val="0"/>
                <w:color w:val="404040"/>
                <w:kern w:val="0"/>
                <w:sz w:val="24"/>
                <w:szCs w:val="24"/>
                <w:u w:val="none"/>
                <w:lang w:val="en-US" w:eastAsia="zh-CN" w:bidi="ar"/>
              </w:rPr>
            </w:pPr>
            <w:r>
              <w:rPr>
                <w:rFonts w:hint="default" w:ascii="Times New Roman" w:hAnsi="Times New Roman" w:eastAsia="黑体" w:cs="Times New Roman"/>
                <w:i w:val="0"/>
                <w:iCs w:val="0"/>
                <w:color w:val="404040"/>
                <w:kern w:val="0"/>
                <w:sz w:val="24"/>
                <w:szCs w:val="24"/>
                <w:u w:val="none"/>
                <w:lang w:val="en-US" w:eastAsia="zh-CN" w:bidi="ar"/>
              </w:rPr>
              <w:t>单价</w:t>
            </w: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黑体" w:cs="Times New Roman"/>
                <w:i w:val="0"/>
                <w:iCs w:val="0"/>
                <w:color w:val="404040"/>
                <w:kern w:val="0"/>
                <w:sz w:val="24"/>
                <w:szCs w:val="24"/>
                <w:u w:val="none"/>
                <w:lang w:val="en-US" w:eastAsia="zh-CN" w:bidi="ar"/>
              </w:rPr>
            </w:pPr>
            <w:r>
              <w:rPr>
                <w:rFonts w:hint="default" w:ascii="Times New Roman" w:hAnsi="Times New Roman" w:eastAsia="黑体" w:cs="Times New Roman"/>
                <w:i w:val="0"/>
                <w:iCs w:val="0"/>
                <w:color w:val="404040"/>
                <w:kern w:val="0"/>
                <w:sz w:val="24"/>
                <w:szCs w:val="24"/>
                <w:u w:val="none"/>
                <w:lang w:val="en-US" w:eastAsia="zh-CN" w:bidi="ar"/>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粘蟑纸</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尺寸：170mm×100mm；材质：环保无毒胶面</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胶面粘度测试报告（≥0.8N/cm²）</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eastAsia" w:ascii="Times New Roman" w:hAnsi="Times New Roman" w:eastAsia="仿宋_GB2312" w:cs="Times New Roman"/>
                <w:i w:val="0"/>
                <w:iCs w:val="0"/>
                <w:color w:val="404040"/>
                <w:kern w:val="0"/>
                <w:sz w:val="24"/>
                <w:szCs w:val="24"/>
                <w:highlight w:val="yellow"/>
                <w:u w:val="none"/>
                <w:lang w:val="en-US" w:eastAsia="zh-CN" w:bidi="ar"/>
              </w:rPr>
              <w:t>6500</w:t>
            </w:r>
          </w:p>
        </w:tc>
        <w:tc>
          <w:tcPr>
            <w:tcW w:w="475" w:type="pct"/>
            <w:shd w:val="clear" w:color="auto" w:fill="auto"/>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2"/>
                <w:sz w:val="22"/>
                <w:szCs w:val="22"/>
                <w:highlight w:val="yellow"/>
                <w:u w:val="none"/>
                <w:lang w:val="en-US" w:eastAsia="zh-CN" w:bidi="ar-SA"/>
              </w:rPr>
            </w:pPr>
            <w:r>
              <w:rPr>
                <w:rFonts w:hint="default" w:ascii="Times New Roman" w:hAnsi="Times New Roman" w:eastAsia="仿宋_GB2312" w:cs="Times New Roman"/>
                <w:i w:val="0"/>
                <w:iCs w:val="0"/>
                <w:color w:val="000000"/>
                <w:kern w:val="0"/>
                <w:sz w:val="22"/>
                <w:szCs w:val="22"/>
                <w:highlight w:val="yellow"/>
                <w:u w:val="none"/>
                <w:lang w:val="en-US" w:eastAsia="zh-CN" w:bidi="ar"/>
              </w:rPr>
              <w:t>张</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kern w:val="2"/>
                <w:sz w:val="21"/>
                <w:szCs w:val="24"/>
                <w:lang w:val="en-US" w:eastAsia="zh-CN" w:bidi="ar-SA"/>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806"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3</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捕蝇笼</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直径200mm，笼体高400mm，圆锥形芯高350mm；材质：不锈钢网（孔径≤2mm）</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材质耐腐蚀检测（符合GB/T 10125标准）</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eastAsia" w:ascii="Times New Roman" w:hAnsi="Times New Roman" w:eastAsia="仿宋_GB2312" w:cs="Times New Roman"/>
                <w:i w:val="0"/>
                <w:iCs w:val="0"/>
                <w:color w:val="404040"/>
                <w:kern w:val="0"/>
                <w:sz w:val="24"/>
                <w:szCs w:val="24"/>
                <w:highlight w:val="yellow"/>
                <w:u w:val="none"/>
                <w:lang w:val="en-US" w:eastAsia="zh-CN" w:bidi="ar"/>
              </w:rPr>
              <w:t>500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个</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4</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粘蝇带</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尺寸：长400mm×宽35mm；胶面耐高温（≤50℃不脱胶）</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胶面粘度及耐温性测试报告</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eastAsia" w:ascii="Times New Roman" w:hAnsi="Times New Roman" w:eastAsia="仿宋_GB2312" w:cs="Times New Roman"/>
                <w:i w:val="0"/>
                <w:iCs w:val="0"/>
                <w:color w:val="404040"/>
                <w:kern w:val="0"/>
                <w:sz w:val="24"/>
                <w:szCs w:val="24"/>
                <w:highlight w:val="yellow"/>
                <w:u w:val="none"/>
                <w:lang w:val="en-US" w:eastAsia="zh-CN" w:bidi="ar"/>
              </w:rPr>
              <w:t>6500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条</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5</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诱蚊灯</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波长2537Å，功率8W；电池续航≥6小时</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波长检测证书、电池容量测试报告</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eastAsia" w:ascii="Times New Roman" w:hAnsi="Times New Roman" w:eastAsia="仿宋_GB2312" w:cs="Times New Roman"/>
                <w:i w:val="0"/>
                <w:iCs w:val="0"/>
                <w:color w:val="404040"/>
                <w:kern w:val="0"/>
                <w:sz w:val="24"/>
                <w:szCs w:val="24"/>
                <w:highlight w:val="yellow"/>
                <w:u w:val="none"/>
                <w:lang w:val="en-US" w:eastAsia="zh-CN" w:bidi="ar"/>
              </w:rPr>
              <w:t>70</w:t>
            </w:r>
          </w:p>
        </w:tc>
        <w:tc>
          <w:tcPr>
            <w:tcW w:w="475" w:type="pct"/>
            <w:shd w:val="clear" w:color="auto" w:fill="auto"/>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2"/>
                <w:sz w:val="22"/>
                <w:szCs w:val="22"/>
                <w:highlight w:val="yellow"/>
                <w:u w:val="none"/>
                <w:lang w:val="en-US" w:eastAsia="zh-CN" w:bidi="ar-SA"/>
              </w:rPr>
            </w:pPr>
            <w:r>
              <w:rPr>
                <w:rFonts w:hint="default" w:ascii="Times New Roman" w:hAnsi="Times New Roman" w:eastAsia="仿宋_GB2312" w:cs="Times New Roman"/>
                <w:i w:val="0"/>
                <w:iCs w:val="0"/>
                <w:color w:val="000000"/>
                <w:kern w:val="0"/>
                <w:sz w:val="22"/>
                <w:szCs w:val="22"/>
                <w:highlight w:val="yellow"/>
                <w:u w:val="none"/>
                <w:lang w:val="en-US" w:eastAsia="zh-CN" w:bidi="ar"/>
              </w:rPr>
              <w:t>盏</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6</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电动吸蚊器</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充电式；续航≥4小时；吸力≥10Pa</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吸力测试报告、电池循环寿命检测</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100</w:t>
            </w:r>
          </w:p>
        </w:tc>
        <w:tc>
          <w:tcPr>
            <w:tcW w:w="475" w:type="pct"/>
            <w:shd w:val="clear" w:color="auto" w:fill="auto"/>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2"/>
                <w:sz w:val="22"/>
                <w:szCs w:val="22"/>
                <w:highlight w:val="yellow"/>
                <w:u w:val="none"/>
                <w:lang w:val="en-US" w:eastAsia="zh-CN" w:bidi="ar-SA"/>
              </w:rPr>
            </w:pPr>
            <w:r>
              <w:rPr>
                <w:rFonts w:hint="default" w:ascii="Times New Roman" w:hAnsi="Times New Roman" w:eastAsia="仿宋_GB2312" w:cs="Times New Roman"/>
                <w:i w:val="0"/>
                <w:iCs w:val="0"/>
                <w:color w:val="000000"/>
                <w:kern w:val="0"/>
                <w:sz w:val="22"/>
                <w:szCs w:val="22"/>
                <w:highlight w:val="yellow"/>
                <w:u w:val="none"/>
                <w:lang w:val="en-US" w:eastAsia="zh-CN" w:bidi="ar"/>
              </w:rPr>
              <w:t>个</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7</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室外鼠饵盒</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核心参数要求：</w:t>
            </w:r>
            <w:r>
              <w:rPr>
                <w:rFonts w:hint="default" w:ascii="Times New Roman" w:hAnsi="Times New Roman" w:eastAsia="仿宋_GB2312" w:cs="Times New Roman"/>
                <w:i w:val="0"/>
                <w:iCs w:val="0"/>
                <w:color w:val="404040"/>
                <w:kern w:val="0"/>
                <w:sz w:val="24"/>
                <w:szCs w:val="24"/>
                <w:highlight w:val="yellow"/>
                <w:u w:val="none"/>
                <w:lang w:val="en-US" w:eastAsia="zh-CN" w:bidi="ar"/>
              </w:rPr>
              <w:br w:type="textWrapping"/>
            </w:r>
            <w:r>
              <w:rPr>
                <w:rFonts w:hint="default" w:ascii="Times New Roman" w:hAnsi="Times New Roman" w:eastAsia="仿宋_GB2312" w:cs="Times New Roman"/>
                <w:i w:val="0"/>
                <w:iCs w:val="0"/>
                <w:color w:val="404040"/>
                <w:kern w:val="0"/>
                <w:sz w:val="24"/>
                <w:szCs w:val="24"/>
                <w:highlight w:val="yellow"/>
                <w:u w:val="none"/>
                <w:lang w:val="en-US" w:eastAsia="zh-CN" w:bidi="ar"/>
              </w:rPr>
              <w:t>商品类目：驱虫用品；采购人需求描述： - ;</w:t>
            </w:r>
            <w:r>
              <w:rPr>
                <w:rFonts w:hint="default" w:ascii="Times New Roman" w:hAnsi="Times New Roman" w:eastAsia="仿宋_GB2312" w:cs="Times New Roman"/>
                <w:i w:val="0"/>
                <w:iCs w:val="0"/>
                <w:color w:val="404040"/>
                <w:kern w:val="0"/>
                <w:sz w:val="24"/>
                <w:szCs w:val="24"/>
                <w:highlight w:val="yellow"/>
                <w:u w:val="none"/>
                <w:lang w:val="en-US" w:eastAsia="zh-CN" w:bidi="ar"/>
              </w:rPr>
              <w:br w:type="textWrapping"/>
            </w:r>
            <w:r>
              <w:rPr>
                <w:rFonts w:hint="default" w:ascii="Times New Roman" w:hAnsi="Times New Roman" w:eastAsia="仿宋_GB2312" w:cs="Times New Roman"/>
                <w:i w:val="0"/>
                <w:iCs w:val="0"/>
                <w:color w:val="404040"/>
                <w:kern w:val="0"/>
                <w:sz w:val="24"/>
                <w:szCs w:val="24"/>
                <w:highlight w:val="yellow"/>
                <w:u w:val="none"/>
                <w:lang w:val="en-US" w:eastAsia="zh-CN" w:bidi="ar"/>
              </w:rPr>
              <w:t>次要参数要求：参数：30*11*11cm(含警示贴);陶瓷制品；</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eastAsia" w:ascii="Times New Roman" w:hAnsi="Times New Roman" w:eastAsia="仿宋_GB2312" w:cs="Times New Roman"/>
                <w:i w:val="0"/>
                <w:iCs w:val="0"/>
                <w:color w:val="404040"/>
                <w:kern w:val="0"/>
                <w:sz w:val="24"/>
                <w:szCs w:val="24"/>
                <w:highlight w:val="yellow"/>
                <w:u w:val="none"/>
                <w:lang w:val="en-US" w:eastAsia="zh-CN" w:bidi="ar"/>
              </w:rPr>
              <w:t>600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个</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5"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8</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诱蚊诱卵器</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材质：黑色塑料；直径15cm，高度10cm</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诱蚊率检测（与标准方法对比≥90%）</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600</w:t>
            </w:r>
          </w:p>
        </w:tc>
        <w:tc>
          <w:tcPr>
            <w:tcW w:w="475" w:type="pct"/>
            <w:shd w:val="clear" w:color="auto" w:fill="auto"/>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2"/>
                <w:sz w:val="22"/>
                <w:szCs w:val="22"/>
                <w:highlight w:val="yellow"/>
                <w:u w:val="none"/>
                <w:lang w:val="en-US" w:eastAsia="zh-CN" w:bidi="ar-SA"/>
              </w:rPr>
            </w:pPr>
            <w:r>
              <w:rPr>
                <w:rFonts w:hint="default" w:ascii="Times New Roman" w:hAnsi="Times New Roman" w:eastAsia="仿宋_GB2312" w:cs="Times New Roman"/>
                <w:i w:val="0"/>
                <w:iCs w:val="0"/>
                <w:color w:val="000000"/>
                <w:kern w:val="0"/>
                <w:sz w:val="22"/>
                <w:szCs w:val="22"/>
                <w:highlight w:val="yellow"/>
                <w:u w:val="none"/>
                <w:lang w:val="en-US" w:eastAsia="zh-CN" w:bidi="ar"/>
              </w:rPr>
              <w:t>个</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9</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室内外监测鼠害智能鼠饵站</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自带智能模组，老鼠进入饵站后模组中的传感器即能快速捕获到信息并将信息上传至平台，服务人员则通过PC端或手机端获得饵站智能模组的报警，及时标靶性的进行处理。</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eastAsia" w:ascii="Times New Roman" w:hAnsi="Times New Roman" w:eastAsia="仿宋_GB2312" w:cs="Times New Roman"/>
                <w:i w:val="0"/>
                <w:iCs w:val="0"/>
                <w:color w:val="404040"/>
                <w:kern w:val="0"/>
                <w:sz w:val="24"/>
                <w:szCs w:val="24"/>
                <w:highlight w:val="yellow"/>
                <w:u w:val="none"/>
                <w:lang w:val="en-US" w:eastAsia="zh-CN" w:bidi="ar"/>
              </w:rPr>
              <w:t>15</w:t>
            </w:r>
          </w:p>
        </w:tc>
        <w:tc>
          <w:tcPr>
            <w:tcW w:w="475" w:type="pct"/>
            <w:shd w:val="clear" w:color="auto" w:fill="auto"/>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2"/>
                <w:sz w:val="22"/>
                <w:szCs w:val="22"/>
                <w:highlight w:val="yellow"/>
                <w:u w:val="none"/>
                <w:lang w:val="en-US" w:eastAsia="zh-CN" w:bidi="ar-SA"/>
              </w:rPr>
            </w:pPr>
            <w:r>
              <w:rPr>
                <w:rFonts w:hint="default" w:ascii="Times New Roman" w:hAnsi="Times New Roman" w:eastAsia="仿宋_GB2312" w:cs="Times New Roman"/>
                <w:i w:val="0"/>
                <w:iCs w:val="0"/>
                <w:color w:val="000000"/>
                <w:kern w:val="0"/>
                <w:sz w:val="22"/>
                <w:szCs w:val="22"/>
                <w:highlight w:val="yellow"/>
                <w:u w:val="none"/>
                <w:lang w:val="en-US" w:eastAsia="zh-CN" w:bidi="ar"/>
              </w:rPr>
              <w:t>个</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10</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滑石粉</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5斤/袋</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eastAsia" w:ascii="Times New Roman" w:hAnsi="Times New Roman" w:eastAsia="仿宋_GB2312" w:cs="Times New Roman"/>
                <w:i w:val="0"/>
                <w:iCs w:val="0"/>
                <w:color w:val="404040"/>
                <w:kern w:val="0"/>
                <w:sz w:val="24"/>
                <w:szCs w:val="24"/>
                <w:highlight w:val="yellow"/>
                <w:u w:val="none"/>
                <w:lang w:val="en-US" w:eastAsia="zh-CN" w:bidi="ar"/>
              </w:rPr>
              <w:t>7</w:t>
            </w:r>
          </w:p>
        </w:tc>
        <w:tc>
          <w:tcPr>
            <w:tcW w:w="475" w:type="pct"/>
            <w:shd w:val="clear" w:color="auto" w:fill="auto"/>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2"/>
                <w:sz w:val="22"/>
                <w:szCs w:val="22"/>
                <w:highlight w:val="yellow"/>
                <w:u w:val="none"/>
                <w:lang w:val="en-US" w:eastAsia="zh-CN" w:bidi="ar-SA"/>
              </w:rPr>
            </w:pPr>
            <w:r>
              <w:rPr>
                <w:rFonts w:hint="default" w:ascii="Times New Roman" w:hAnsi="Times New Roman" w:eastAsia="仿宋_GB2312" w:cs="Times New Roman"/>
                <w:i w:val="0"/>
                <w:iCs w:val="0"/>
                <w:color w:val="000000"/>
                <w:kern w:val="0"/>
                <w:sz w:val="22"/>
                <w:szCs w:val="22"/>
                <w:highlight w:val="yellow"/>
                <w:u w:val="none"/>
                <w:lang w:val="en-US" w:eastAsia="zh-CN" w:bidi="ar"/>
              </w:rPr>
              <w:t>袋</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11</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粘鼠板</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胶面尺寸150mm×200mm；胶体耐低温（≥-10℃不硬化）</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粘度测试（≥1.0N/cm²）、低温性能检测</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eastAsia" w:ascii="Times New Roman" w:hAnsi="Times New Roman" w:eastAsia="仿宋_GB2312" w:cs="Times New Roman"/>
                <w:i w:val="0"/>
                <w:iCs w:val="0"/>
                <w:color w:val="404040"/>
                <w:kern w:val="0"/>
                <w:sz w:val="24"/>
                <w:szCs w:val="24"/>
                <w:highlight w:val="yellow"/>
                <w:u w:val="none"/>
                <w:lang w:val="en-US" w:eastAsia="zh-CN" w:bidi="ar"/>
              </w:rPr>
              <w:t>6500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张</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12</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灭蚊灯</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XILGARI灭蚊灯电蚊驱蚊灭蝇灯餐厅酒店商家用</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约120平米</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100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盏</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13</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鼠笼</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可折叠铁丝笼；尺寸240mm×110mm×110mm；门锁防逃脱设计</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笼体强度测试（承重≥5kg）、门锁可靠性检测</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eastAsia" w:ascii="Times New Roman" w:hAnsi="Times New Roman" w:eastAsia="仿宋_GB2312" w:cs="Times New Roman"/>
                <w:i w:val="0"/>
                <w:iCs w:val="0"/>
                <w:color w:val="404040"/>
                <w:kern w:val="0"/>
                <w:sz w:val="24"/>
                <w:szCs w:val="24"/>
                <w:highlight w:val="yellow"/>
                <w:u w:val="none"/>
                <w:lang w:val="en-US" w:eastAsia="zh-CN" w:bidi="ar"/>
              </w:rPr>
              <w:t>600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个</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14</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灭蟑胶饵</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核心参数要求：</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商品类目：驱虫用品；</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次要参数要求：成分含量：呋虫胺0.5%;规格：10克/支；</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eastAsia" w:ascii="Times New Roman" w:hAnsi="Times New Roman" w:eastAsia="仿宋_GB2312" w:cs="Times New Roman"/>
                <w:i w:val="0"/>
                <w:iCs w:val="0"/>
                <w:color w:val="404040"/>
                <w:kern w:val="0"/>
                <w:sz w:val="24"/>
                <w:szCs w:val="24"/>
                <w:highlight w:val="yellow"/>
                <w:u w:val="none"/>
                <w:lang w:val="en-US" w:eastAsia="zh-CN" w:bidi="ar"/>
              </w:rPr>
              <w:t>6000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支</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15</w:t>
            </w:r>
          </w:p>
        </w:tc>
        <w:tc>
          <w:tcPr>
            <w:tcW w:w="793"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r>
              <w:rPr>
                <w:rFonts w:hint="default" w:ascii="Times New Roman" w:hAnsi="Times New Roman" w:eastAsia="仿宋_GB2312" w:cs="Times New Roman"/>
                <w:i w:val="0"/>
                <w:iCs w:val="0"/>
                <w:color w:val="404040"/>
                <w:kern w:val="0"/>
                <w:sz w:val="24"/>
                <w:szCs w:val="24"/>
                <w:u w:val="none"/>
                <w:lang w:val="en-US" w:eastAsia="zh-CN" w:bidi="ar"/>
              </w:rPr>
              <w:t>枪手杀虫气雾剂</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核心参数要求：</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商品类目：驱虫用品；Es-生物烯丙菊酯0.22%；</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左旋苯醚菊酯0.19%</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eastAsia" w:ascii="Times New Roman" w:hAnsi="Times New Roman" w:eastAsia="仿宋_GB2312" w:cs="Times New Roman"/>
                <w:i w:val="0"/>
                <w:iCs w:val="0"/>
                <w:color w:val="404040"/>
                <w:kern w:val="0"/>
                <w:sz w:val="24"/>
                <w:szCs w:val="24"/>
                <w:highlight w:val="yellow"/>
                <w:u w:val="none"/>
                <w:lang w:val="en-US" w:eastAsia="zh-CN" w:bidi="ar"/>
              </w:rPr>
              <w:t>1100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瓶</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07" w:hRule="atLeast"/>
          <w:jc w:val="center"/>
        </w:trPr>
        <w:tc>
          <w:tcPr>
            <w:tcW w:w="362"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bookmarkStart w:id="0" w:name="_GoBack" w:colFirst="2" w:colLast="4"/>
            <w:r>
              <w:rPr>
                <w:rFonts w:hint="default" w:ascii="Times New Roman" w:hAnsi="Times New Roman" w:eastAsia="仿宋_GB2312" w:cs="Times New Roman"/>
                <w:i w:val="0"/>
                <w:iCs w:val="0"/>
                <w:color w:val="404040"/>
                <w:kern w:val="0"/>
                <w:sz w:val="24"/>
                <w:szCs w:val="24"/>
                <w:u w:val="none"/>
                <w:lang w:val="en-US" w:eastAsia="zh-CN" w:bidi="ar"/>
              </w:rPr>
              <w:t>16</w:t>
            </w:r>
          </w:p>
        </w:tc>
        <w:tc>
          <w:tcPr>
            <w:tcW w:w="793" w:type="pct"/>
            <w:shd w:val="clear" w:color="auto" w:fill="auto"/>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2"/>
                <w:sz w:val="22"/>
                <w:szCs w:val="22"/>
                <w:u w:val="none"/>
                <w:lang w:val="en-US" w:eastAsia="zh-CN" w:bidi="ar-SA"/>
              </w:rPr>
            </w:pPr>
            <w:r>
              <w:rPr>
                <w:rFonts w:hint="default" w:ascii="Times New Roman" w:hAnsi="Times New Roman" w:eastAsia="仿宋_GB2312" w:cs="Times New Roman"/>
                <w:i w:val="0"/>
                <w:iCs w:val="0"/>
                <w:color w:val="000000"/>
                <w:kern w:val="0"/>
                <w:sz w:val="22"/>
                <w:szCs w:val="22"/>
                <w:u w:val="none"/>
                <w:lang w:val="en-US" w:eastAsia="zh-CN" w:bidi="ar"/>
              </w:rPr>
              <w:t>0.005%溴敌隆鼠饵</w:t>
            </w:r>
          </w:p>
        </w:tc>
        <w:tc>
          <w:tcPr>
            <w:tcW w:w="1540"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核心参数要求：</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商品类目：驱虫用品；</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default" w:ascii="Times New Roman" w:hAnsi="Times New Roman" w:eastAsia="仿宋_GB2312" w:cs="Times New Roman"/>
                <w:i w:val="0"/>
                <w:iCs w:val="0"/>
                <w:color w:val="404040"/>
                <w:kern w:val="0"/>
                <w:sz w:val="24"/>
                <w:szCs w:val="24"/>
                <w:highlight w:val="yellow"/>
                <w:u w:val="none"/>
                <w:lang w:val="en-US" w:eastAsia="zh-CN" w:bidi="ar"/>
              </w:rPr>
              <w:t>次要参数要求：有效成分：溴敌隆0.005%(毒饵);</w:t>
            </w:r>
          </w:p>
        </w:tc>
        <w:tc>
          <w:tcPr>
            <w:tcW w:w="41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eastAsia" w:ascii="Times New Roman" w:hAnsi="Times New Roman" w:eastAsia="仿宋_GB2312" w:cs="Times New Roman"/>
                <w:i w:val="0"/>
                <w:iCs w:val="0"/>
                <w:color w:val="404040"/>
                <w:kern w:val="0"/>
                <w:sz w:val="24"/>
                <w:szCs w:val="24"/>
                <w:highlight w:val="yellow"/>
                <w:u w:val="none"/>
                <w:lang w:val="en-US" w:eastAsia="zh-CN" w:bidi="ar"/>
              </w:rPr>
              <w:t>300</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highlight w:val="yellow"/>
                <w:u w:val="none"/>
                <w:lang w:val="en-US" w:eastAsia="zh-CN" w:bidi="ar"/>
              </w:rPr>
            </w:pPr>
            <w:r>
              <w:rPr>
                <w:rFonts w:hint="eastAsia" w:ascii="Times New Roman" w:hAnsi="Times New Roman" w:eastAsia="仿宋_GB2312" w:cs="Times New Roman"/>
                <w:i w:val="0"/>
                <w:iCs w:val="0"/>
                <w:color w:val="404040"/>
                <w:kern w:val="0"/>
                <w:sz w:val="24"/>
                <w:szCs w:val="24"/>
                <w:highlight w:val="yellow"/>
                <w:u w:val="none"/>
                <w:lang w:val="en-US" w:eastAsia="zh-CN" w:bidi="ar"/>
              </w:rPr>
              <w:t>kg</w:t>
            </w:r>
          </w:p>
        </w:tc>
        <w:tc>
          <w:tcPr>
            <w:tcW w:w="475"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c>
          <w:tcPr>
            <w:tcW w:w="936"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仿宋_GB2312" w:cs="Times New Roman"/>
                <w:i w:val="0"/>
                <w:iCs w:val="0"/>
                <w:color w:val="404040"/>
                <w:kern w:val="0"/>
                <w:sz w:val="24"/>
                <w:szCs w:val="24"/>
                <w:u w:val="none"/>
                <w:lang w:val="en-US" w:eastAsia="zh-CN" w:bidi="ar"/>
              </w:rPr>
            </w:pPr>
          </w:p>
        </w:tc>
      </w:tr>
      <w:bookmarkEnd w:id="0"/>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c3M2Y5NzIzMDFlZjAyY2Q4Njk5ODkyYjFjNzBiNTQifQ=="/>
  </w:docVars>
  <w:rsids>
    <w:rsidRoot w:val="00000000"/>
    <w:rsid w:val="06C278B5"/>
    <w:rsid w:val="0822685D"/>
    <w:rsid w:val="09864BCA"/>
    <w:rsid w:val="122D30E1"/>
    <w:rsid w:val="174A6155"/>
    <w:rsid w:val="1DB16262"/>
    <w:rsid w:val="210668C5"/>
    <w:rsid w:val="3F0062A9"/>
    <w:rsid w:val="45303661"/>
    <w:rsid w:val="45F36B68"/>
    <w:rsid w:val="460F01C6"/>
    <w:rsid w:val="5AD54636"/>
    <w:rsid w:val="5F381638"/>
    <w:rsid w:val="62570027"/>
    <w:rsid w:val="64AF414A"/>
    <w:rsid w:val="661324B7"/>
    <w:rsid w:val="688D6550"/>
    <w:rsid w:val="69C04428"/>
    <w:rsid w:val="729B5D0E"/>
    <w:rsid w:val="782F13D2"/>
    <w:rsid w:val="793F5645"/>
    <w:rsid w:val="7CE85F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231</TotalTime>
  <ScaleCrop>false</ScaleCrop>
  <LinksUpToDate>false</LinksUpToDate>
  <CharactersWithSpaces>0</CharactersWithSpaces>
  <Application>WPS Office_12.1.0.16704_F1E327BC-269C-435d-A152-05C5408002CA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2025-04-14T10:41:00Z</dcterms:created>
  <dc:creator>LENOVO</dc:creator>
  <cp:lastModifiedBy>y1231</cp:lastModifiedBy>
  <dcterms:modified xsi:type="dcterms:W3CDTF">2025-04-15T05:45:56Z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2052-12.1.0.16704</vt:lpwstr>
  </property>
  <property fmtid="{D5CDD505-2E9C-101B-9397-08002B2CF9AE}" pid="3" name="KSOTemplateDocerSaveRecord">
    <vt:lpwstr>eyJoZGlkIjoiNGI3OTFlNTczZGVhNWQ5ZDBiOGQ3ZWUxZTM0ODRjOTAiLCJ1c2VySWQiOiIxMzk2NzY1OTEyIn0=</vt:lpwstr>
  </property>
  <property fmtid="{D5CDD505-2E9C-101B-9397-08002B2CF9AE}" pid="4" name="ICV">
    <vt:lpwstr>1A4643B9643841B488147487E19EA37C_13</vt:lpwstr>
  </property>
</Properties>
</file>