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FAD341">
      <w:pPr>
        <w:jc w:val="center"/>
        <w:rPr>
          <w:rFonts w:hint="eastAsia"/>
          <w:sz w:val="52"/>
          <w:szCs w:val="52"/>
        </w:rPr>
      </w:pPr>
      <w:r>
        <w:rPr>
          <w:rFonts w:hint="eastAsia"/>
          <w:sz w:val="52"/>
          <w:szCs w:val="52"/>
        </w:rPr>
        <w:t>招标文件</w:t>
      </w:r>
    </w:p>
    <w:p w14:paraId="3F96EE94">
      <w:pPr>
        <w:rPr>
          <w:rFonts w:hint="eastAsia"/>
          <w:sz w:val="28"/>
          <w:szCs w:val="28"/>
        </w:rPr>
      </w:pPr>
    </w:p>
    <w:p w14:paraId="3C432F43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供应商符合以下条件。供应商须提供产品彩页。注册证，偏离表，厂家资质，供应商资质，产品参数。</w:t>
      </w:r>
    </w:p>
    <w:p w14:paraId="70BD027B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1-供应商能够提供农四师医共体单位试剂中标通知书或合同。</w:t>
      </w:r>
    </w:p>
    <w:p w14:paraId="7A8C9914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2-供应商在伊犁本地由厂家设立的售后团队（必须要有厂家授权委托书）</w:t>
      </w:r>
    </w:p>
    <w:p w14:paraId="5637C857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3-中标后三日内可交货。</w:t>
      </w:r>
    </w:p>
    <w:p w14:paraId="3BBA23CA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4-设备生产日期应在2024年下半年。</w:t>
      </w:r>
    </w:p>
    <w:p w14:paraId="0390839F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5-供应商须出具生产厂家给供应商开具的委托书。（证实所供产品为原装正品。）</w:t>
      </w:r>
    </w:p>
    <w:p w14:paraId="02D4E7E2">
      <w:pPr>
        <w:rPr>
          <w:rFonts w:hint="eastAsia"/>
          <w:sz w:val="28"/>
          <w:szCs w:val="28"/>
        </w:rPr>
      </w:pPr>
    </w:p>
    <w:p w14:paraId="43882C9A">
      <w:pPr>
        <w:rPr>
          <w:rFonts w:hint="eastAsia"/>
          <w:sz w:val="28"/>
          <w:szCs w:val="28"/>
        </w:rPr>
      </w:pPr>
    </w:p>
    <w:p w14:paraId="07E05BB8">
      <w:pPr>
        <w:rPr>
          <w:rFonts w:hint="eastAsia"/>
          <w:sz w:val="28"/>
          <w:szCs w:val="28"/>
        </w:rPr>
      </w:pPr>
    </w:p>
    <w:p w14:paraId="6D28E724">
      <w:pPr>
        <w:rPr>
          <w:rFonts w:hint="eastAsia"/>
          <w:sz w:val="28"/>
          <w:szCs w:val="28"/>
        </w:rPr>
      </w:pPr>
    </w:p>
    <w:p w14:paraId="52DF156B">
      <w:pPr>
        <w:rPr>
          <w:rFonts w:hint="eastAsia"/>
          <w:sz w:val="28"/>
          <w:szCs w:val="28"/>
        </w:rPr>
      </w:pPr>
    </w:p>
    <w:p w14:paraId="040AE048">
      <w:pPr>
        <w:rPr>
          <w:rFonts w:hint="eastAsia"/>
          <w:sz w:val="28"/>
          <w:szCs w:val="28"/>
        </w:rPr>
      </w:pPr>
    </w:p>
    <w:p w14:paraId="08D81F2E">
      <w:pPr>
        <w:rPr>
          <w:rFonts w:hint="eastAsia"/>
          <w:sz w:val="28"/>
          <w:szCs w:val="28"/>
        </w:rPr>
      </w:pPr>
    </w:p>
    <w:p w14:paraId="14C0AEB5">
      <w:pPr>
        <w:rPr>
          <w:rFonts w:hint="eastAsia"/>
          <w:sz w:val="28"/>
          <w:szCs w:val="28"/>
        </w:rPr>
      </w:pPr>
    </w:p>
    <w:p w14:paraId="1D077EE4">
      <w:pPr>
        <w:rPr>
          <w:rFonts w:hint="eastAsia"/>
          <w:sz w:val="28"/>
          <w:szCs w:val="28"/>
        </w:rPr>
      </w:pPr>
    </w:p>
    <w:p w14:paraId="1C7D6C5D">
      <w:pPr>
        <w:rPr>
          <w:rFonts w:hint="eastAsia"/>
          <w:sz w:val="28"/>
          <w:szCs w:val="28"/>
        </w:rPr>
      </w:pPr>
    </w:p>
    <w:p w14:paraId="4A311AB3">
      <w:pPr>
        <w:rPr>
          <w:rFonts w:hint="eastAsia"/>
          <w:sz w:val="28"/>
          <w:szCs w:val="28"/>
        </w:rPr>
      </w:pPr>
    </w:p>
    <w:p w14:paraId="0A358C07">
      <w:pPr>
        <w:spacing w:line="360" w:lineRule="auto"/>
        <w:ind w:firstLine="562" w:firstLineChars="200"/>
        <w:jc w:val="center"/>
        <w:rPr>
          <w:rFonts w:hint="eastAsia" w:eastAsia="宋体"/>
          <w:b/>
          <w:color w:val="00000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404040"/>
          <w:spacing w:val="0"/>
          <w:sz w:val="28"/>
          <w:szCs w:val="28"/>
          <w:shd w:val="clear" w:fill="FFFFFF"/>
        </w:rPr>
        <w:t>迈瑞BC-5385 CRP</w:t>
      </w:r>
      <w:r>
        <w:rPr>
          <w:b/>
          <w:sz w:val="28"/>
          <w:szCs w:val="28"/>
        </w:rPr>
        <w:t>全自动五分类血液细胞分析仪</w:t>
      </w:r>
      <w:r>
        <w:rPr>
          <w:rFonts w:hint="eastAsia"/>
          <w:b/>
          <w:sz w:val="28"/>
          <w:szCs w:val="28"/>
          <w:lang w:val="en-US" w:eastAsia="zh-CN"/>
        </w:rPr>
        <w:t>技术</w:t>
      </w:r>
      <w:r>
        <w:rPr>
          <w:b/>
          <w:sz w:val="28"/>
          <w:szCs w:val="28"/>
        </w:rPr>
        <w:t>参数</w:t>
      </w:r>
      <w:r>
        <w:rPr>
          <w:rFonts w:hint="eastAsia"/>
          <w:b/>
          <w:color w:val="FF0000"/>
          <w:sz w:val="28"/>
          <w:szCs w:val="28"/>
          <w:lang w:val="en-US" w:eastAsia="zh-CN"/>
        </w:rPr>
        <w:t xml:space="preserve"> </w:t>
      </w:r>
      <w:bookmarkStart w:id="0" w:name="_GoBack"/>
      <w:bookmarkEnd w:id="0"/>
    </w:p>
    <w:p w14:paraId="156DDB05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sz w:val="24"/>
        </w:rPr>
        <w:t>检测原理：</w:t>
      </w:r>
      <w:r>
        <w:rPr>
          <w:color w:val="000000"/>
          <w:sz w:val="24"/>
        </w:rPr>
        <w:t>采用激光散射法对白细胞进行准确的五分类检测，</w:t>
      </w:r>
      <w:r>
        <w:rPr>
          <w:sz w:val="24"/>
        </w:rPr>
        <w:t>采用免疫</w:t>
      </w:r>
      <w:r>
        <w:rPr>
          <w:rFonts w:hint="eastAsia"/>
          <w:sz w:val="24"/>
        </w:rPr>
        <w:t>散射</w:t>
      </w:r>
      <w:r>
        <w:rPr>
          <w:sz w:val="24"/>
        </w:rPr>
        <w:t>比浊法进行C-反应蛋白（CRP）测定</w:t>
      </w:r>
    </w:p>
    <w:p w14:paraId="4DE89A97">
      <w:pPr>
        <w:pStyle w:val="4"/>
        <w:numPr>
          <w:ilvl w:val="0"/>
          <w:numId w:val="1"/>
        </w:numPr>
        <w:spacing w:line="360" w:lineRule="auto"/>
        <w:ind w:firstLineChars="0"/>
        <w:rPr>
          <w:color w:val="000000"/>
          <w:sz w:val="24"/>
        </w:rPr>
      </w:pPr>
      <w:r>
        <w:rPr>
          <w:sz w:val="24"/>
        </w:rPr>
        <w:t>分类通道：具有独立的嗜碱性粒细胞通道</w:t>
      </w:r>
    </w:p>
    <w:p w14:paraId="40C3EF6B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sz w:val="24"/>
        </w:rPr>
        <w:t>检测参数：≥28项可报告参数（不含散点图和直方图）</w:t>
      </w:r>
    </w:p>
    <w:p w14:paraId="7E9B8811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研究参数：≥</w:t>
      </w:r>
      <w:r>
        <w:rPr>
          <w:sz w:val="24"/>
        </w:rPr>
        <w:t>12</w:t>
      </w:r>
      <w:r>
        <w:rPr>
          <w:rFonts w:hint="eastAsia"/>
          <w:sz w:val="24"/>
        </w:rPr>
        <w:t>项，包括中性粒细胞和淋巴细胞比值、血小板和淋巴细胞比值、大红细胞、小红细胞、</w:t>
      </w:r>
      <w:r>
        <w:rPr>
          <w:sz w:val="24"/>
        </w:rPr>
        <w:t>异常淋巴细胞</w:t>
      </w:r>
      <w:r>
        <w:rPr>
          <w:rFonts w:hint="eastAsia"/>
          <w:sz w:val="24"/>
        </w:rPr>
        <w:t>、有核红细胞和原始细胞等</w:t>
      </w:r>
    </w:p>
    <w:p w14:paraId="716FAD93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▲</w:t>
      </w:r>
      <w:r>
        <w:rPr>
          <w:sz w:val="24"/>
        </w:rPr>
        <w:t>检测模式：具有</w:t>
      </w:r>
      <w:r>
        <w:rPr>
          <w:rFonts w:hint="eastAsia"/>
          <w:sz w:val="24"/>
        </w:rPr>
        <w:t>CBC、CBC+DIFF、CBC+DIFF+CRP、CBC+CRP、CRP</w:t>
      </w:r>
      <w:r>
        <w:rPr>
          <w:sz w:val="24"/>
        </w:rPr>
        <w:t>等5种</w:t>
      </w:r>
      <w:r>
        <w:rPr>
          <w:rFonts w:hint="eastAsia"/>
          <w:sz w:val="24"/>
        </w:rPr>
        <w:t>及以上</w:t>
      </w:r>
      <w:r>
        <w:rPr>
          <w:sz w:val="24"/>
        </w:rPr>
        <w:t>全血检测模式</w:t>
      </w:r>
    </w:p>
    <w:p w14:paraId="139D3901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sz w:val="24"/>
        </w:rPr>
        <w:t>样本添加：可随时添加样本</w:t>
      </w:r>
    </w:p>
    <w:p w14:paraId="1AD93E77">
      <w:pPr>
        <w:pStyle w:val="4"/>
        <w:numPr>
          <w:ilvl w:val="0"/>
          <w:numId w:val="1"/>
        </w:numPr>
        <w:spacing w:line="360" w:lineRule="auto"/>
        <w:ind w:firstLineChars="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sz w:val="24"/>
        </w:rPr>
        <w:t>▲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进样方式：全自动进样，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单管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封闭进样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；急诊位有单管封闭进样仓，有效降低生物污染风险</w:t>
      </w:r>
    </w:p>
    <w:p w14:paraId="56CCE337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sz w:val="24"/>
        </w:rPr>
        <w:t>进样器容量：≥40个</w:t>
      </w:r>
    </w:p>
    <w:p w14:paraId="7018AF75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sz w:val="24"/>
        </w:rPr>
        <w:t>进样模式：具有独立的静脉全血、末梢全血、预稀释血检测模式</w:t>
      </w:r>
    </w:p>
    <w:p w14:paraId="7D23B514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sz w:val="24"/>
        </w:rPr>
        <w:t>样本用量：五分类+CRP模式≤40μl，CRP模式≤20μl</w:t>
      </w:r>
    </w:p>
    <w:p w14:paraId="0573D362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sz w:val="24"/>
        </w:rPr>
        <w:t>检测速度：五分类+CRP模式≥</w:t>
      </w:r>
      <w:r>
        <w:rPr>
          <w:rFonts w:hint="eastAsia"/>
          <w:sz w:val="24"/>
        </w:rPr>
        <w:t>50</w:t>
      </w:r>
      <w:r>
        <w:rPr>
          <w:sz w:val="24"/>
        </w:rPr>
        <w:t>个样本/小时</w:t>
      </w:r>
    </w:p>
    <w:p w14:paraId="3BB32CB7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sz w:val="24"/>
        </w:rPr>
        <w:t>预稀释模式：自动定量打出稀释液，具备五分类+CRP功能</w:t>
      </w:r>
    </w:p>
    <w:p w14:paraId="075BC556">
      <w:pPr>
        <w:pStyle w:val="4"/>
        <w:numPr>
          <w:ilvl w:val="0"/>
          <w:numId w:val="1"/>
        </w:numPr>
        <w:ind w:firstLineChars="0"/>
        <w:rPr>
          <w:sz w:val="24"/>
        </w:rPr>
      </w:pPr>
      <w:r>
        <w:rPr>
          <w:rFonts w:hint="eastAsia"/>
          <w:sz w:val="24"/>
        </w:rPr>
        <w:t>▲线性范围：WBC：0~400×10</w:t>
      </w:r>
      <w:r>
        <w:rPr>
          <w:rFonts w:hint="eastAsia"/>
          <w:sz w:val="24"/>
          <w:vertAlign w:val="superscript"/>
        </w:rPr>
        <w:t>9</w:t>
      </w:r>
      <w:r>
        <w:rPr>
          <w:rFonts w:hint="eastAsia"/>
          <w:sz w:val="24"/>
        </w:rPr>
        <w:t>/L，PLT：0～5000×10</w:t>
      </w:r>
      <w:r>
        <w:rPr>
          <w:rFonts w:hint="eastAsia"/>
          <w:sz w:val="24"/>
          <w:vertAlign w:val="superscript"/>
        </w:rPr>
        <w:t>9</w:t>
      </w:r>
      <w:r>
        <w:rPr>
          <w:rFonts w:hint="eastAsia"/>
          <w:sz w:val="24"/>
        </w:rPr>
        <w:t>/L，HGB：0-250g/L</w:t>
      </w:r>
    </w:p>
    <w:p w14:paraId="339D7E16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sz w:val="24"/>
        </w:rPr>
        <w:t>CRP线性范围：0.3~300mg/L</w:t>
      </w:r>
    </w:p>
    <w:p w14:paraId="0F69FA9D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▲CRP试剂包装规格按人份数注册（附注册证）</w:t>
      </w:r>
    </w:p>
    <w:p w14:paraId="21C8E89C">
      <w:pPr>
        <w:pStyle w:val="4"/>
        <w:numPr>
          <w:ilvl w:val="0"/>
          <w:numId w:val="1"/>
        </w:numPr>
        <w:spacing w:line="360" w:lineRule="auto"/>
        <w:ind w:firstLineChars="0"/>
        <w:rPr>
          <w:color w:val="auto"/>
          <w:sz w:val="24"/>
        </w:rPr>
      </w:pPr>
      <w:r>
        <w:rPr>
          <w:rFonts w:hint="eastAsia"/>
          <w:color w:val="auto"/>
          <w:sz w:val="24"/>
        </w:rPr>
        <w:t>▲全血CRP检测时可校正红细胞、白细胞、血小板体积的干扰（提供证明文件）</w:t>
      </w:r>
    </w:p>
    <w:p w14:paraId="17B9DD88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sz w:val="24"/>
        </w:rPr>
        <w:t>操作系统：全中文操作分析报告软件</w:t>
      </w:r>
    </w:p>
    <w:p w14:paraId="561CF122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sz w:val="24"/>
        </w:rPr>
        <w:t>排堵方式：正反冲洗，高压灼烧</w:t>
      </w:r>
    </w:p>
    <w:p w14:paraId="5CD23F4F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sz w:val="24"/>
        </w:rPr>
        <w:t>具有原厂配套的试剂、校准品、质控品，并提供校准品溯源性文件</w:t>
      </w:r>
    </w:p>
    <w:p w14:paraId="0057BCD3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▲投标厂家的仪器的血球质控品、校准品均获得FDA认证，保证其溯源性和准确性得到更严格的法规验证</w:t>
      </w:r>
    </w:p>
    <w:p w14:paraId="0C23DEDD">
      <w:pPr>
        <w:pStyle w:val="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▲所投血球产品在卫生部临检中心室间质评中具有单独分组，有利于室间质评的开展和实验室质量管理</w:t>
      </w:r>
    </w:p>
    <w:p w14:paraId="232335A2">
      <w:pPr>
        <w:pStyle w:val="4"/>
        <w:widowControl w:val="0"/>
        <w:numPr>
          <w:ilvl w:val="0"/>
          <w:numId w:val="0"/>
        </w:numPr>
        <w:spacing w:line="360" w:lineRule="auto"/>
        <w:jc w:val="both"/>
        <w:rPr>
          <w:rFonts w:hint="eastAsia"/>
          <w:sz w:val="24"/>
        </w:rPr>
      </w:pPr>
    </w:p>
    <w:p w14:paraId="2FDB94CF">
      <w:pPr>
        <w:rPr>
          <w:rFonts w:hint="eastAsia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8E05BC"/>
    <w:multiLevelType w:val="multilevel"/>
    <w:tmpl w:val="518E05BC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2621F8"/>
    <w:rsid w:val="2B612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749</Words>
  <Characters>860</Characters>
  <Lines>0</Lines>
  <Paragraphs>0</Paragraphs>
  <TotalTime>0</TotalTime>
  <ScaleCrop>false</ScaleCrop>
  <LinksUpToDate>false</LinksUpToDate>
  <CharactersWithSpaces>861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2025-04-07T05:21:00Z</dcterms:created>
  <dc:creator>Lenovo</dc:creator>
  <cp:lastModifiedBy>WPS_1672906963</cp:lastModifiedBy>
  <dcterms:modified xsi:type="dcterms:W3CDTF">2025-04-07T05:23:59Z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eyJoZGlkIjoiZmIxNjgzODI0OGY4NTZmNmRiY2QyYmRhZjA0YzMwNDEiLCJ1c2VySWQiOiIxNDY2MzY2ODc0In0=</vt:lpwstr>
  </property>
  <property fmtid="{D5CDD505-2E9C-101B-9397-08002B2CF9AE}" pid="4" name="ICV">
    <vt:lpwstr>DA1776481C224701BBF229DE2E54AE50_12</vt:lpwstr>
  </property>
</Properties>
</file>