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400"/>
        <w:jc w:val="center"/>
        <w:rPr>
          <w:rFonts w:ascii="方正小标宋简体" w:eastAsia="方正小标宋简体" w:hAnsiTheme="minorEastAsia"/>
          <w:sz w:val="40"/>
          <w:szCs w:val="22"/>
        </w:rPr>
      </w:pPr>
      <w:r>
        <w:rPr>
          <w:rFonts w:hint="eastAsia" w:ascii="方正小标宋简体" w:eastAsia="方正小标宋简体" w:hAnsiTheme="minorEastAsia"/>
          <w:sz w:val="40"/>
          <w:szCs w:val="22"/>
          <w:lang w:val="en-US" w:eastAsia="zh-CN"/>
        </w:rPr>
        <w:t>72团</w:t>
      </w:r>
      <w:r>
        <w:rPr>
          <w:rFonts w:hint="eastAsia" w:ascii="方正小标宋简体" w:eastAsia="方正小标宋简体" w:hAnsiTheme="minorEastAsia"/>
          <w:sz w:val="40"/>
          <w:szCs w:val="22"/>
        </w:rPr>
        <w:t>医院集中采购申请表</w:t>
      </w:r>
    </w:p>
    <w:p>
      <w:pPr>
        <w:ind w:left="1600" w:hanging="1600" w:hangingChars="40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="方正小标宋简体" w:eastAsia="方正小标宋简体" w:hAnsiTheme="minorEastAsia"/>
          <w:sz w:val="40"/>
          <w:szCs w:val="22"/>
        </w:rPr>
        <w:t xml:space="preserve">                                  </w:t>
      </w:r>
      <w:r>
        <w:rPr>
          <w:rFonts w:hint="eastAsia" w:asciiTheme="minorEastAsia" w:hAnsiTheme="minorEastAsia" w:eastAsiaTheme="minorEastAsia"/>
          <w:sz w:val="22"/>
          <w:szCs w:val="22"/>
        </w:rPr>
        <w:t>表式：附表1</w:t>
      </w:r>
    </w:p>
    <w:p>
      <w:pPr>
        <w:rPr>
          <w:rFonts w:asciiTheme="minorEastAsia" w:hAnsiTheme="minorEastAsia" w:eastAsiaTheme="minorEastAsia"/>
          <w:sz w:val="24"/>
          <w:szCs w:val="22"/>
        </w:rPr>
      </w:pPr>
      <w:r>
        <w:rPr>
          <w:rFonts w:hint="eastAsia" w:asciiTheme="minorEastAsia" w:hAnsiTheme="minorEastAsia" w:eastAsiaTheme="minorEastAsia"/>
          <w:sz w:val="24"/>
          <w:szCs w:val="22"/>
        </w:rPr>
        <w:t>单位名称：第四师</w:t>
      </w:r>
      <w:r>
        <w:rPr>
          <w:rFonts w:hint="eastAsia" w:asciiTheme="minorEastAsia" w:hAnsiTheme="minorEastAsia" w:eastAsiaTheme="minorEastAsia"/>
          <w:sz w:val="24"/>
          <w:szCs w:val="22"/>
          <w:lang w:val="en-US" w:eastAsia="zh-CN"/>
        </w:rPr>
        <w:t>72团</w:t>
      </w:r>
      <w:r>
        <w:rPr>
          <w:rFonts w:hint="eastAsia" w:asciiTheme="minorEastAsia" w:hAnsiTheme="minorEastAsia" w:eastAsiaTheme="minorEastAsia"/>
          <w:sz w:val="24"/>
          <w:szCs w:val="22"/>
        </w:rPr>
        <w:t>医院                         202</w:t>
      </w:r>
      <w:r>
        <w:rPr>
          <w:rFonts w:hint="eastAsia" w:asciiTheme="minorEastAsia" w:hAnsiTheme="minorEastAsia" w:eastAsiaTheme="minorEastAsia"/>
          <w:sz w:val="24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2"/>
        </w:rPr>
        <w:t xml:space="preserve"> 年  </w:t>
      </w:r>
      <w:r>
        <w:rPr>
          <w:rFonts w:hint="eastAsia" w:asciiTheme="minorEastAsia" w:hAnsiTheme="minorEastAsia" w:eastAsiaTheme="minorEastAsia"/>
          <w:sz w:val="24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2"/>
        </w:rPr>
        <w:t xml:space="preserve"> 月  7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20"/>
        <w:gridCol w:w="7197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    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采购项目具体的详细技术、规格、性能指标参数和配置方案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2" w:hRule="atLeast"/>
        </w:trPr>
        <w:tc>
          <w:tcPr>
            <w:tcW w:w="0" w:type="auto"/>
            <w:gridSpan w:val="4"/>
          </w:tcPr>
          <w:p>
            <w:pPr>
              <w:pStyle w:val="8"/>
              <w:numPr>
                <w:ilvl w:val="0"/>
                <w:numId w:val="1"/>
              </w:numPr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设备采购项目：</w:t>
            </w: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ab/>
            </w:r>
          </w:p>
          <w:p>
            <w:pPr>
              <w:pStyle w:val="8"/>
              <w:ind w:left="1380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  <w:tbl>
            <w:tblPr>
              <w:tblStyle w:val="10"/>
              <w:tblW w:w="7322" w:type="dxa"/>
              <w:tblInd w:w="1107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  <w:gridCol w:w="3689"/>
              <w:gridCol w:w="1050"/>
              <w:gridCol w:w="16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</w:trPr>
              <w:tc>
                <w:tcPr>
                  <w:tcW w:w="9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36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 xml:space="preserve">产品名称 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计量单位</w:t>
                  </w:r>
                </w:p>
              </w:tc>
              <w:tc>
                <w:tcPr>
                  <w:tcW w:w="167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" w:hRule="atLeast"/>
              </w:trPr>
              <w:tc>
                <w:tcPr>
                  <w:tcW w:w="90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368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超短波电疗机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台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</w:tr>
          </w:tbl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 xml:space="preserve">总预算 </w:t>
            </w:r>
            <w:r>
              <w:rPr>
                <w:rFonts w:hint="eastAsia" w:cs="仿宋" w:asciiTheme="minorEastAsia" w:hAnsiTheme="minorEastAsia" w:eastAsiaTheme="minor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 xml:space="preserve"> 万     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二、基本要求及服务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1、设备为整机质保包括所有附件，在质保期内维修必须由生产厂家而非经销商维修。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2、要求到货设备为2021年后生产的最新机型，软件为最新版本。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3、中标设备有网络信息传输需求的，与医院信息网络系统连接的，产生的所有费用包含接口费由中标单位承担，设备需配套工作站的由中标方免费提供包含计算机及附属设施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 xml:space="preserve">4、投标产品注册证有效期不得小于6个月，或到期可提供新注册证，中标货物注册证应与投标时所提供的产品注册证一致,如无法提供，采购方有权退货。                                                                                                         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5、中标产品所产生的一切费用（包含安装所需材料等）由中标商承担，供货方负责派厂家合格的工程师到现场进行设备安装、调试，达到正常运作要求，保证买方正常使用，并提供完整的使用手册、操作视频等。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6、中标方负责设备的首次计量检定。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7、维修响应速度：如2小时内无法通过电话或远程维修解决问题，维修人员必须在接到故障报告24小时内到达现场。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8、所有设备提供人员培训，教会为止。提供原厂维修培训，并提供产品维修手册。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9、中标设备工作时如需配套使用耗材，投标时应说明，并提供耗材报价单（提供证明文件如自治区、伊犁州中标价等）。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三、设备性能、配置要求及技术参数</w:t>
            </w:r>
          </w:p>
          <w:tbl>
            <w:tblPr>
              <w:tblStyle w:val="11"/>
              <w:tblW w:w="875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55" w:type="dxa"/>
                </w:tcPr>
                <w:p>
                  <w:pPr>
                    <w:rPr>
                      <w:rFonts w:hint="eastAsia" w:cs="仿宋" w:asciiTheme="minorEastAsia" w:hAnsiTheme="minorEastAsia" w:eastAsiaTheme="minorEastAsia"/>
                      <w:b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cs="仿宋" w:asciiTheme="minorEastAsia" w:hAnsiTheme="minorEastAsia" w:eastAsiaTheme="minorEastAsia"/>
                      <w:b/>
                      <w:sz w:val="22"/>
                      <w:szCs w:val="22"/>
                    </w:rPr>
                    <w:t>（1）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超短波电疗机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技术参数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振荡频率：40.68MHz±1.5%。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最大输出功率：200W±20%。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电子定时：定时精准，0-99分钟任意可调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（治疗结束自动停机并发出声音提示）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输入功率：≤1000VA。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机器类别：I类BF型 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输出电缆：防辐射、耐高温、损耗小，两线交叉不打火。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外形尺寸：460mm×390mm×980mm。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设备配置清单</w:t>
                  </w:r>
                </w:p>
                <w:tbl>
                  <w:tblPr>
                    <w:tblStyle w:val="10"/>
                    <w:tblW w:w="0" w:type="auto"/>
                    <w:tblInd w:w="0" w:type="dxa"/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58"/>
                    <w:gridCol w:w="1364"/>
                    <w:gridCol w:w="3333"/>
                    <w:gridCol w:w="758"/>
                    <w:gridCol w:w="1212"/>
                    <w:gridCol w:w="1097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项目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部件编号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名称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数量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宋体" w:hAnsi="宋体" w:cs="宋体"/>
                            <w:b/>
                            <w:bCs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单位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jc w:val="center"/>
                          <w:rPr>
                            <w:rFonts w:ascii="Calibri" w:hAnsi="Calibri"/>
                            <w:szCs w:val="22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bCs/>
                            <w:kern w:val="0"/>
                            <w:sz w:val="24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设备主机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台</w:t>
                        </w:r>
                      </w:p>
                    </w:tc>
                    <w:tc>
                      <w:tcPr>
                        <w:tcW w:w="1097" w:type="dxa"/>
                        <w:vMerge w:val="restart"/>
                        <w:tcBorders>
                          <w:top w:val="single" w:color="auto" w:sz="4" w:space="0"/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高频电缆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条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电极板（</w:t>
                        </w: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240×200mm</w:t>
                        </w:r>
                        <w:r>
                          <w:rPr>
                            <w:rFonts w:ascii="幼圆" w:eastAsia="幼圆"/>
                            <w:bCs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）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片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电极板（</w:t>
                        </w: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200×130mm</w:t>
                        </w:r>
                        <w:r>
                          <w:rPr>
                            <w:rFonts w:ascii="幼圆" w:eastAsia="幼圆"/>
                            <w:bCs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）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片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电子管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支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8W荧光灯管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支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保险管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只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电源线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条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>
                        <w:pPr>
                          <w:jc w:val="center"/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说明书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册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6寸小螺丝刀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hint="eastAsia"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把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85" w:hRule="atLeast"/>
                    </w:trPr>
                    <w:tc>
                      <w:tcPr>
                        <w:tcW w:w="758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ascii="幼圆" w:eastAsia="幼圆"/>
                            <w:bCs/>
                            <w:sz w:val="22"/>
                          </w:rPr>
                          <w:t>——</w:t>
                        </w:r>
                      </w:p>
                    </w:tc>
                    <w:tc>
                      <w:tcPr>
                        <w:tcW w:w="333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合格证保修卡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center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  <w:r>
                          <w:rPr>
                            <w:rFonts w:hint="eastAsia" w:ascii="幼圆" w:eastAsia="幼圆"/>
                            <w:bCs/>
                            <w:sz w:val="22"/>
                          </w:rPr>
                          <w:t>张</w:t>
                        </w:r>
                      </w:p>
                    </w:tc>
                    <w:tc>
                      <w:tcPr>
                        <w:tcW w:w="1097" w:type="dxa"/>
                        <w:vMerge w:val="continue"/>
                        <w:tcBorders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snapToGrid w:val="0"/>
                          <w:jc w:val="left"/>
                          <w:rPr>
                            <w:rFonts w:ascii="幼圆" w:eastAsia="幼圆"/>
                            <w:bCs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重量：50Kg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适应症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炎症性疾病：软组织、五官和内脏器官的急性、亚急性炎症、慢性炎症急性发作等，如毛囊炎、疖、痈、蜂窝织炎、脓肿、溃疡、窦道、丹毒、甲沟炎、指头炎、手外伤后感染、乳腺炎、</w:t>
                  </w:r>
                  <w:bookmarkStart w:id="0" w:name="_GoBack"/>
                  <w:bookmarkEnd w:id="0"/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静脉炎、睑缘炎、外耳道炎、中耳炎、鼻炎、鼻窦炎、咽炎、扁桃体炎、喉炎、牙根尖炎、冠周炎、颌面间隙感染、支气管炎、肺炎、胃炎、肠炎、阑尾炎、肾炎、肾周围脓肿、膀胱炎、前列腺炎、等。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疼痛性疾病：面神经炎、周围神经损伤、神经痛、肌痛、灼性神经痛、幻痛等。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血管和自主神经功能紊乱：闭塞性脉管炎、雷诺现象、痔疮、血栓静脉炎等。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消化系统疾病：胃肠功能低下、胃肠痉挛、胆囊炎、慢性溃疡性结肠炎、过敏性结肠炎等。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软组织、骨关节疾病：肌纤维织炎、软组织扭挫伤、肌肉劳损、肩关节周围炎、肱骨外上髁炎、颈椎病、腰椎间盘突出症、骨性关节病、骨折愈合迟缓、关节积血、关节积液。</w:t>
                  </w:r>
                </w:p>
                <w:p>
                  <w:pP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  <w:szCs w:val="22"/>
                    </w:rPr>
                    <w:t>其他：伤口愈合迟缓、各期冻伤、支气管哮喘、胃十二指肠溃疡、急性肾功能衰竭、痛经、血肿、术后切口反应等。</w:t>
                  </w:r>
                </w:p>
                <w:p>
                  <w:pPr>
                    <w:snapToGrid w:val="0"/>
                    <w:spacing w:line="300" w:lineRule="auto"/>
                    <w:rPr>
                      <w:rFonts w:hint="eastAsia"/>
                      <w:szCs w:val="21"/>
                    </w:rPr>
                  </w:pPr>
                </w:p>
                <w:p>
                  <w:pPr>
                    <w:rPr>
                      <w:rFonts w:cs="仿宋" w:asciiTheme="minorEastAsia" w:hAnsiTheme="minorEastAsia" w:eastAsiaTheme="minorEastAsia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pStyle w:val="8"/>
              <w:rPr>
                <w:rFonts w:hAnsi="宋体" w:cs="宋体"/>
                <w:color w:val="000000"/>
                <w:kern w:val="0"/>
                <w:sz w:val="24"/>
              </w:rPr>
            </w:pPr>
          </w:p>
          <w:p>
            <w:pPr>
              <w:pStyle w:val="8"/>
              <w:rPr>
                <w:rFonts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pStyle w:val="8"/>
              <w:rPr>
                <w:rFonts w:cs="仿宋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四、响应时间及售后服务要求：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1、中标设备除单独规定外质保三年, 质保期内维护保养</w:t>
            </w: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每年两次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，终身维修服务。并供维护手册、维修手册、软件备份、故障代码表、备件清单、零部件、维修密码等维护维修必需 的材料和信息。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2、厂家工程师对设备使用人员进行现场使用培训，培训不少于两次，且教会为止。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3、质保期内因质量问题造成设备不能使用的无条件换新品。                                                                                                                             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4、新疆境内设有维修机构，维修工程师不得少于2名。（提供工程师维修资质证明）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5、接到用户报修电话后立即响应，24小时内到现场(节假日照常服务)开始处理故障。</w:t>
            </w:r>
          </w:p>
          <w:p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6、交货地点要求：采购方指定地点</w:t>
            </w:r>
          </w:p>
          <w:p>
            <w:pPr>
              <w:pStyle w:val="8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>五、付款方式：</w:t>
            </w:r>
          </w:p>
          <w:p>
            <w:pPr>
              <w:pStyle w:val="8"/>
              <w:ind w:firstLine="360" w:firstLineChars="150"/>
              <w:rPr>
                <w:rFonts w:ascii="仿宋_GB2312" w:eastAsia="仿宋_GB2312" w:cs="仿宋" w:hAnsiTheme="minorEastAsia"/>
                <w:color w:val="000000" w:themeColor="text1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 w:themeColor="text1"/>
                <w:sz w:val="24"/>
              </w:rPr>
              <w:t>招标完成签订购销合同后，中标方支付合同价款10%为履约保证金，全部货物到场并送达指定地点，安装调试完毕、经买方及其它有关部门检测验收合格后支付合同价款的100%.中标方支付的10%履约保证金，质保到期后（从验收合格之日起算）无质量问题支付，期间不计利息。</w:t>
            </w:r>
          </w:p>
          <w:p>
            <w:pPr>
              <w:pStyle w:val="8"/>
              <w:jc w:val="both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  <w:szCs w:val="22"/>
        </w:rPr>
      </w:pPr>
      <w:r>
        <w:rPr>
          <w:rFonts w:hint="eastAsia" w:asciiTheme="minorEastAsia" w:hAnsiTheme="minorEastAsia" w:eastAsiaTheme="minorEastAsia"/>
          <w:sz w:val="24"/>
          <w:szCs w:val="22"/>
        </w:rPr>
        <w:t xml:space="preserve">说明：1、本表为采购人确定采购项目需求。采购人应在本地区对采购标的的(本地)市场技术或者服务水平、供应、价格等情况进行市场调查，根据调查情况、资产配置标准等科学、合理地确定采购需求，并进行价格测算。采购需求应当完整、明确，包括(采购标的需实现的功能或者目标，以及为落实政府采购政策需满足的要求；采购标的需执行的国家相关标准、行业标准、地方标准或者其他标准、规范；采购标的需满足的质量、安全、技术规格、物理特性等要求；采购标的的数量、采购项目交付或者实施的时间和地点；采购标的需满足的服务标准、期限、效率等要求；采购标的的验收标准；采购标的的其他技术、服务等要求)。采购需求描述应当清楚明了、规范表述、含义准确,能够通过客观指标量化的应当量化。    </w:t>
      </w:r>
    </w:p>
    <w:p>
      <w:pPr>
        <w:rPr>
          <w:rFonts w:asciiTheme="minorEastAsia" w:hAnsiTheme="minorEastAsia" w:eastAsiaTheme="minorEastAsia"/>
          <w:sz w:val="24"/>
          <w:szCs w:val="22"/>
        </w:rPr>
      </w:pPr>
      <w:r>
        <w:rPr>
          <w:rFonts w:hint="eastAsia" w:asciiTheme="minorEastAsia" w:hAnsiTheme="minorEastAsia" w:eastAsiaTheme="minorEastAsia"/>
          <w:sz w:val="24"/>
          <w:szCs w:val="22"/>
        </w:rPr>
        <w:t xml:space="preserve">      2、根据采购预算确定采购需求。</w:t>
      </w:r>
    </w:p>
    <w:p>
      <w:pPr>
        <w:rPr>
          <w:rFonts w:asciiTheme="minorEastAsia" w:hAnsiTheme="minorEastAsia" w:eastAsiaTheme="minorEastAsia"/>
          <w:sz w:val="24"/>
          <w:szCs w:val="22"/>
        </w:rPr>
      </w:pPr>
      <w:r>
        <w:rPr>
          <w:rFonts w:hint="eastAsia" w:asciiTheme="minorEastAsia" w:hAnsiTheme="minorEastAsia" w:eastAsiaTheme="minorEastAsia"/>
          <w:sz w:val="24"/>
          <w:szCs w:val="22"/>
        </w:rPr>
        <w:t xml:space="preserve">     </w:t>
      </w: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p>
      <w:pPr>
        <w:rPr>
          <w:rFonts w:asciiTheme="minorEastAsia" w:hAnsiTheme="minorEastAsia" w:eastAsiaTheme="minorEastAsia"/>
          <w:sz w:val="24"/>
          <w:szCs w:val="22"/>
        </w:rPr>
      </w:pP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97CEB08-AE54-484A-AB67-EF71D3B98E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A8EE21D-C735-4C6B-B2FF-19D36BD9154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F53EB67-749F-4B91-8734-C75123E35D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FF36906-EFCC-4739-8BDB-CEE41CAFDF14}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  <w:embedRegular r:id="rId5" w:fontKey="{DF123F44-E0A8-4AA9-9040-D08D66B444B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A4CF8"/>
    <w:multiLevelType w:val="multilevel"/>
    <w:tmpl w:val="074A4CF8"/>
    <w:lvl w:ilvl="0" w:tentative="0">
      <w:start w:val="1"/>
      <w:numFmt w:val="japaneseCounting"/>
      <w:lvlText w:val="%1、"/>
      <w:lvlJc w:val="left"/>
      <w:pPr>
        <w:ind w:left="1380" w:hanging="1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jZWU1NzJjOWZkYzNkYmJkOTg0NzcyMjNmZjFmZTYifQ=="/>
  </w:docVars>
  <w:rsids>
    <w:rsidRoot w:val="783E7317"/>
    <w:rsid w:val="000332B8"/>
    <w:rsid w:val="00041C3E"/>
    <w:rsid w:val="000421A7"/>
    <w:rsid w:val="00067707"/>
    <w:rsid w:val="00093A5C"/>
    <w:rsid w:val="000A239D"/>
    <w:rsid w:val="000B6FB9"/>
    <w:rsid w:val="000B7BB0"/>
    <w:rsid w:val="000D6626"/>
    <w:rsid w:val="0010328B"/>
    <w:rsid w:val="001066C2"/>
    <w:rsid w:val="00106CDD"/>
    <w:rsid w:val="001142EE"/>
    <w:rsid w:val="00124CB7"/>
    <w:rsid w:val="001348F6"/>
    <w:rsid w:val="00140E5E"/>
    <w:rsid w:val="001439CF"/>
    <w:rsid w:val="00143B17"/>
    <w:rsid w:val="001445D6"/>
    <w:rsid w:val="00146340"/>
    <w:rsid w:val="00147193"/>
    <w:rsid w:val="00147FA5"/>
    <w:rsid w:val="00167515"/>
    <w:rsid w:val="00167676"/>
    <w:rsid w:val="00170E1E"/>
    <w:rsid w:val="0018411C"/>
    <w:rsid w:val="00194E5B"/>
    <w:rsid w:val="00195F3D"/>
    <w:rsid w:val="001A048D"/>
    <w:rsid w:val="001A5E80"/>
    <w:rsid w:val="001B10AC"/>
    <w:rsid w:val="001B24B6"/>
    <w:rsid w:val="001C23B9"/>
    <w:rsid w:val="001C3406"/>
    <w:rsid w:val="001D101A"/>
    <w:rsid w:val="001D1EBD"/>
    <w:rsid w:val="001D35FF"/>
    <w:rsid w:val="001D61C1"/>
    <w:rsid w:val="001E3CA6"/>
    <w:rsid w:val="001E7914"/>
    <w:rsid w:val="00200BE5"/>
    <w:rsid w:val="00203AEC"/>
    <w:rsid w:val="00204025"/>
    <w:rsid w:val="0020558C"/>
    <w:rsid w:val="00247FB8"/>
    <w:rsid w:val="00260B9E"/>
    <w:rsid w:val="00260EA7"/>
    <w:rsid w:val="002632D6"/>
    <w:rsid w:val="002738B6"/>
    <w:rsid w:val="00275EBB"/>
    <w:rsid w:val="002825DC"/>
    <w:rsid w:val="00295EB7"/>
    <w:rsid w:val="002A4C48"/>
    <w:rsid w:val="002A5213"/>
    <w:rsid w:val="002B3FA9"/>
    <w:rsid w:val="002C5124"/>
    <w:rsid w:val="002D438A"/>
    <w:rsid w:val="002D5058"/>
    <w:rsid w:val="002E7DED"/>
    <w:rsid w:val="00303971"/>
    <w:rsid w:val="00314277"/>
    <w:rsid w:val="00315800"/>
    <w:rsid w:val="003161EC"/>
    <w:rsid w:val="00322DB3"/>
    <w:rsid w:val="00325247"/>
    <w:rsid w:val="00332F08"/>
    <w:rsid w:val="00342AAA"/>
    <w:rsid w:val="00343C63"/>
    <w:rsid w:val="003443B1"/>
    <w:rsid w:val="003451BF"/>
    <w:rsid w:val="003458C3"/>
    <w:rsid w:val="0035291C"/>
    <w:rsid w:val="00356254"/>
    <w:rsid w:val="00370C56"/>
    <w:rsid w:val="00377541"/>
    <w:rsid w:val="00392525"/>
    <w:rsid w:val="003A6703"/>
    <w:rsid w:val="003B0100"/>
    <w:rsid w:val="003C098A"/>
    <w:rsid w:val="003C15C1"/>
    <w:rsid w:val="003C1F4E"/>
    <w:rsid w:val="003F4D8D"/>
    <w:rsid w:val="00416B76"/>
    <w:rsid w:val="00437CFF"/>
    <w:rsid w:val="004408C7"/>
    <w:rsid w:val="00450D38"/>
    <w:rsid w:val="00455B0A"/>
    <w:rsid w:val="004616BD"/>
    <w:rsid w:val="00463317"/>
    <w:rsid w:val="0047133A"/>
    <w:rsid w:val="00475E41"/>
    <w:rsid w:val="0049323B"/>
    <w:rsid w:val="004A5433"/>
    <w:rsid w:val="004B7438"/>
    <w:rsid w:val="004C20AA"/>
    <w:rsid w:val="004C3027"/>
    <w:rsid w:val="004C6FF9"/>
    <w:rsid w:val="004D0A51"/>
    <w:rsid w:val="004D2ED9"/>
    <w:rsid w:val="004F42B1"/>
    <w:rsid w:val="00502868"/>
    <w:rsid w:val="0054067A"/>
    <w:rsid w:val="00550F29"/>
    <w:rsid w:val="00556CF5"/>
    <w:rsid w:val="005609FC"/>
    <w:rsid w:val="00566824"/>
    <w:rsid w:val="00577C0B"/>
    <w:rsid w:val="00582731"/>
    <w:rsid w:val="00596031"/>
    <w:rsid w:val="005A5449"/>
    <w:rsid w:val="005B6E25"/>
    <w:rsid w:val="005C122C"/>
    <w:rsid w:val="005E2F9E"/>
    <w:rsid w:val="005F23E3"/>
    <w:rsid w:val="006062EB"/>
    <w:rsid w:val="00625560"/>
    <w:rsid w:val="006333CD"/>
    <w:rsid w:val="00633A73"/>
    <w:rsid w:val="00670297"/>
    <w:rsid w:val="006824A7"/>
    <w:rsid w:val="00683046"/>
    <w:rsid w:val="006A4026"/>
    <w:rsid w:val="006C179C"/>
    <w:rsid w:val="006C38DF"/>
    <w:rsid w:val="006E3799"/>
    <w:rsid w:val="00701941"/>
    <w:rsid w:val="00711541"/>
    <w:rsid w:val="00712E04"/>
    <w:rsid w:val="00714124"/>
    <w:rsid w:val="007213B2"/>
    <w:rsid w:val="00762F82"/>
    <w:rsid w:val="00774296"/>
    <w:rsid w:val="007956E0"/>
    <w:rsid w:val="007A7410"/>
    <w:rsid w:val="007B1A4C"/>
    <w:rsid w:val="007B295D"/>
    <w:rsid w:val="007B3490"/>
    <w:rsid w:val="007C110B"/>
    <w:rsid w:val="007D5287"/>
    <w:rsid w:val="007F43EC"/>
    <w:rsid w:val="00807F05"/>
    <w:rsid w:val="00811E30"/>
    <w:rsid w:val="008301C0"/>
    <w:rsid w:val="008327C8"/>
    <w:rsid w:val="008361CB"/>
    <w:rsid w:val="00837610"/>
    <w:rsid w:val="00841D9C"/>
    <w:rsid w:val="00844CEF"/>
    <w:rsid w:val="0085251A"/>
    <w:rsid w:val="008545AD"/>
    <w:rsid w:val="00865F74"/>
    <w:rsid w:val="00874D11"/>
    <w:rsid w:val="00881348"/>
    <w:rsid w:val="00886502"/>
    <w:rsid w:val="008B6F55"/>
    <w:rsid w:val="008C145E"/>
    <w:rsid w:val="008E3D4C"/>
    <w:rsid w:val="008F3554"/>
    <w:rsid w:val="009167B4"/>
    <w:rsid w:val="0093359E"/>
    <w:rsid w:val="00933AAA"/>
    <w:rsid w:val="00940BBF"/>
    <w:rsid w:val="00947ED4"/>
    <w:rsid w:val="00957251"/>
    <w:rsid w:val="0095747D"/>
    <w:rsid w:val="0096060C"/>
    <w:rsid w:val="009639AD"/>
    <w:rsid w:val="009719F7"/>
    <w:rsid w:val="009740B2"/>
    <w:rsid w:val="00986681"/>
    <w:rsid w:val="009B26BD"/>
    <w:rsid w:val="009B50CD"/>
    <w:rsid w:val="009B7BD8"/>
    <w:rsid w:val="009C16F5"/>
    <w:rsid w:val="009C20CD"/>
    <w:rsid w:val="009C23BD"/>
    <w:rsid w:val="009C5831"/>
    <w:rsid w:val="009F6B71"/>
    <w:rsid w:val="009F7A4B"/>
    <w:rsid w:val="00A112C6"/>
    <w:rsid w:val="00A34883"/>
    <w:rsid w:val="00A52DFD"/>
    <w:rsid w:val="00A536B9"/>
    <w:rsid w:val="00A679E4"/>
    <w:rsid w:val="00A7131A"/>
    <w:rsid w:val="00A71E13"/>
    <w:rsid w:val="00A86585"/>
    <w:rsid w:val="00A90D6E"/>
    <w:rsid w:val="00A9125C"/>
    <w:rsid w:val="00A97607"/>
    <w:rsid w:val="00AA03A6"/>
    <w:rsid w:val="00AA4725"/>
    <w:rsid w:val="00AB57FE"/>
    <w:rsid w:val="00AC0AC4"/>
    <w:rsid w:val="00AC18BB"/>
    <w:rsid w:val="00AC2996"/>
    <w:rsid w:val="00AC7598"/>
    <w:rsid w:val="00AF2801"/>
    <w:rsid w:val="00B100A3"/>
    <w:rsid w:val="00B10B21"/>
    <w:rsid w:val="00B140CC"/>
    <w:rsid w:val="00B20A30"/>
    <w:rsid w:val="00B24D3D"/>
    <w:rsid w:val="00B252FA"/>
    <w:rsid w:val="00B36401"/>
    <w:rsid w:val="00B405CD"/>
    <w:rsid w:val="00B43C7E"/>
    <w:rsid w:val="00B461EE"/>
    <w:rsid w:val="00B60632"/>
    <w:rsid w:val="00B6447A"/>
    <w:rsid w:val="00B71BFC"/>
    <w:rsid w:val="00B825CD"/>
    <w:rsid w:val="00B836CB"/>
    <w:rsid w:val="00BB4851"/>
    <w:rsid w:val="00BB5EE2"/>
    <w:rsid w:val="00BC4D7C"/>
    <w:rsid w:val="00C036E3"/>
    <w:rsid w:val="00C0601D"/>
    <w:rsid w:val="00C0722C"/>
    <w:rsid w:val="00C11989"/>
    <w:rsid w:val="00C23503"/>
    <w:rsid w:val="00C25A04"/>
    <w:rsid w:val="00C30DC9"/>
    <w:rsid w:val="00C50DE9"/>
    <w:rsid w:val="00C5581A"/>
    <w:rsid w:val="00C65888"/>
    <w:rsid w:val="00C658CA"/>
    <w:rsid w:val="00C839C9"/>
    <w:rsid w:val="00CA5715"/>
    <w:rsid w:val="00CD4FA6"/>
    <w:rsid w:val="00CE2A54"/>
    <w:rsid w:val="00CE7CF1"/>
    <w:rsid w:val="00CF0CCD"/>
    <w:rsid w:val="00CF334C"/>
    <w:rsid w:val="00CF6E02"/>
    <w:rsid w:val="00D03489"/>
    <w:rsid w:val="00D20E8D"/>
    <w:rsid w:val="00D46A4D"/>
    <w:rsid w:val="00D53FCA"/>
    <w:rsid w:val="00D65395"/>
    <w:rsid w:val="00D858F0"/>
    <w:rsid w:val="00DA0363"/>
    <w:rsid w:val="00DC3231"/>
    <w:rsid w:val="00DC578D"/>
    <w:rsid w:val="00E008FA"/>
    <w:rsid w:val="00E02C67"/>
    <w:rsid w:val="00E4580C"/>
    <w:rsid w:val="00E520B0"/>
    <w:rsid w:val="00E7040B"/>
    <w:rsid w:val="00E81BC1"/>
    <w:rsid w:val="00E96DEF"/>
    <w:rsid w:val="00EA3D81"/>
    <w:rsid w:val="00EB0DE0"/>
    <w:rsid w:val="00EC448D"/>
    <w:rsid w:val="00EC70A2"/>
    <w:rsid w:val="00EF2597"/>
    <w:rsid w:val="00F00483"/>
    <w:rsid w:val="00F01955"/>
    <w:rsid w:val="00F04F64"/>
    <w:rsid w:val="00F26036"/>
    <w:rsid w:val="00F33134"/>
    <w:rsid w:val="00F41EAD"/>
    <w:rsid w:val="00F43566"/>
    <w:rsid w:val="00F44CF3"/>
    <w:rsid w:val="00F468DA"/>
    <w:rsid w:val="00F47A08"/>
    <w:rsid w:val="00F5380D"/>
    <w:rsid w:val="00F55351"/>
    <w:rsid w:val="00F609C2"/>
    <w:rsid w:val="00F664CD"/>
    <w:rsid w:val="00F7594C"/>
    <w:rsid w:val="00F77EC2"/>
    <w:rsid w:val="00F9234A"/>
    <w:rsid w:val="00FA0229"/>
    <w:rsid w:val="00FA0859"/>
    <w:rsid w:val="00FA78D7"/>
    <w:rsid w:val="00FB6FFB"/>
    <w:rsid w:val="00FB7E77"/>
    <w:rsid w:val="00FC3EA2"/>
    <w:rsid w:val="00FE0B15"/>
    <w:rsid w:val="00FE4DB1"/>
    <w:rsid w:val="0D331C4F"/>
    <w:rsid w:val="23FF5E3E"/>
    <w:rsid w:val="2C0A113D"/>
    <w:rsid w:val="3AA73026"/>
    <w:rsid w:val="42E56AFC"/>
    <w:rsid w:val="473B309F"/>
    <w:rsid w:val="502D291C"/>
    <w:rsid w:val="512F0306"/>
    <w:rsid w:val="783E7317"/>
    <w:rsid w:val="7E9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iPriority="0" w:semiHidden="0" w:name="Table Grid"/>
    <w:lsdException w:unhideWhenUsed="0" w:uiPriority="0" w:semiHidden="0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autoRedefine/>
    <w:unhideWhenUsed/>
    <w:qFormat/>
    <w:uiPriority w:val="1"/>
    <w:rPr>
      <w:rFonts w:ascii="Times New Roman" w:hAnsi="Times New Roman" w:eastAsia="宋体"/>
      <w:sz w:val="21"/>
    </w:rPr>
  </w:style>
  <w:style w:type="paragraph" w:styleId="4">
    <w:name w:val="Body Text Indent"/>
    <w:basedOn w:val="1"/>
    <w:link w:val="18"/>
    <w:autoRedefine/>
    <w:qFormat/>
    <w:uiPriority w:val="0"/>
    <w:pPr>
      <w:ind w:left="420" w:leftChars="200" w:firstLine="560" w:firstLineChars="200"/>
    </w:pPr>
    <w:rPr>
      <w:rFonts w:ascii="Times New Roman" w:hAnsi="Times New Roman" w:eastAsia="宋体"/>
      <w:sz w:val="28"/>
    </w:rPr>
  </w:style>
  <w:style w:type="paragraph" w:styleId="5">
    <w:name w:val="Balloon Text"/>
    <w:basedOn w:val="1"/>
    <w:link w:val="19"/>
    <w:autoRedefine/>
    <w:unhideWhenUsed/>
    <w:qFormat/>
    <w:uiPriority w:val="99"/>
    <w:rPr>
      <w:rFonts w:ascii="Times New Roman" w:hAnsi="Times New Roman" w:eastAsia="宋体"/>
      <w:sz w:val="18"/>
      <w:szCs w:val="18"/>
    </w:rPr>
  </w:style>
  <w:style w:type="paragraph" w:styleId="6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autoRedefine/>
    <w:qFormat/>
    <w:uiPriority w:val="0"/>
    <w:pPr>
      <w:snapToGrid w:val="0"/>
      <w:jc w:val="left"/>
    </w:pPr>
    <w:rPr>
      <w:rFonts w:ascii="Times New Roman" w:hAnsi="Times New Roman" w:eastAsia="宋体"/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333333"/>
      <w:u w:val="none"/>
    </w:rPr>
  </w:style>
  <w:style w:type="paragraph" w:customStyle="1" w:styleId="14">
    <w:name w:val="Char1 Char Char Char"/>
    <w:basedOn w:val="1"/>
    <w:autoRedefine/>
    <w:qFormat/>
    <w:uiPriority w:val="0"/>
  </w:style>
  <w:style w:type="paragraph" w:styleId="15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6">
    <w:name w:val="标题 2 Char"/>
    <w:basedOn w:val="12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7">
    <w:name w:val="正文文本 Char"/>
    <w:basedOn w:val="12"/>
    <w:link w:val="3"/>
    <w:autoRedefine/>
    <w:qFormat/>
    <w:uiPriority w:val="1"/>
    <w:rPr>
      <w:rFonts w:ascii="Times New Roman" w:hAnsi="Times New Roman"/>
      <w:kern w:val="2"/>
      <w:sz w:val="21"/>
      <w:szCs w:val="24"/>
    </w:rPr>
  </w:style>
  <w:style w:type="character" w:customStyle="1" w:styleId="18">
    <w:name w:val="正文文本缩进 Char"/>
    <w:basedOn w:val="12"/>
    <w:link w:val="4"/>
    <w:autoRedefine/>
    <w:qFormat/>
    <w:uiPriority w:val="0"/>
    <w:rPr>
      <w:rFonts w:ascii="Times New Roman" w:hAnsi="Times New Roman"/>
      <w:kern w:val="2"/>
      <w:sz w:val="28"/>
      <w:szCs w:val="24"/>
    </w:rPr>
  </w:style>
  <w:style w:type="character" w:customStyle="1" w:styleId="19">
    <w:name w:val="批注框文本 Char"/>
    <w:basedOn w:val="12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脚注文本 Char"/>
    <w:basedOn w:val="12"/>
    <w:link w:val="8"/>
    <w:autoRedefine/>
    <w:qFormat/>
    <w:uiPriority w:val="0"/>
    <w:rPr>
      <w:rFonts w:ascii="Times New Roman" w:hAnsi="Times New Roman"/>
      <w:kern w:val="2"/>
      <w:sz w:val="18"/>
      <w:szCs w:val="24"/>
    </w:rPr>
  </w:style>
  <w:style w:type="paragraph" w:styleId="2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  <w:rPr>
      <w:rFonts w:ascii="Calibri" w:eastAsia="宋体"/>
      <w:sz w:val="21"/>
      <w:szCs w:val="22"/>
    </w:rPr>
  </w:style>
  <w:style w:type="paragraph" w:customStyle="1" w:styleId="23">
    <w:name w:val="列表段落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2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6">
    <w:name w:val="font31"/>
    <w:basedOn w:val="12"/>
    <w:autoRedefine/>
    <w:qFormat/>
    <w:uiPriority w:val="0"/>
    <w:rPr>
      <w:rFonts w:hint="eastAsia" w:ascii="微软雅黑" w:hAnsi="微软雅黑" w:eastAsia="微软雅黑" w:cs="微软雅黑"/>
      <w:b/>
      <w:color w:val="000000"/>
      <w:sz w:val="21"/>
      <w:szCs w:val="21"/>
      <w:u w:val="none"/>
    </w:rPr>
  </w:style>
  <w:style w:type="character" w:customStyle="1" w:styleId="27">
    <w:name w:val="font91"/>
    <w:basedOn w:val="12"/>
    <w:autoRedefine/>
    <w:qFormat/>
    <w:uiPriority w:val="0"/>
    <w:rPr>
      <w:rFonts w:hint="eastAsia" w:ascii="微软雅黑" w:hAnsi="微软雅黑" w:eastAsia="微软雅黑" w:cs="微软雅黑"/>
      <w:b/>
      <w:color w:val="000000"/>
      <w:sz w:val="21"/>
      <w:szCs w:val="21"/>
      <w:u w:val="none"/>
    </w:rPr>
  </w:style>
  <w:style w:type="character" w:customStyle="1" w:styleId="28">
    <w:name w:val="页眉 Char"/>
    <w:basedOn w:val="12"/>
    <w:link w:val="7"/>
    <w:autoRedefine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29">
    <w:name w:val="页脚 Char"/>
    <w:basedOn w:val="12"/>
    <w:link w:val="6"/>
    <w:autoRedefine/>
    <w:qFormat/>
    <w:uiPriority w:val="99"/>
    <w:rPr>
      <w:rFonts w:ascii="仿宋_GB2312" w:eastAsia="仿宋_GB2312"/>
      <w:kern w:val="2"/>
      <w:sz w:val="18"/>
      <w:szCs w:val="18"/>
    </w:rPr>
  </w:style>
  <w:style w:type="character" w:styleId="30">
    <w:name w:val="Placeholder Text"/>
    <w:basedOn w:val="12"/>
    <w:autoRedefine/>
    <w:unhideWhenUsed/>
    <w:qFormat/>
    <w:uiPriority w:val="99"/>
    <w:rPr>
      <w:color w:val="808080"/>
    </w:rPr>
  </w:style>
  <w:style w:type="paragraph" w:customStyle="1" w:styleId="3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32">
    <w:name w:val="Grid Table 4 Accent 5"/>
    <w:basedOn w:val="10"/>
    <w:autoRedefine/>
    <w:qFormat/>
    <w:uiPriority w:val="49"/>
    <w:rPr>
      <w:rFonts w:ascii="Times New Roman" w:hAnsi="Times New Roman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paragraph" w:customStyle="1" w:styleId="33">
    <w:name w:val="正文缩进111"/>
    <w:basedOn w:val="1"/>
    <w:autoRedefine/>
    <w:qFormat/>
    <w:uiPriority w:val="0"/>
    <w:pPr>
      <w:ind w:firstLine="420"/>
    </w:pPr>
    <w:rPr>
      <w:rFonts w:asciiTheme="minorHAnsi" w:hAnsiTheme="minorHAnsi" w:eastAsiaTheme="minorEastAsia" w:cstheme="minorBidi"/>
      <w:kern w:val="0"/>
      <w:sz w:val="20"/>
    </w:rPr>
  </w:style>
  <w:style w:type="character" w:customStyle="1" w:styleId="34">
    <w:name w:val="font1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61"/>
    <w:basedOn w:val="1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112"/>
    <w:basedOn w:val="12"/>
    <w:autoRedefine/>
    <w:qFormat/>
    <w:uiPriority w:val="0"/>
    <w:rPr>
      <w:rFonts w:hint="default" w:ascii="Verdana" w:hAnsi="Verdana" w:cs="Verdana"/>
      <w:color w:val="000000"/>
      <w:sz w:val="21"/>
      <w:szCs w:val="21"/>
      <w:u w:val="none"/>
    </w:rPr>
  </w:style>
  <w:style w:type="character" w:customStyle="1" w:styleId="37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11"/>
    <w:basedOn w:val="12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8981</Words>
  <Characters>10786</Characters>
  <Lines>90</Lines>
  <Paragraphs>25</Paragraphs>
  <TotalTime>1</TotalTime>
  <ScaleCrop>false</ScaleCrop>
  <LinksUpToDate>false</LinksUpToDate>
  <CharactersWithSpaces>11709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2020-07-22T02:07:00Z</dcterms:created>
  <dc:creator>zcuser</dc:creator>
  <cp:lastModifiedBy>Moon.</cp:lastModifiedBy>
  <cp:lastPrinted>2023-06-08T02:27:00Z</cp:lastPrinted>
  <dcterms:modified xsi:type="dcterms:W3CDTF">2024-05-16T13:59:21Z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789DCAB6CD6D423FB5D882DA05BDAB32_12</vt:lpwstr>
  </property>
</Properties>
</file>