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/>
        <w:jc w:val="center"/>
        <w:rPr>
          <w:rFonts w:asciiTheme="majorEastAsia" w:hAnsiTheme="majorEastAsia" w:eastAsiaTheme="majorEastAsia"/>
          <w:sz w:val="48"/>
          <w:szCs w:val="48"/>
          <w:lang w:val="zh-CN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心肺复苏机FSJ-</w:t>
      </w:r>
      <w:r>
        <w:rPr>
          <w:rFonts w:hint="default" w:asciiTheme="majorEastAsia" w:hAnsiTheme="majorEastAsia" w:eastAsiaTheme="majorEastAsia"/>
          <w:sz w:val="48"/>
          <w:szCs w:val="48"/>
          <w:lang w:val="en-US"/>
        </w:rPr>
        <w:t>20C</w:t>
      </w:r>
      <w:r>
        <w:rPr>
          <w:rFonts w:hint="eastAsia" w:asciiTheme="majorEastAsia" w:hAnsiTheme="majorEastAsia" w:eastAsiaTheme="majorEastAsia"/>
          <w:sz w:val="48"/>
          <w:szCs w:val="48"/>
          <w:lang w:val="zh-CN"/>
        </w:rPr>
        <w:t>技术性能参数表</w:t>
      </w:r>
    </w:p>
    <w:tbl>
      <w:tblPr>
        <w:tblStyle w:val="8"/>
        <w:tblpPr w:leftFromText="180" w:rightFromText="180" w:vertAnchor="text" w:horzAnchor="page" w:tblpX="1653" w:tblpY="15"/>
        <w:tblOverlap w:val="never"/>
        <w:tblW w:w="9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68"/>
      </w:tblGrid>
      <w:tr>
        <w:tblPrEx>
          <w:tblLayout w:type="fixed"/>
        </w:tblPrEx>
        <w:trPr>
          <w:trHeight w:val="645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73" w:firstLineChars="14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技术参数</w:t>
            </w:r>
          </w:p>
        </w:tc>
      </w:tr>
      <w:tr>
        <w:tblPrEx>
          <w:tblLayout w:type="fixed"/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1*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驱动方式：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电</w:t>
            </w:r>
            <w:r>
              <w:rPr>
                <w:rFonts w:ascii="Arial" w:hAnsi="Arial" w:cs="Arial"/>
                <w:szCs w:val="21"/>
              </w:rPr>
              <w:t>动</w:t>
            </w:r>
            <w:r>
              <w:rPr>
                <w:rFonts w:hint="eastAsia" w:ascii="Arial" w:hAnsi="Arial" w:cs="Arial"/>
                <w:szCs w:val="21"/>
              </w:rPr>
              <w:t>电</w:t>
            </w:r>
            <w:r>
              <w:rPr>
                <w:rFonts w:ascii="Arial" w:hAnsi="Arial" w:cs="Arial"/>
                <w:szCs w:val="21"/>
              </w:rPr>
              <w:t>控方式；控制更精确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；不需要氧气源支持</w:t>
            </w:r>
          </w:p>
        </w:tc>
      </w:tr>
      <w:tr>
        <w:tblPrEx>
          <w:tblLayout w:type="fixed"/>
        </w:tblPrEx>
        <w:trPr>
          <w:trHeight w:val="935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2*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工作模式：</w:t>
            </w:r>
            <w:r>
              <w:rPr>
                <w:rFonts w:hint="eastAsia" w:ascii="宋体" w:hAnsi="宋体" w:eastAsia="宋体" w:cs="宋体"/>
                <w:szCs w:val="21"/>
              </w:rPr>
              <w:t>具有全自动按压、通气同步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30:2 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15:2、CCV（即十次不间断按压通气一次）、</w:t>
            </w:r>
            <w:r>
              <w:rPr>
                <w:rFonts w:hint="eastAsia" w:ascii="宋体" w:hAnsi="宋体" w:eastAsia="宋体" w:cs="宋体"/>
                <w:szCs w:val="21"/>
              </w:rPr>
              <w:t>连续不间断按压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四种</w:t>
            </w:r>
            <w:r>
              <w:rPr>
                <w:rFonts w:hint="eastAsia" w:ascii="宋体" w:hAnsi="宋体" w:eastAsia="宋体" w:cs="宋体"/>
                <w:szCs w:val="21"/>
              </w:rPr>
              <w:t>模式可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选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按压频率：</w:t>
            </w:r>
            <w:r>
              <w:rPr>
                <w:rFonts w:hint="eastAsia" w:ascii="宋体" w:hAnsi="宋体" w:eastAsia="宋体" w:cs="宋体"/>
                <w:szCs w:val="21"/>
              </w:rPr>
              <w:t>100bpm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110bpm；120bpm，三挡可调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按压深度：</w:t>
            </w:r>
            <w:r>
              <w:rPr>
                <w:rFonts w:hint="eastAsia" w:ascii="宋体" w:hAnsi="宋体" w:eastAsia="宋体" w:cs="宋体"/>
                <w:szCs w:val="21"/>
              </w:rPr>
              <w:t>按压深度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~6cm内连续精确可调，深度可以直观显示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通气模式：</w:t>
            </w:r>
            <w:r>
              <w:rPr>
                <w:rFonts w:hint="eastAsia" w:ascii="宋体" w:hAnsi="宋体" w:eastAsia="宋体" w:cs="宋体"/>
                <w:szCs w:val="21"/>
              </w:rPr>
              <w:t>正压通气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6*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潮气量：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Cs w:val="21"/>
              </w:rPr>
              <w:t>～1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00ml范围内可调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按压/释放比率：</w:t>
            </w:r>
            <w:r>
              <w:rPr>
                <w:rFonts w:hint="eastAsia" w:ascii="宋体" w:hAnsi="宋体" w:eastAsia="宋体" w:cs="宋体"/>
                <w:szCs w:val="21"/>
              </w:rPr>
              <w:t>1:1（50%：50%）</w:t>
            </w:r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1484" w:leftChars="0" w:hanging="1484" w:hangingChars="704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按压与通气比: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全自动30:2 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15:2、CCV（即十次不间断按压通气一次）</w:t>
            </w:r>
          </w:p>
        </w:tc>
      </w:tr>
      <w:tr>
        <w:tblPrEx>
          <w:tblLayout w:type="fixed"/>
        </w:tblPrEx>
        <w:trPr>
          <w:trHeight w:val="697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电源：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可充电电池，设定工作模式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30:2，按压频率110bpm，潮气量500ml时，整机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一次充电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可</w:t>
            </w:r>
            <w:r>
              <w:rPr>
                <w:rFonts w:hint="eastAsia" w:ascii="宋体" w:hAnsi="宋体" w:cs="宋体"/>
                <w:szCs w:val="21"/>
              </w:rPr>
              <w:t>供电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分钟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；也可外接电源适配器供电及充电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启动心肺复苏系统时间：</w:t>
            </w:r>
            <w:r>
              <w:rPr>
                <w:rFonts w:hint="eastAsia" w:ascii="宋体" w:hAnsi="宋体" w:eastAsia="宋体" w:cs="宋体"/>
                <w:szCs w:val="21"/>
              </w:rPr>
              <w:t>小于</w:t>
            </w: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秒</w:t>
            </w:r>
          </w:p>
        </w:tc>
      </w:tr>
      <w:tr>
        <w:tblPrEx>
          <w:tblLayout w:type="fixed"/>
        </w:tblPrEx>
        <w:trPr>
          <w:trHeight w:val="955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气道阻塞泄压报警：</w:t>
            </w:r>
            <w:r>
              <w:rPr>
                <w:rFonts w:hint="eastAsia" w:ascii="宋体" w:hAnsi="宋体" w:eastAsia="宋体" w:cs="宋体"/>
                <w:szCs w:val="21"/>
              </w:rPr>
              <w:t>可调节气道压力安全阀最高泄压力应不大于60cmH2O，大于时自动报警并且自动泄压，保护气道</w:t>
            </w:r>
          </w:p>
        </w:tc>
      </w:tr>
      <w:tr>
        <w:tblPrEx>
          <w:tblLayout w:type="fixed"/>
        </w:tblPrEx>
        <w:trPr>
          <w:trHeight w:val="1038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按压器、固定带定位：</w:t>
            </w:r>
            <w:r>
              <w:rPr>
                <w:rFonts w:hint="eastAsia" w:ascii="宋体" w:hAnsi="宋体" w:eastAsia="宋体" w:cs="宋体"/>
                <w:szCs w:val="21"/>
              </w:rPr>
              <w:t>按压器可快速前、后、上、下移动，在不移动病人的前提下，可快速、精确定位按压部位，固定带可以调节以适应不同伤病员胸径</w:t>
            </w:r>
          </w:p>
        </w:tc>
      </w:tr>
      <w:tr>
        <w:tblPrEx>
          <w:tblLayout w:type="fixed"/>
        </w:tblPrEx>
        <w:trPr>
          <w:trHeight w:val="723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13*</w:t>
            </w:r>
          </w:p>
        </w:tc>
        <w:tc>
          <w:tcPr>
            <w:tcW w:w="8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便携性：</w:t>
            </w:r>
            <w:r>
              <w:rPr>
                <w:rFonts w:hint="eastAsia" w:ascii="宋体" w:hAnsi="宋体" w:eastAsia="宋体" w:cs="宋体"/>
                <w:szCs w:val="21"/>
              </w:rPr>
              <w:t>整机重量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Kg</w:t>
            </w:r>
          </w:p>
        </w:tc>
      </w:tr>
      <w:tr>
        <w:tblPrEx>
          <w:tblLayout w:type="fixed"/>
        </w:tblPrEx>
        <w:trPr>
          <w:trHeight w:val="640" w:hRule="atLeast"/>
        </w:trPr>
        <w:tc>
          <w:tcPr>
            <w:tcW w:w="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8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绝缘性：</w:t>
            </w:r>
            <w:r>
              <w:rPr>
                <w:rFonts w:hint="eastAsia" w:ascii="宋体" w:hAnsi="宋体" w:eastAsia="宋体" w:cs="宋体"/>
                <w:szCs w:val="21"/>
              </w:rPr>
              <w:t>按压器与人体接触部位采用高分子绝缘材料。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配套设备：</w:t>
            </w:r>
            <w:r>
              <w:rPr>
                <w:rFonts w:hint="eastAsia" w:ascii="宋体" w:hAnsi="宋体" w:eastAsia="宋体" w:cs="宋体"/>
                <w:szCs w:val="21"/>
              </w:rPr>
              <w:t>提供配套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电源适配器一</w:t>
            </w: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Layout w:type="fixed"/>
        </w:tblPrEx>
        <w:trPr>
          <w:trHeight w:val="6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呼吸管、呼吸阀、面罩、头带及头带固定环各一个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中文操作手册:</w:t>
            </w:r>
            <w:r>
              <w:rPr>
                <w:rFonts w:hint="eastAsia" w:ascii="宋体" w:hAnsi="宋体" w:eastAsia="宋体" w:cs="宋体"/>
                <w:szCs w:val="21"/>
              </w:rPr>
              <w:t>使用操作说明、维护保养及维修等合一手册的纸质文件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可靠性：</w:t>
            </w:r>
            <w:r>
              <w:rPr>
                <w:rFonts w:hint="eastAsia" w:ascii="宋体" w:hAnsi="宋体" w:cs="宋体"/>
                <w:szCs w:val="21"/>
              </w:rPr>
              <w:t>平均故障间隔时间不小于500</w:t>
            </w:r>
            <w:r>
              <w:rPr>
                <w:rFonts w:ascii="宋体" w:hAnsi="宋体" w:cs="宋体"/>
                <w:szCs w:val="21"/>
              </w:rPr>
              <w:t>h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维修性：</w:t>
            </w:r>
            <w:r>
              <w:rPr>
                <w:rFonts w:hint="eastAsia" w:ascii="宋体" w:hAnsi="宋体" w:cs="宋体"/>
                <w:szCs w:val="21"/>
              </w:rPr>
              <w:t>维修的可达性和互换性满足</w:t>
            </w:r>
            <w:r>
              <w:rPr>
                <w:rFonts w:ascii="宋体" w:hAnsi="宋体" w:cs="宋体"/>
                <w:szCs w:val="21"/>
              </w:rPr>
              <w:t>GJB 368B</w:t>
            </w:r>
            <w:r>
              <w:rPr>
                <w:rFonts w:hint="eastAsia" w:ascii="宋体" w:hAnsi="宋体" w:cs="宋体"/>
                <w:szCs w:val="21"/>
              </w:rPr>
              <w:t>的要求。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标准化：</w:t>
            </w:r>
            <w:r>
              <w:rPr>
                <w:rFonts w:hint="eastAsia" w:ascii="宋体" w:hAnsi="宋体" w:cs="宋体"/>
                <w:szCs w:val="21"/>
              </w:rPr>
              <w:t>零部件的标准化程度系数不小于</w:t>
            </w:r>
            <w:r>
              <w:rPr>
                <w:rFonts w:ascii="宋体" w:hAnsi="宋体" w:cs="宋体"/>
                <w:szCs w:val="21"/>
              </w:rPr>
              <w:t>0.8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人机工程：</w:t>
            </w:r>
            <w:r>
              <w:rPr>
                <w:rFonts w:hint="eastAsia" w:ascii="宋体" w:hAnsi="宋体" w:cs="宋体"/>
                <w:szCs w:val="21"/>
              </w:rPr>
              <w:t>产品结构设计应充分考虑人机功效要求，状态显示、报警指示清楚醒目</w:t>
            </w:r>
          </w:p>
        </w:tc>
      </w:tr>
      <w:tr>
        <w:tblPrEx>
          <w:tblLayout w:type="fixed"/>
        </w:tblPrEx>
        <w:trPr>
          <w:trHeight w:val="6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主机尺寸：</w:t>
            </w:r>
            <w:r>
              <w:rPr>
                <w:rFonts w:hint="eastAsia" w:ascii="宋体" w:hAnsi="宋体" w:cs="宋体"/>
                <w:szCs w:val="21"/>
              </w:rPr>
              <w:t>长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宽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高</w:t>
            </w:r>
            <w:r>
              <w:rPr>
                <w:rFonts w:ascii="宋体" w:hAnsi="宋体" w:cs="宋体"/>
                <w:szCs w:val="21"/>
              </w:rPr>
              <w:t xml:space="preserve">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Cs w:val="21"/>
              </w:rPr>
              <w:t>*1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185</w:t>
            </w:r>
            <w:r>
              <w:rPr>
                <w:rFonts w:ascii="宋体" w:hAnsi="宋体" w:cs="宋体"/>
                <w:szCs w:val="21"/>
              </w:rPr>
              <w:t>mm</w:t>
            </w:r>
          </w:p>
        </w:tc>
      </w:tr>
    </w:tbl>
    <w:p>
      <w:pPr>
        <w:ind w:left="0" w:leftChars="0" w:firstLine="0" w:firstLineChars="0"/>
        <w:rPr>
          <w:rFonts w:ascii="黑体" w:hAnsi="黑体" w:eastAsia="黑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917" w:right="1800" w:bottom="1440" w:left="1800" w:header="142" w:footer="6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outlineLvl w:val="1"/>
      <w:rPr>
        <w:rFonts w:ascii="宋体" w:hAnsi="宋体" w:eastAsia="宋体" w:cs="Arial"/>
        <w:color w:val="000000"/>
        <w:kern w:val="0"/>
        <w:sz w:val="18"/>
        <w:szCs w:val="18"/>
      </w:rPr>
    </w:pPr>
  </w:p>
  <w:p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outlineLvl w:val="1"/>
      <w:rPr>
        <w:rFonts w:ascii="Arial" w:hAnsi="Arial" w:eastAsia="宋体" w:cs="Arial"/>
        <w:color w:val="000000"/>
        <w:kern w:val="0"/>
        <w:sz w:val="18"/>
        <w:szCs w:val="18"/>
      </w:rPr>
    </w:pPr>
  </w:p>
  <w:p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outlineLvl w:val="1"/>
      <w:rPr>
        <w:rFonts w:ascii="Arial" w:hAnsi="Arial" w:eastAsia="宋体" w:cs="Arial"/>
        <w:color w:val="000000"/>
        <w:ker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3"/>
      </w:pBdr>
      <w:tabs>
        <w:tab w:val="right" w:pos="8364"/>
        <w:tab w:val="clear" w:pos="8789"/>
      </w:tabs>
      <w:ind w:left="0" w:leftChars="0" w:right="-57" w:rightChars="-27" w:firstLine="0" w:firstLineChars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0"/>
      </w:pBdr>
      <w:tabs>
        <w:tab w:val="center" w:pos="4153"/>
        <w:tab w:val="right" w:pos="8789"/>
      </w:tabs>
      <w:snapToGrid w:val="0"/>
      <w:ind w:left="1801" w:leftChars="-742" w:right="-1474" w:rightChars="-702" w:hanging="3359" w:hangingChars="933"/>
    </w:pPr>
    <w:rPr>
      <w:rFonts w:ascii="Arial" w:hAnsi="Arial" w:cs="Arial"/>
      <w:color w:val="333333"/>
      <w:sz w:val="36"/>
      <w:szCs w:val="36"/>
      <w:shd w:val="clear" w:color="auto" w:fill="FFFFFF"/>
    </w:rPr>
  </w:style>
  <w:style w:type="character" w:customStyle="1" w:styleId="9">
    <w:name w:val="页眉 Char"/>
    <w:basedOn w:val="7"/>
    <w:link w:val="6"/>
    <w:qFormat/>
    <w:uiPriority w:val="99"/>
    <w:rPr>
      <w:rFonts w:ascii="Arial" w:hAnsi="Arial" w:cs="Arial"/>
      <w:color w:val="333333"/>
      <w:sz w:val="36"/>
      <w:szCs w:val="36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7"/>
    <w:link w:val="3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2018-06-08T12:35:00Z</dcterms:created>
  <dc:creator>闫志伟</dc:creator>
  <cp:lastModifiedBy>iPhone</cp:lastModifiedBy>
  <cp:lastPrinted>2017-12-14T16:39:00Z</cp:lastPrinted>
  <dcterms:modified xsi:type="dcterms:W3CDTF">2024-10-22T18:59:18Z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85AADED053D13BBD2A8517674077B471_31</vt:lpwstr>
  </property>
</Properties>
</file>