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0B1CE6">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36"/>
          <w:szCs w:val="36"/>
          <w:lang w:val="zh-TW" w:eastAsia="zh-TW"/>
        </w:rPr>
      </w:pPr>
      <w:r>
        <w:rPr>
          <w:rFonts w:hint="eastAsia" w:ascii="方正小标宋简体" w:hAnsi="方正小标宋简体" w:eastAsia="方正小标宋简体" w:cs="方正小标宋简体"/>
          <w:sz w:val="36"/>
          <w:szCs w:val="36"/>
          <w:lang w:val="en-US" w:eastAsia="zh-CN"/>
        </w:rPr>
        <w:t>塔里木大学2025年节能减排项目工程造价采购项目</w:t>
      </w:r>
      <w:r>
        <w:rPr>
          <w:rFonts w:hint="eastAsia" w:ascii="方正小标宋简体" w:hAnsi="方正小标宋简体" w:eastAsia="方正小标宋简体" w:cs="方正小标宋简体"/>
          <w:sz w:val="36"/>
          <w:szCs w:val="36"/>
          <w:lang w:val="zh-TW" w:eastAsia="zh-TW"/>
        </w:rPr>
        <w:t>需求书</w:t>
      </w:r>
    </w:p>
    <w:p w14:paraId="6433D2FA">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36"/>
          <w:szCs w:val="36"/>
          <w:lang w:val="zh-TW" w:eastAsia="zh-TW"/>
        </w:rPr>
      </w:pPr>
    </w:p>
    <w:p w14:paraId="4DA220FA">
      <w:pPr>
        <w:keepNext w:val="0"/>
        <w:keepLines w:val="0"/>
        <w:pageBreakBefore w:val="0"/>
        <w:numPr>
          <w:ilvl w:val="0"/>
          <w:numId w:val="1"/>
        </w:numPr>
        <w:kinsoku/>
        <w:wordWrap/>
        <w:overflowPunct/>
        <w:topLinePunct w:val="0"/>
        <w:autoSpaceDE/>
        <w:autoSpaceDN/>
        <w:bidi w:val="0"/>
        <w:adjustRightInd/>
        <w:snapToGrid w:val="0"/>
        <w:spacing w:line="360" w:lineRule="exact"/>
        <w:ind w:firstLine="562" w:firstLineChars="200"/>
        <w:textAlignment w:val="auto"/>
        <w:rPr>
          <w:rFonts w:hint="eastAsia" w:ascii="仿宋" w:hAnsi="仿宋" w:eastAsia="仿宋"/>
          <w:b/>
          <w:sz w:val="28"/>
          <w:szCs w:val="28"/>
          <w:lang w:val="zh-TW" w:eastAsia="zh-TW"/>
        </w:rPr>
      </w:pPr>
      <w:r>
        <w:rPr>
          <w:rFonts w:hint="eastAsia" w:ascii="仿宋" w:hAnsi="仿宋" w:eastAsia="仿宋"/>
          <w:b/>
          <w:sz w:val="28"/>
          <w:szCs w:val="28"/>
          <w:lang w:val="zh-TW" w:eastAsia="zh-TW"/>
        </w:rPr>
        <w:t>项目概况</w:t>
      </w:r>
    </w:p>
    <w:p w14:paraId="2644FF9A">
      <w:pPr>
        <w:keepNext w:val="0"/>
        <w:keepLines w:val="0"/>
        <w:pageBreakBefore w:val="0"/>
        <w:numPr>
          <w:ilvl w:val="0"/>
          <w:numId w:val="2"/>
        </w:numPr>
        <w:kinsoku/>
        <w:wordWrap/>
        <w:overflowPunct/>
        <w:topLinePunct w:val="0"/>
        <w:autoSpaceDE/>
        <w:autoSpaceDN/>
        <w:bidi w:val="0"/>
        <w:adjustRightInd/>
        <w:snapToGrid w:val="0"/>
        <w:spacing w:line="520" w:lineRule="exact"/>
        <w:ind w:left="562" w:leftChars="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项目联系人：</w:t>
      </w:r>
      <w:bookmarkStart w:id="0" w:name="OLE_LINK25"/>
      <w:r>
        <w:rPr>
          <w:rFonts w:hint="eastAsia" w:ascii="仿宋" w:hAnsi="仿宋" w:eastAsia="仿宋"/>
          <w:sz w:val="32"/>
          <w:szCs w:val="32"/>
          <w:lang w:val="en-US" w:eastAsia="zh-CN"/>
        </w:rPr>
        <w:t>张志贤  联系电话：13899293466</w:t>
      </w:r>
    </w:p>
    <w:bookmarkEnd w:id="0"/>
    <w:p w14:paraId="77F02CA9">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采购预算金额（万元）：4.5万元</w:t>
      </w:r>
    </w:p>
    <w:p w14:paraId="4CC89318">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Times New Roman"/>
          <w:sz w:val="32"/>
          <w:szCs w:val="32"/>
          <w:lang w:val="en-US" w:eastAsia="zh-CN"/>
        </w:rPr>
      </w:pPr>
      <w:r>
        <w:rPr>
          <w:rFonts w:hint="eastAsia" w:ascii="仿宋" w:hAnsi="仿宋" w:eastAsia="仿宋"/>
          <w:sz w:val="32"/>
          <w:szCs w:val="32"/>
          <w:lang w:val="en-US" w:eastAsia="zh-CN"/>
        </w:rPr>
        <w:t>资金来源：中央支持地方高校</w:t>
      </w:r>
    </w:p>
    <w:p w14:paraId="16F08C42">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Times New Roman"/>
          <w:sz w:val="32"/>
          <w:szCs w:val="32"/>
          <w:lang w:val="en-US" w:eastAsia="zh-CN"/>
        </w:rPr>
      </w:pPr>
      <w:r>
        <w:rPr>
          <w:rFonts w:hint="eastAsia" w:ascii="仿宋" w:hAnsi="仿宋" w:eastAsia="仿宋"/>
          <w:sz w:val="32"/>
          <w:szCs w:val="32"/>
          <w:lang w:val="en-US" w:eastAsia="zh-CN"/>
        </w:rPr>
        <w:t>工作内容：</w:t>
      </w:r>
      <w:r>
        <w:rPr>
          <w:rFonts w:hint="eastAsia" w:ascii="仿宋" w:hAnsi="仿宋" w:eastAsia="仿宋" w:cs="Times New Roman"/>
          <w:sz w:val="32"/>
          <w:szCs w:val="32"/>
          <w:lang w:val="en-US" w:eastAsia="zh-CN"/>
        </w:rPr>
        <w:t>开展对</w:t>
      </w:r>
      <w:bookmarkStart w:id="1" w:name="OLE_LINK16"/>
      <w:r>
        <w:rPr>
          <w:rFonts w:hint="eastAsia" w:ascii="仿宋" w:hAnsi="仿宋" w:eastAsia="仿宋" w:cs="Times New Roman"/>
          <w:sz w:val="32"/>
          <w:szCs w:val="32"/>
          <w:lang w:val="en-US" w:eastAsia="zh-CN"/>
        </w:rPr>
        <w:t>塔里木大学2025年节能减排项目，</w:t>
      </w:r>
      <w:bookmarkStart w:id="2" w:name="OLE_LINK12"/>
      <w:r>
        <w:rPr>
          <w:rFonts w:ascii="仿宋_GB2312" w:hAnsi="仿宋_GB2312" w:eastAsia="仿宋_GB2312" w:cs="仿宋_GB2312"/>
          <w:kern w:val="2"/>
          <w:sz w:val="30"/>
          <w:szCs w:val="30"/>
          <w:lang w:bidi="ar-SA"/>
        </w:rPr>
        <w:t>工程量清单、招标控制价</w:t>
      </w:r>
      <w:r>
        <w:rPr>
          <w:rFonts w:hint="eastAsia" w:ascii="仿宋" w:hAnsi="仿宋" w:eastAsia="仿宋" w:cs="Times New Roman"/>
          <w:sz w:val="32"/>
          <w:szCs w:val="32"/>
          <w:lang w:val="en-US" w:eastAsia="zh-CN"/>
        </w:rPr>
        <w:t>编制</w:t>
      </w:r>
      <w:bookmarkEnd w:id="1"/>
      <w:bookmarkEnd w:id="2"/>
      <w:r>
        <w:rPr>
          <w:rFonts w:hint="eastAsia" w:ascii="仿宋" w:hAnsi="仿宋" w:eastAsia="仿宋" w:cs="Times New Roman"/>
          <w:sz w:val="32"/>
          <w:szCs w:val="32"/>
          <w:lang w:val="en-US" w:eastAsia="zh-CN"/>
        </w:rPr>
        <w:t>等咨询工作。</w:t>
      </w:r>
    </w:p>
    <w:p w14:paraId="67908898">
      <w:pPr>
        <w:keepNext w:val="0"/>
        <w:keepLines w:val="0"/>
        <w:pageBreakBefore w:val="0"/>
        <w:numPr>
          <w:ilvl w:val="0"/>
          <w:numId w:val="2"/>
        </w:numPr>
        <w:kinsoku/>
        <w:wordWrap/>
        <w:overflowPunct/>
        <w:topLinePunct w:val="0"/>
        <w:autoSpaceDE/>
        <w:autoSpaceDN/>
        <w:bidi w:val="0"/>
        <w:adjustRightInd/>
        <w:snapToGrid w:val="0"/>
        <w:spacing w:line="360" w:lineRule="exact"/>
        <w:ind w:left="562" w:leftChars="0"/>
        <w:textAlignment w:val="auto"/>
        <w:rPr>
          <w:rFonts w:hint="default" w:ascii="仿宋" w:hAnsi="仿宋" w:eastAsia="仿宋" w:cs="宋体"/>
          <w:sz w:val="32"/>
          <w:szCs w:val="32"/>
          <w:highlight w:val="none"/>
          <w:lang w:val="en-US" w:eastAsia="zh-CN"/>
        </w:rPr>
      </w:pPr>
      <w:r>
        <w:rPr>
          <w:rFonts w:hint="eastAsia" w:ascii="仿宋" w:hAnsi="仿宋" w:eastAsia="仿宋"/>
          <w:sz w:val="32"/>
          <w:szCs w:val="32"/>
          <w:lang w:val="en-US" w:eastAsia="zh-CN"/>
        </w:rPr>
        <w:t>项目简介：</w:t>
      </w:r>
    </w:p>
    <w:p w14:paraId="274BF6A7">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塔里木大学2025年节能减排项目涵盖三栋楼宇。三栋公共教学楼的卫生间改造，塔里木大学综合楼60个，逸夫教学楼16个，2号教学楼20个；（塔里木大学综合楼（建成于2005年）、逸夫教学楼（建成于2005年）、2号教学楼（建成于2010年）此三栋楼宇做为塔里木大学主要教学楼，承担很重要的教学任务；因为三栋楼宇卫生间排水设施仅采用老式一体式冲水槽，采用延时器控制，极大地增加了水资源的损耗；现为响应国家节能减排号召，减少水资源损耗及资源的合理化使用，计划对三栋综合教学楼卫生间进行改造处理。</w:t>
      </w:r>
    </w:p>
    <w:p w14:paraId="4CF666D1">
      <w:pPr>
        <w:keepNext w:val="0"/>
        <w:keepLines w:val="0"/>
        <w:pageBreakBefore w:val="0"/>
        <w:numPr>
          <w:ilvl w:val="0"/>
          <w:numId w:val="0"/>
        </w:numPr>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（6）项目总投资：800万元。</w:t>
      </w:r>
    </w:p>
    <w:p w14:paraId="4F5855F3">
      <w:pPr>
        <w:keepNext w:val="0"/>
        <w:keepLines w:val="0"/>
        <w:pageBreakBefore w:val="0"/>
        <w:kinsoku/>
        <w:wordWrap/>
        <w:overflowPunct/>
        <w:topLinePunct w:val="0"/>
        <w:autoSpaceDE/>
        <w:autoSpaceDN/>
        <w:bidi w:val="0"/>
        <w:adjustRightInd/>
        <w:snapToGrid w:val="0"/>
        <w:spacing w:line="360" w:lineRule="exact"/>
        <w:ind w:firstLine="562" w:firstLineChars="200"/>
        <w:textAlignment w:val="auto"/>
        <w:rPr>
          <w:rFonts w:ascii="仿宋" w:hAnsi="仿宋" w:eastAsia="仿宋"/>
          <w:b/>
          <w:sz w:val="28"/>
          <w:szCs w:val="28"/>
          <w:lang w:val="zh-TW" w:eastAsia="zh-TW"/>
        </w:rPr>
      </w:pPr>
      <w:r>
        <w:rPr>
          <w:rFonts w:hint="eastAsia" w:ascii="仿宋" w:hAnsi="仿宋" w:eastAsia="仿宋"/>
          <w:b/>
          <w:sz w:val="28"/>
          <w:szCs w:val="28"/>
          <w:lang w:val="zh-TW" w:eastAsia="zh-TW"/>
        </w:rPr>
        <w:t>二、商务需求</w:t>
      </w:r>
    </w:p>
    <w:p w14:paraId="429692E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shd w:val="clear" w:color="auto" w:fill="auto"/>
        </w:rPr>
      </w:pPr>
      <w:bookmarkStart w:id="3" w:name="OLE_LINK19"/>
      <w:r>
        <w:rPr>
          <w:rFonts w:hint="eastAsia" w:ascii="仿宋" w:hAnsi="仿宋" w:eastAsia="仿宋" w:cs="仿宋"/>
          <w:color w:val="auto"/>
          <w:sz w:val="32"/>
          <w:szCs w:val="32"/>
          <w:shd w:val="clear" w:color="auto" w:fill="auto"/>
        </w:rPr>
        <w:t>1.符合《中华人民共和国政府采购法》第二十二条的规定，且具备所报价的经营范围。</w:t>
      </w:r>
    </w:p>
    <w:p w14:paraId="764C019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kern w:val="2"/>
          <w:sz w:val="30"/>
          <w:szCs w:val="30"/>
          <w:lang w:bidi="ar-SA"/>
        </w:rPr>
      </w:pPr>
      <w:r>
        <w:rPr>
          <w:rFonts w:hint="eastAsia" w:ascii="仿宋" w:hAnsi="仿宋" w:eastAsia="仿宋" w:cs="仿宋"/>
          <w:color w:val="auto"/>
          <w:sz w:val="32"/>
          <w:szCs w:val="32"/>
          <w:shd w:val="clear" w:color="auto" w:fill="auto"/>
        </w:rPr>
        <w:t>2</w:t>
      </w:r>
      <w:r>
        <w:rPr>
          <w:rFonts w:hint="eastAsia" w:ascii="仿宋" w:hAnsi="仿宋" w:eastAsia="仿宋" w:cs="仿宋"/>
          <w:color w:val="auto"/>
          <w:sz w:val="32"/>
          <w:szCs w:val="32"/>
          <w:shd w:val="clear" w:color="auto" w:fill="auto"/>
          <w:lang w:eastAsia="zh-CN"/>
        </w:rPr>
        <w:t>.</w:t>
      </w:r>
      <w:r>
        <w:rPr>
          <w:rFonts w:ascii="仿宋_GB2312" w:hAnsi="仿宋_GB2312" w:eastAsia="仿宋_GB2312" w:cs="仿宋_GB2312"/>
          <w:kern w:val="2"/>
          <w:sz w:val="30"/>
          <w:szCs w:val="30"/>
          <w:lang w:bidi="ar-SA"/>
        </w:rPr>
        <w:t>投标单位需提供两名或以上工程造价师的社保证明，且项目负责人应具有高级职称；负责本项目的业务负责人必须具备注册造价工程师一级资格。</w:t>
      </w:r>
    </w:p>
    <w:p w14:paraId="2FEC103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shd w:val="clear" w:color="auto" w:fill="auto"/>
          <w:lang w:eastAsia="zh-CN"/>
        </w:rPr>
      </w:pPr>
      <w:r>
        <w:rPr>
          <w:rFonts w:hint="eastAsia" w:ascii="仿宋" w:hAnsi="仿宋" w:eastAsia="仿宋" w:cs="仿宋"/>
          <w:color w:val="auto"/>
          <w:sz w:val="32"/>
          <w:szCs w:val="32"/>
          <w:shd w:val="clear" w:color="auto" w:fill="auto"/>
          <w:lang w:val="en-US" w:eastAsia="zh-CN"/>
        </w:rPr>
        <w:t>3</w:t>
      </w:r>
      <w:r>
        <w:rPr>
          <w:rFonts w:hint="eastAsia" w:ascii="仿宋" w:hAnsi="仿宋" w:eastAsia="仿宋" w:cs="仿宋"/>
          <w:color w:val="auto"/>
          <w:sz w:val="32"/>
          <w:szCs w:val="32"/>
          <w:shd w:val="clear" w:color="auto" w:fill="auto"/>
          <w:lang w:eastAsia="zh-CN"/>
        </w:rPr>
        <w:t>.</w:t>
      </w:r>
      <w:r>
        <w:rPr>
          <w:rFonts w:hint="eastAsia" w:ascii="仿宋" w:hAnsi="仿宋" w:eastAsia="仿宋" w:cs="仿宋"/>
          <w:color w:val="auto"/>
          <w:sz w:val="32"/>
          <w:szCs w:val="32"/>
          <w:shd w:val="clear" w:color="auto" w:fill="auto"/>
        </w:rPr>
        <w:t>本项目</w:t>
      </w:r>
      <w:r>
        <w:rPr>
          <w:rFonts w:hint="eastAsia" w:ascii="仿宋" w:hAnsi="仿宋" w:eastAsia="仿宋" w:cs="仿宋"/>
          <w:color w:val="auto"/>
          <w:sz w:val="32"/>
          <w:szCs w:val="32"/>
          <w:shd w:val="clear" w:color="auto" w:fill="auto"/>
          <w:lang w:val="en-US" w:eastAsia="zh-CN"/>
        </w:rPr>
        <w:t>属于维修改造提升，且施工现场较复杂，</w:t>
      </w:r>
      <w:r>
        <w:rPr>
          <w:rFonts w:hint="eastAsia" w:ascii="仿宋" w:hAnsi="仿宋" w:eastAsia="仿宋" w:cs="仿宋"/>
          <w:color w:val="auto"/>
          <w:sz w:val="32"/>
          <w:szCs w:val="32"/>
          <w:shd w:val="clear" w:color="auto" w:fill="auto"/>
        </w:rPr>
        <w:t>报价方需具备</w:t>
      </w:r>
      <w:r>
        <w:rPr>
          <w:rFonts w:hint="eastAsia" w:ascii="仿宋" w:hAnsi="仿宋" w:eastAsia="仿宋" w:cs="仿宋"/>
          <w:color w:val="auto"/>
          <w:sz w:val="32"/>
          <w:szCs w:val="32"/>
          <w:shd w:val="clear" w:color="auto" w:fill="auto"/>
          <w:lang w:val="en-US" w:eastAsia="zh-CN"/>
        </w:rPr>
        <w:t>类似工程造价</w:t>
      </w:r>
      <w:r>
        <w:rPr>
          <w:rFonts w:hint="eastAsia" w:ascii="仿宋" w:hAnsi="仿宋" w:eastAsia="仿宋" w:cs="仿宋"/>
          <w:color w:val="auto"/>
          <w:sz w:val="32"/>
          <w:szCs w:val="32"/>
          <w:shd w:val="clear" w:color="auto" w:fill="auto"/>
          <w:lang w:eastAsia="zh-CN"/>
        </w:rPr>
        <w:t>项目经验</w:t>
      </w:r>
      <w:r>
        <w:rPr>
          <w:rFonts w:hint="eastAsia" w:ascii="仿宋" w:hAnsi="仿宋" w:eastAsia="仿宋" w:cs="仿宋"/>
          <w:color w:val="auto"/>
          <w:sz w:val="32"/>
          <w:szCs w:val="32"/>
          <w:shd w:val="clear" w:color="auto" w:fill="auto"/>
          <w:lang w:val="en-US" w:eastAsia="zh-CN"/>
        </w:rPr>
        <w:t>。</w:t>
      </w:r>
    </w:p>
    <w:p w14:paraId="6773BFA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color w:val="auto"/>
          <w:sz w:val="32"/>
          <w:szCs w:val="32"/>
          <w:shd w:val="clear" w:color="auto" w:fill="auto"/>
        </w:rPr>
      </w:pPr>
      <w:r>
        <w:rPr>
          <w:rFonts w:hint="eastAsia" w:ascii="仿宋" w:hAnsi="仿宋" w:eastAsia="仿宋" w:cs="仿宋"/>
          <w:color w:val="auto"/>
          <w:sz w:val="32"/>
          <w:szCs w:val="32"/>
          <w:shd w:val="clear" w:color="auto" w:fill="auto"/>
          <w:lang w:val="en-US" w:eastAsia="zh-CN"/>
        </w:rPr>
        <w:t>4</w:t>
      </w:r>
      <w:r>
        <w:rPr>
          <w:rFonts w:hint="eastAsia" w:ascii="仿宋" w:hAnsi="仿宋" w:eastAsia="仿宋" w:cs="仿宋"/>
          <w:color w:val="auto"/>
          <w:sz w:val="32"/>
          <w:szCs w:val="32"/>
          <w:shd w:val="clear" w:color="auto" w:fill="auto"/>
          <w:lang w:eastAsia="zh-CN"/>
        </w:rPr>
        <w:t>.</w:t>
      </w:r>
      <w:r>
        <w:rPr>
          <w:rFonts w:hint="eastAsia" w:ascii="仿宋" w:hAnsi="仿宋" w:eastAsia="仿宋" w:cs="仿宋"/>
          <w:color w:val="auto"/>
          <w:sz w:val="32"/>
          <w:szCs w:val="32"/>
          <w:shd w:val="clear" w:color="auto" w:fill="auto"/>
        </w:rPr>
        <w:t>本项目需供应商具备独立完成项目的能力，供应商不得将业务转让给第三方;</w:t>
      </w:r>
    </w:p>
    <w:p w14:paraId="0D75CAC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 w:hAnsi="仿宋" w:eastAsia="仿宋" w:cs="仿宋"/>
          <w:color w:val="auto"/>
          <w:sz w:val="32"/>
          <w:szCs w:val="32"/>
          <w:shd w:val="clear" w:color="auto" w:fill="auto"/>
          <w:lang w:val="en-US" w:eastAsia="zh-CN"/>
        </w:rPr>
      </w:pPr>
      <w:r>
        <w:rPr>
          <w:rFonts w:hint="eastAsia" w:ascii="仿宋" w:hAnsi="仿宋" w:eastAsia="仿宋" w:cs="仿宋"/>
          <w:color w:val="auto"/>
          <w:sz w:val="32"/>
          <w:szCs w:val="32"/>
          <w:shd w:val="clear" w:color="auto" w:fill="auto"/>
          <w:lang w:val="en-US" w:eastAsia="zh-CN"/>
        </w:rPr>
        <w:t>5</w:t>
      </w:r>
      <w:r>
        <w:rPr>
          <w:rFonts w:hint="eastAsia" w:ascii="仿宋" w:hAnsi="仿宋" w:eastAsia="仿宋" w:cs="仿宋"/>
          <w:color w:val="auto"/>
          <w:sz w:val="32"/>
          <w:szCs w:val="32"/>
          <w:shd w:val="clear" w:color="auto" w:fill="auto"/>
          <w:lang w:eastAsia="zh-CN"/>
        </w:rPr>
        <w:t>.</w:t>
      </w:r>
      <w:r>
        <w:rPr>
          <w:rFonts w:hint="eastAsia" w:ascii="仿宋" w:hAnsi="仿宋" w:eastAsia="仿宋" w:cs="仿宋"/>
          <w:color w:val="auto"/>
          <w:sz w:val="32"/>
          <w:szCs w:val="32"/>
          <w:shd w:val="clear" w:color="auto" w:fill="auto"/>
          <w:lang w:val="en-US" w:eastAsia="zh-CN"/>
        </w:rPr>
        <w:t>中标单位中标后需在签订合同之日起15个日历天完成，项目前期与施工期的整体服务需保障。同时要根据场地情况，按照施工图纸进行预算，有可能会根据实际情况进行反复修改，供应商项目负责人要24小时与我单位工作人员保持联系畅通；需配合建设单位完成工程造价备案。</w:t>
      </w:r>
    </w:p>
    <w:p w14:paraId="15DFB97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 w:hAnsi="仿宋" w:eastAsia="仿宋" w:cs="仿宋"/>
          <w:color w:val="auto"/>
          <w:sz w:val="32"/>
          <w:szCs w:val="32"/>
          <w:shd w:val="clear" w:color="auto" w:fill="auto"/>
          <w:lang w:val="en-US" w:eastAsia="zh-CN"/>
        </w:rPr>
      </w:pPr>
      <w:r>
        <w:rPr>
          <w:rFonts w:hint="eastAsia" w:ascii="仿宋" w:hAnsi="仿宋" w:eastAsia="仿宋" w:cs="仿宋"/>
          <w:color w:val="auto"/>
          <w:sz w:val="32"/>
          <w:szCs w:val="32"/>
          <w:shd w:val="clear" w:color="auto" w:fill="auto"/>
          <w:lang w:val="en-US" w:eastAsia="zh-CN"/>
        </w:rPr>
        <w:t>6.施工图完成后，中标单位需配合设计单位进行</w:t>
      </w:r>
      <w:r>
        <w:rPr>
          <w:rFonts w:ascii="仿宋_GB2312" w:hAnsi="仿宋_GB2312" w:eastAsia="仿宋_GB2312" w:cs="仿宋_GB2312"/>
          <w:kern w:val="2"/>
          <w:sz w:val="30"/>
          <w:szCs w:val="30"/>
          <w:lang w:bidi="ar-SA"/>
        </w:rPr>
        <w:t>工程量清单、招标控制价</w:t>
      </w:r>
      <w:r>
        <w:rPr>
          <w:rFonts w:hint="eastAsia" w:ascii="仿宋_GB2312" w:hAnsi="仿宋_GB2312" w:eastAsia="仿宋_GB2312" w:cs="仿宋_GB2312"/>
          <w:kern w:val="2"/>
          <w:sz w:val="30"/>
          <w:szCs w:val="30"/>
          <w:lang w:val="en-US" w:eastAsia="zh-CN" w:bidi="ar-SA"/>
        </w:rPr>
        <w:t>编制</w:t>
      </w:r>
      <w:r>
        <w:rPr>
          <w:rFonts w:hint="eastAsia" w:ascii="仿宋" w:hAnsi="仿宋" w:eastAsia="仿宋" w:cs="仿宋"/>
          <w:color w:val="auto"/>
          <w:sz w:val="32"/>
          <w:szCs w:val="32"/>
          <w:shd w:val="clear" w:color="auto" w:fill="auto"/>
          <w:lang w:val="en-US" w:eastAsia="zh-CN"/>
        </w:rPr>
        <w:t>。</w:t>
      </w:r>
    </w:p>
    <w:p w14:paraId="2192D410">
      <w:pPr>
        <w:keepNext w:val="0"/>
        <w:keepLines w:val="0"/>
        <w:pageBreakBefore w:val="0"/>
        <w:widowControl w:val="0"/>
        <w:kinsoku/>
        <w:wordWrap/>
        <w:overflowPunct/>
        <w:topLinePunct w:val="0"/>
        <w:autoSpaceDE/>
        <w:autoSpaceDN/>
        <w:bidi w:val="0"/>
        <w:adjustRightInd/>
        <w:snapToGrid/>
        <w:spacing w:line="540" w:lineRule="exact"/>
        <w:ind w:firstLine="645"/>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7.付款方式：乙方向甲方提交项目</w:t>
      </w:r>
      <w:r>
        <w:rPr>
          <w:rFonts w:ascii="仿宋_GB2312" w:hAnsi="仿宋_GB2312" w:eastAsia="仿宋_GB2312" w:cs="仿宋_GB2312"/>
          <w:kern w:val="2"/>
          <w:sz w:val="30"/>
          <w:szCs w:val="30"/>
          <w:lang w:bidi="ar-SA"/>
        </w:rPr>
        <w:t>工程量清单、招标控制价</w:t>
      </w:r>
      <w:r>
        <w:rPr>
          <w:rFonts w:hint="eastAsia" w:ascii="仿宋_GB2312" w:hAnsi="仿宋_GB2312" w:eastAsia="仿宋_GB2312" w:cs="仿宋_GB2312"/>
          <w:kern w:val="2"/>
          <w:sz w:val="30"/>
          <w:szCs w:val="30"/>
          <w:lang w:val="en-US" w:eastAsia="zh-CN" w:bidi="ar-SA"/>
        </w:rPr>
        <w:t>编制</w:t>
      </w:r>
      <w:r>
        <w:rPr>
          <w:rFonts w:hint="eastAsia" w:ascii="仿宋_GB2312" w:hAnsi="仿宋_GB2312" w:eastAsia="仿宋_GB2312" w:cs="仿宋_GB2312"/>
          <w:color w:val="auto"/>
          <w:sz w:val="32"/>
          <w:szCs w:val="32"/>
          <w:lang w:val="en-US" w:eastAsia="zh-CN"/>
        </w:rPr>
        <w:t>并完成项目招投标工作后，甲方向乙方一次性支付编制费全款。</w:t>
      </w:r>
    </w:p>
    <w:p w14:paraId="1B5D90FD">
      <w:pPr>
        <w:keepNext w:val="0"/>
        <w:keepLines w:val="0"/>
        <w:pageBreakBefore w:val="0"/>
        <w:widowControl w:val="0"/>
        <w:kinsoku/>
        <w:wordWrap/>
        <w:overflowPunct/>
        <w:topLinePunct w:val="0"/>
        <w:autoSpaceDE/>
        <w:autoSpaceDN/>
        <w:bidi w:val="0"/>
        <w:adjustRightInd/>
        <w:snapToGrid/>
        <w:spacing w:line="540" w:lineRule="exact"/>
        <w:ind w:firstLine="645"/>
        <w:textAlignment w:val="auto"/>
        <w:rPr>
          <w:rFonts w:hint="eastAsia" w:ascii="仿宋_GB2312" w:hAnsi="仿宋_GB2312" w:eastAsia="仿宋_GB2312" w:cs="仿宋_GB2312"/>
          <w:color w:val="auto"/>
          <w:sz w:val="32"/>
          <w:szCs w:val="32"/>
          <w:lang w:val="zh-TW" w:eastAsia="zh-CN"/>
        </w:rPr>
      </w:pP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lang w:val="zh-TW" w:eastAsia="zh-TW"/>
        </w:rPr>
        <w:t>交货地点：</w:t>
      </w:r>
      <w:r>
        <w:rPr>
          <w:rFonts w:hint="eastAsia" w:ascii="仿宋_GB2312" w:hAnsi="仿宋_GB2312" w:eastAsia="仿宋_GB2312" w:cs="仿宋_GB2312"/>
          <w:color w:val="auto"/>
          <w:sz w:val="32"/>
          <w:szCs w:val="32"/>
          <w:lang w:val="zh-TW" w:eastAsia="zh-CN"/>
        </w:rPr>
        <w:t>塔里木大学</w:t>
      </w:r>
    </w:p>
    <w:p w14:paraId="0E0701CC">
      <w:pPr>
        <w:keepNext w:val="0"/>
        <w:keepLines w:val="0"/>
        <w:pageBreakBefore w:val="0"/>
        <w:widowControl w:val="0"/>
        <w:kinsoku/>
        <w:wordWrap/>
        <w:overflowPunct/>
        <w:topLinePunct w:val="0"/>
        <w:autoSpaceDE/>
        <w:autoSpaceDN/>
        <w:bidi w:val="0"/>
        <w:adjustRightInd/>
        <w:snapToGrid/>
        <w:spacing w:line="540" w:lineRule="exact"/>
        <w:ind w:firstLine="645"/>
        <w:textAlignment w:val="auto"/>
        <w:rPr>
          <w:rFonts w:hint="default" w:ascii="仿宋_GB2312" w:hAnsi="仿宋_GB2312" w:eastAsia="仿宋_GB2312" w:cs="仿宋_GB2312"/>
          <w:b/>
          <w:bCs/>
          <w:color w:val="auto"/>
          <w:sz w:val="32"/>
          <w:szCs w:val="32"/>
          <w:lang w:val="en-US" w:eastAsia="zh-CN"/>
        </w:rPr>
      </w:pP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b/>
          <w:bCs/>
          <w:color w:val="auto"/>
          <w:sz w:val="32"/>
          <w:szCs w:val="32"/>
          <w:lang w:val="en-US" w:eastAsia="zh-CN"/>
        </w:rPr>
        <w:t>需提供工期承诺函及违约责任书并加盖企业公章，明确违约责任。</w:t>
      </w:r>
    </w:p>
    <w:bookmarkEnd w:id="3"/>
    <w:p w14:paraId="57EB405F">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eastAsia="zh-TW"/>
        </w:rPr>
      </w:pPr>
      <w:r>
        <w:rPr>
          <w:rFonts w:hint="eastAsia" w:ascii="仿宋" w:hAnsi="仿宋" w:eastAsia="仿宋"/>
          <w:sz w:val="32"/>
          <w:szCs w:val="32"/>
          <w:lang w:val="zh-TW" w:eastAsia="zh-TW"/>
        </w:rPr>
        <w:t>【注】如为实质性条款，请在每项条款后注明，并写明实质性条款理由。</w:t>
      </w:r>
    </w:p>
    <w:p w14:paraId="1A4FBB45">
      <w:pPr>
        <w:keepNext w:val="0"/>
        <w:keepLines w:val="0"/>
        <w:pageBreakBefore w:val="0"/>
        <w:kinsoku/>
        <w:wordWrap/>
        <w:overflowPunct/>
        <w:topLinePunct w:val="0"/>
        <w:autoSpaceDE/>
        <w:autoSpaceDN/>
        <w:bidi w:val="0"/>
        <w:adjustRightInd/>
        <w:snapToGrid w:val="0"/>
        <w:spacing w:line="360" w:lineRule="exact"/>
        <w:ind w:firstLine="562" w:firstLineChars="200"/>
        <w:textAlignment w:val="auto"/>
        <w:rPr>
          <w:rFonts w:ascii="仿宋" w:hAnsi="仿宋" w:eastAsia="仿宋"/>
          <w:b/>
          <w:sz w:val="28"/>
          <w:szCs w:val="28"/>
          <w:lang w:val="zh-TW" w:eastAsia="zh-TW"/>
        </w:rPr>
      </w:pPr>
      <w:r>
        <w:rPr>
          <w:rFonts w:hint="eastAsia" w:ascii="仿宋" w:hAnsi="仿宋" w:eastAsia="仿宋"/>
          <w:b/>
          <w:sz w:val="28"/>
          <w:szCs w:val="28"/>
          <w:lang w:val="zh-TW" w:eastAsia="zh-TW"/>
        </w:rPr>
        <w:t>三、技术需求</w:t>
      </w:r>
    </w:p>
    <w:p w14:paraId="02C4BB52">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eastAsia="zh-TW"/>
        </w:rPr>
      </w:pPr>
      <w:r>
        <w:rPr>
          <w:rFonts w:hint="eastAsia" w:ascii="仿宋" w:hAnsi="仿宋" w:eastAsia="仿宋"/>
          <w:sz w:val="32"/>
          <w:szCs w:val="32"/>
          <w:lang w:val="zh-TW"/>
        </w:rPr>
        <w:t>（1）</w:t>
      </w:r>
      <w:r>
        <w:rPr>
          <w:rFonts w:hint="eastAsia" w:ascii="仿宋" w:hAnsi="仿宋" w:eastAsia="仿宋"/>
          <w:sz w:val="32"/>
          <w:szCs w:val="32"/>
          <w:lang w:val="zh-TW" w:eastAsia="zh-TW"/>
        </w:rPr>
        <w:t>釆购明细名称、数量</w:t>
      </w:r>
    </w:p>
    <w:p w14:paraId="7E1B1D7F">
      <w:pPr>
        <w:keepNext w:val="0"/>
        <w:keepLines w:val="0"/>
        <w:pageBreakBefore w:val="0"/>
        <w:kinsoku/>
        <w:wordWrap/>
        <w:overflowPunct/>
        <w:topLinePunct w:val="0"/>
        <w:autoSpaceDE/>
        <w:autoSpaceDN/>
        <w:bidi w:val="0"/>
        <w:adjustRightInd/>
        <w:snapToGrid w:val="0"/>
        <w:spacing w:line="360" w:lineRule="exact"/>
        <w:ind w:firstLine="640" w:firstLineChars="200"/>
        <w:textAlignment w:val="auto"/>
        <w:rPr>
          <w:rFonts w:ascii="仿宋" w:hAnsi="仿宋" w:eastAsia="仿宋"/>
          <w:sz w:val="32"/>
          <w:szCs w:val="32"/>
          <w:lang w:val="zh-TW"/>
        </w:rPr>
      </w:pPr>
      <w:r>
        <w:rPr>
          <w:rFonts w:hint="eastAsia" w:ascii="仿宋" w:hAnsi="仿宋" w:eastAsia="仿宋"/>
          <w:sz w:val="32"/>
          <w:szCs w:val="32"/>
          <w:lang w:val="zh-TW"/>
        </w:rPr>
        <w:t>（2）拟购仪器设备类明细表</w:t>
      </w:r>
    </w:p>
    <w:p w14:paraId="2F144422">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tbl>
      <w:tblPr>
        <w:tblStyle w:val="3"/>
        <w:tblW w:w="494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6"/>
        <w:gridCol w:w="2125"/>
        <w:gridCol w:w="2411"/>
        <w:gridCol w:w="863"/>
        <w:gridCol w:w="826"/>
        <w:gridCol w:w="1437"/>
        <w:gridCol w:w="1144"/>
      </w:tblGrid>
      <w:tr w14:paraId="53089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exact"/>
        </w:trPr>
        <w:tc>
          <w:tcPr>
            <w:tcW w:w="485" w:type="pct"/>
            <w:noWrap w:val="0"/>
            <w:vAlign w:val="center"/>
          </w:tcPr>
          <w:p w14:paraId="6B1F0C9C">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序号</w:t>
            </w:r>
          </w:p>
        </w:tc>
        <w:tc>
          <w:tcPr>
            <w:tcW w:w="1089" w:type="pct"/>
            <w:noWrap w:val="0"/>
            <w:vAlign w:val="center"/>
          </w:tcPr>
          <w:p w14:paraId="41A34498">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名称</w:t>
            </w:r>
          </w:p>
        </w:tc>
        <w:tc>
          <w:tcPr>
            <w:tcW w:w="1235" w:type="pct"/>
            <w:noWrap w:val="0"/>
            <w:vAlign w:val="center"/>
          </w:tcPr>
          <w:p w14:paraId="66DE516C">
            <w:pPr>
              <w:keepNext w:val="0"/>
              <w:keepLines w:val="0"/>
              <w:pageBreakBefore w:val="0"/>
              <w:widowControl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b/>
                <w:bCs/>
                <w:sz w:val="24"/>
                <w:szCs w:val="24"/>
                <w:lang w:val="zh-TW" w:eastAsia="zh-CN"/>
              </w:rPr>
            </w:pPr>
            <w:r>
              <w:rPr>
                <w:rFonts w:hint="eastAsia" w:ascii="仿宋" w:hAnsi="仿宋" w:eastAsia="仿宋"/>
                <w:b/>
                <w:bCs/>
                <w:sz w:val="24"/>
                <w:szCs w:val="24"/>
                <w:lang w:val="zh-TW" w:eastAsia="zh-CN"/>
              </w:rPr>
              <w:t>服务要求</w:t>
            </w:r>
          </w:p>
        </w:tc>
        <w:tc>
          <w:tcPr>
            <w:tcW w:w="442" w:type="pct"/>
            <w:noWrap w:val="0"/>
            <w:vAlign w:val="center"/>
          </w:tcPr>
          <w:p w14:paraId="75BAFC7E">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zh-TW"/>
              </w:rPr>
              <w:t>数量</w:t>
            </w:r>
          </w:p>
        </w:tc>
        <w:tc>
          <w:tcPr>
            <w:tcW w:w="423" w:type="pct"/>
            <w:noWrap w:val="0"/>
            <w:vAlign w:val="center"/>
          </w:tcPr>
          <w:p w14:paraId="7DC2D482">
            <w:pPr>
              <w:keepNext w:val="0"/>
              <w:keepLines w:val="0"/>
              <w:pageBreakBefore w:val="0"/>
              <w:widowControl/>
              <w:kinsoku/>
              <w:wordWrap/>
              <w:overflowPunct/>
              <w:topLinePunct w:val="0"/>
              <w:autoSpaceDE/>
              <w:autoSpaceDN/>
              <w:bidi w:val="0"/>
              <w:adjustRightInd/>
              <w:spacing w:line="240" w:lineRule="auto"/>
              <w:ind w:left="0"/>
              <w:jc w:val="center"/>
              <w:textAlignment w:val="auto"/>
              <w:rPr>
                <w:rFonts w:ascii="仿宋" w:hAnsi="仿宋" w:eastAsia="仿宋"/>
                <w:b/>
                <w:bCs/>
                <w:sz w:val="24"/>
                <w:szCs w:val="24"/>
                <w:lang w:val="zh-TW"/>
              </w:rPr>
            </w:pPr>
            <w:r>
              <w:rPr>
                <w:rFonts w:hint="eastAsia" w:ascii="仿宋" w:hAnsi="仿宋" w:eastAsia="仿宋"/>
                <w:b/>
                <w:bCs/>
                <w:sz w:val="24"/>
                <w:szCs w:val="24"/>
                <w:lang w:val="en-US" w:eastAsia="zh-CN"/>
              </w:rPr>
              <w:t>单位</w:t>
            </w:r>
          </w:p>
        </w:tc>
        <w:tc>
          <w:tcPr>
            <w:tcW w:w="736" w:type="pct"/>
            <w:noWrap w:val="0"/>
            <w:vAlign w:val="center"/>
          </w:tcPr>
          <w:p w14:paraId="30743454">
            <w:pPr>
              <w:keepNext w:val="0"/>
              <w:keepLines w:val="0"/>
              <w:pageBreakBefore w:val="0"/>
              <w:widowControl/>
              <w:kinsoku/>
              <w:wordWrap/>
              <w:overflowPunct/>
              <w:topLinePunct w:val="0"/>
              <w:autoSpaceDE/>
              <w:autoSpaceDN/>
              <w:bidi w:val="0"/>
              <w:adjustRightInd/>
              <w:spacing w:line="240" w:lineRule="auto"/>
              <w:ind w:left="0"/>
              <w:jc w:val="center"/>
              <w:textAlignment w:val="auto"/>
              <w:rPr>
                <w:rFonts w:hint="eastAsia" w:ascii="仿宋" w:hAnsi="仿宋" w:eastAsia="仿宋"/>
                <w:b/>
                <w:bCs/>
                <w:sz w:val="24"/>
                <w:szCs w:val="24"/>
                <w:lang w:val="en-US" w:eastAsia="zh-CN"/>
              </w:rPr>
            </w:pPr>
            <w:r>
              <w:rPr>
                <w:rFonts w:hint="eastAsia" w:ascii="仿宋" w:hAnsi="仿宋" w:eastAsia="仿宋"/>
                <w:b/>
                <w:bCs/>
                <w:sz w:val="24"/>
                <w:szCs w:val="24"/>
                <w:lang w:val="en-US" w:eastAsia="zh-CN"/>
              </w:rPr>
              <w:t>单项期望总价/万元</w:t>
            </w:r>
          </w:p>
        </w:tc>
        <w:tc>
          <w:tcPr>
            <w:tcW w:w="586" w:type="pct"/>
            <w:noWrap w:val="0"/>
            <w:vAlign w:val="center"/>
          </w:tcPr>
          <w:p w14:paraId="0F8BADBA">
            <w:pPr>
              <w:keepNext w:val="0"/>
              <w:keepLines w:val="0"/>
              <w:pageBreakBefore w:val="0"/>
              <w:kinsoku/>
              <w:wordWrap/>
              <w:overflowPunct/>
              <w:topLinePunct w:val="0"/>
              <w:autoSpaceDE/>
              <w:autoSpaceDN/>
              <w:bidi w:val="0"/>
              <w:adjustRightInd/>
              <w:snapToGrid w:val="0"/>
              <w:spacing w:line="240" w:lineRule="auto"/>
              <w:ind w:left="0"/>
              <w:jc w:val="center"/>
              <w:textAlignment w:val="auto"/>
              <w:rPr>
                <w:rFonts w:hint="eastAsia" w:ascii="仿宋" w:hAnsi="仿宋" w:eastAsia="仿宋"/>
                <w:b/>
                <w:bCs/>
                <w:sz w:val="24"/>
                <w:szCs w:val="24"/>
                <w:lang w:val="en-US" w:eastAsia="zh-CN"/>
              </w:rPr>
            </w:pPr>
            <w:r>
              <w:rPr>
                <w:rFonts w:hint="eastAsia" w:ascii="仿宋" w:hAnsi="仿宋" w:eastAsia="仿宋"/>
                <w:b/>
                <w:bCs/>
                <w:sz w:val="24"/>
                <w:szCs w:val="24"/>
                <w:lang w:val="en-US" w:eastAsia="zh-CN"/>
              </w:rPr>
              <w:t>备注</w:t>
            </w:r>
          </w:p>
        </w:tc>
      </w:tr>
      <w:tr w14:paraId="39490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485" w:type="pct"/>
            <w:noWrap w:val="0"/>
            <w:vAlign w:val="center"/>
          </w:tcPr>
          <w:p w14:paraId="448EF834">
            <w:pPr>
              <w:widowControl/>
              <w:jc w:val="center"/>
              <w:rPr>
                <w:rFonts w:hint="eastAsia" w:ascii="宋体" w:hAnsi="宋体" w:eastAsia="宋体" w:cs="宋体"/>
                <w:szCs w:val="21"/>
                <w:lang w:val="zh-TW"/>
              </w:rPr>
            </w:pPr>
            <w:r>
              <w:rPr>
                <w:rFonts w:hint="eastAsia" w:ascii="仿宋_GB2312" w:hAnsi="宋体" w:eastAsia="仿宋_GB2312"/>
                <w:kern w:val="0"/>
                <w:szCs w:val="21"/>
                <w:lang w:val="en-US" w:eastAsia="zh-CN"/>
              </w:rPr>
              <w:t>1</w:t>
            </w:r>
          </w:p>
        </w:tc>
        <w:tc>
          <w:tcPr>
            <w:tcW w:w="1089" w:type="pct"/>
            <w:shd w:val="clear" w:color="auto" w:fill="auto"/>
            <w:noWrap w:val="0"/>
            <w:vAlign w:val="center"/>
          </w:tcPr>
          <w:p w14:paraId="70C0FD4E">
            <w:pPr>
              <w:widowControl/>
              <w:spacing w:line="240" w:lineRule="exact"/>
              <w:jc w:val="center"/>
              <w:rPr>
                <w:rFonts w:hint="eastAsia" w:ascii="宋体" w:hAnsi="宋体" w:eastAsia="宋体" w:cs="宋体"/>
                <w:kern w:val="2"/>
                <w:sz w:val="21"/>
                <w:szCs w:val="21"/>
                <w:lang w:val="en-US" w:eastAsia="zh-CN" w:bidi="ar-SA"/>
              </w:rPr>
            </w:pPr>
            <w:r>
              <w:rPr>
                <w:rFonts w:hint="eastAsia" w:ascii="仿宋_GB2312" w:hAnsi="宋体" w:eastAsia="仿宋_GB2312" w:cs="Times New Roman"/>
                <w:kern w:val="0"/>
                <w:szCs w:val="21"/>
                <w:lang w:val="en-US" w:eastAsia="zh-CN"/>
              </w:rPr>
              <w:t>工程量清单、招标控制价编制</w:t>
            </w:r>
          </w:p>
        </w:tc>
        <w:tc>
          <w:tcPr>
            <w:tcW w:w="1235" w:type="pct"/>
            <w:shd w:val="clear" w:color="auto" w:fill="auto"/>
            <w:noWrap w:val="0"/>
            <w:vAlign w:val="center"/>
          </w:tcPr>
          <w:p w14:paraId="7CA2EBE8">
            <w:pPr>
              <w:widowControl/>
              <w:spacing w:line="240" w:lineRule="exact"/>
              <w:jc w:val="center"/>
              <w:rPr>
                <w:rFonts w:hint="eastAsia" w:ascii="宋体" w:hAnsi="宋体" w:eastAsia="宋体" w:cs="宋体"/>
                <w:kern w:val="2"/>
                <w:sz w:val="21"/>
                <w:szCs w:val="21"/>
                <w:lang w:val="zh-TW" w:eastAsia="zh-CN" w:bidi="ar-SA"/>
              </w:rPr>
            </w:pPr>
            <w:r>
              <w:rPr>
                <w:rFonts w:hint="eastAsia" w:ascii="仿宋_GB2312" w:hAnsi="宋体" w:eastAsia="仿宋_GB2312" w:cs="Times New Roman"/>
                <w:kern w:val="0"/>
                <w:szCs w:val="21"/>
                <w:lang w:val="en-US" w:eastAsia="zh-CN"/>
              </w:rPr>
              <w:t>程量清单、招标控制价编制等咨询工作</w:t>
            </w:r>
          </w:p>
        </w:tc>
        <w:tc>
          <w:tcPr>
            <w:tcW w:w="442" w:type="pct"/>
            <w:noWrap w:val="0"/>
            <w:vAlign w:val="center"/>
          </w:tcPr>
          <w:p w14:paraId="63225582">
            <w:pPr>
              <w:widowControl/>
              <w:spacing w:line="24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1</w:t>
            </w:r>
          </w:p>
        </w:tc>
        <w:tc>
          <w:tcPr>
            <w:tcW w:w="423" w:type="pct"/>
            <w:noWrap w:val="0"/>
            <w:vAlign w:val="center"/>
          </w:tcPr>
          <w:p w14:paraId="25857BDD">
            <w:pPr>
              <w:widowControl/>
              <w:spacing w:line="240" w:lineRule="exact"/>
              <w:jc w:val="center"/>
              <w:rPr>
                <w:rFonts w:hint="default" w:ascii="宋体" w:hAnsi="宋体" w:eastAsia="宋体" w:cs="宋体"/>
                <w:szCs w:val="21"/>
                <w:lang w:val="en-US" w:eastAsia="zh-CN"/>
              </w:rPr>
            </w:pPr>
            <w:r>
              <w:rPr>
                <w:rFonts w:hint="eastAsia" w:ascii="宋体" w:hAnsi="宋体" w:eastAsia="宋体" w:cs="宋体"/>
                <w:szCs w:val="21"/>
                <w:lang w:val="en-US" w:eastAsia="zh-CN"/>
              </w:rPr>
              <w:t>项</w:t>
            </w:r>
          </w:p>
        </w:tc>
        <w:tc>
          <w:tcPr>
            <w:tcW w:w="736" w:type="pct"/>
            <w:noWrap w:val="0"/>
            <w:vAlign w:val="center"/>
          </w:tcPr>
          <w:p w14:paraId="1B9ED5B1">
            <w:pPr>
              <w:widowControl/>
              <w:spacing w:line="240" w:lineRule="exact"/>
              <w:jc w:val="center"/>
              <w:rPr>
                <w:rFonts w:hint="default" w:ascii="宋体" w:hAnsi="宋体" w:eastAsia="宋体" w:cs="宋体"/>
                <w:szCs w:val="21"/>
                <w:lang w:val="en-US" w:eastAsia="zh-CN"/>
              </w:rPr>
            </w:pPr>
            <w:r>
              <w:rPr>
                <w:rFonts w:hint="eastAsia" w:ascii="宋体" w:hAnsi="宋体" w:cs="宋体"/>
                <w:szCs w:val="21"/>
                <w:lang w:val="en-US" w:eastAsia="zh-CN"/>
              </w:rPr>
              <w:t>4.5</w:t>
            </w:r>
          </w:p>
        </w:tc>
        <w:tc>
          <w:tcPr>
            <w:tcW w:w="586" w:type="pct"/>
            <w:noWrap w:val="0"/>
            <w:vAlign w:val="center"/>
          </w:tcPr>
          <w:p w14:paraId="583B8A94">
            <w:pPr>
              <w:widowControl/>
              <w:spacing w:line="240" w:lineRule="exact"/>
              <w:jc w:val="center"/>
              <w:rPr>
                <w:rFonts w:hint="default" w:ascii="宋体" w:hAnsi="宋体" w:eastAsia="宋体" w:cs="宋体"/>
                <w:szCs w:val="21"/>
                <w:lang w:val="en-US" w:eastAsia="zh-CN"/>
              </w:rPr>
            </w:pPr>
            <w:r>
              <w:rPr>
                <w:rFonts w:hint="eastAsia" w:ascii="宋体" w:hAnsi="宋体" w:cs="宋体"/>
                <w:szCs w:val="21"/>
                <w:lang w:val="en-US" w:eastAsia="zh-CN"/>
              </w:rPr>
              <w:t>服务类采购</w:t>
            </w:r>
          </w:p>
        </w:tc>
      </w:tr>
      <w:tr w14:paraId="20550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85" w:type="pct"/>
            <w:noWrap w:val="0"/>
            <w:vAlign w:val="center"/>
          </w:tcPr>
          <w:p w14:paraId="5AF2FDCE">
            <w:pPr>
              <w:widowControl/>
              <w:jc w:val="center"/>
              <w:rPr>
                <w:rFonts w:hint="default" w:ascii="仿宋_GB2312" w:hAnsi="宋体" w:eastAsia="仿宋_GB2312"/>
                <w:kern w:val="0"/>
                <w:szCs w:val="21"/>
                <w:lang w:val="en-US" w:eastAsia="zh-CN"/>
              </w:rPr>
            </w:pPr>
          </w:p>
        </w:tc>
        <w:tc>
          <w:tcPr>
            <w:tcW w:w="1089" w:type="pct"/>
            <w:noWrap w:val="0"/>
            <w:vAlign w:val="center"/>
          </w:tcPr>
          <w:p w14:paraId="2346B19F">
            <w:pPr>
              <w:widowControl/>
              <w:spacing w:line="240" w:lineRule="exact"/>
              <w:jc w:val="center"/>
              <w:rPr>
                <w:rFonts w:hint="default" w:ascii="仿宋_GB2312" w:hAnsi="宋体" w:eastAsia="仿宋_GB2312"/>
                <w:kern w:val="0"/>
                <w:szCs w:val="21"/>
                <w:lang w:val="en-US" w:eastAsia="zh-CN"/>
              </w:rPr>
            </w:pPr>
          </w:p>
        </w:tc>
        <w:tc>
          <w:tcPr>
            <w:tcW w:w="1235" w:type="pct"/>
            <w:noWrap w:val="0"/>
            <w:vAlign w:val="center"/>
          </w:tcPr>
          <w:p w14:paraId="38156E58">
            <w:pPr>
              <w:widowControl/>
              <w:spacing w:line="240" w:lineRule="exact"/>
              <w:jc w:val="center"/>
              <w:rPr>
                <w:rFonts w:hint="eastAsia" w:ascii="宋体" w:hAnsi="宋体" w:eastAsia="宋体" w:cs="宋体"/>
                <w:sz w:val="21"/>
                <w:szCs w:val="21"/>
                <w:lang w:val="zh-TW"/>
              </w:rPr>
            </w:pPr>
          </w:p>
        </w:tc>
        <w:tc>
          <w:tcPr>
            <w:tcW w:w="442" w:type="pct"/>
            <w:noWrap w:val="0"/>
            <w:vAlign w:val="center"/>
          </w:tcPr>
          <w:p w14:paraId="3829E33B">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423" w:type="pct"/>
            <w:noWrap w:val="0"/>
            <w:vAlign w:val="center"/>
          </w:tcPr>
          <w:p w14:paraId="4CCD1B6A">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736" w:type="pct"/>
            <w:noWrap w:val="0"/>
            <w:vAlign w:val="center"/>
          </w:tcPr>
          <w:p w14:paraId="552D8416">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default" w:ascii="宋体" w:hAnsi="宋体" w:cs="宋体"/>
                <w:szCs w:val="21"/>
                <w:lang w:val="en-US" w:eastAsia="zh-CN"/>
              </w:rPr>
            </w:pPr>
          </w:p>
        </w:tc>
        <w:tc>
          <w:tcPr>
            <w:tcW w:w="586" w:type="pct"/>
            <w:noWrap w:val="0"/>
            <w:vAlign w:val="center"/>
          </w:tcPr>
          <w:p w14:paraId="75CB5AB5">
            <w:pPr>
              <w:keepNext w:val="0"/>
              <w:keepLines w:val="0"/>
              <w:pageBreakBefore w:val="0"/>
              <w:kinsoku/>
              <w:wordWrap/>
              <w:overflowPunct/>
              <w:topLinePunct w:val="0"/>
              <w:autoSpaceDE/>
              <w:autoSpaceDN/>
              <w:bidi w:val="0"/>
              <w:adjustRightInd/>
              <w:snapToGrid w:val="0"/>
              <w:spacing w:line="240" w:lineRule="auto"/>
              <w:ind w:left="0" w:leftChars="0"/>
              <w:jc w:val="center"/>
              <w:textAlignment w:val="auto"/>
              <w:rPr>
                <w:rFonts w:hint="eastAsia" w:ascii="宋体" w:hAnsi="宋体" w:cs="宋体"/>
                <w:szCs w:val="21"/>
                <w:lang w:val="en-US" w:eastAsia="zh-CN"/>
              </w:rPr>
            </w:pPr>
          </w:p>
        </w:tc>
      </w:tr>
    </w:tbl>
    <w:p w14:paraId="312D29A0">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p w14:paraId="2A564324">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p w14:paraId="25073698">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sz w:val="28"/>
          <w:szCs w:val="28"/>
          <w:lang w:val="zh-TW" w:eastAsia="zh-TW"/>
        </w:rPr>
      </w:pPr>
    </w:p>
    <w:p w14:paraId="539358EE">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32"/>
          <w:szCs w:val="32"/>
          <w:lang w:val="zh-TW"/>
        </w:rPr>
      </w:pPr>
      <w:r>
        <w:rPr>
          <w:rFonts w:hint="eastAsia" w:ascii="仿宋" w:hAnsi="仿宋" w:eastAsia="仿宋"/>
          <w:sz w:val="32"/>
          <w:szCs w:val="32"/>
          <w:lang w:val="zh-TW" w:eastAsia="zh-TW"/>
        </w:rPr>
        <w:t>【注】如为核心参数（实质性要求），请在每项参数后注明，并写明核心参数理由。</w:t>
      </w:r>
      <w:r>
        <w:rPr>
          <w:rFonts w:hint="eastAsia" w:ascii="仿宋" w:hAnsi="仿宋" w:eastAsia="仿宋"/>
          <w:sz w:val="32"/>
          <w:szCs w:val="32"/>
          <w:lang w:val="zh-TW"/>
        </w:rPr>
        <w:t>不得指定品牌厂商。</w:t>
      </w:r>
    </w:p>
    <w:p w14:paraId="41DCC854">
      <w:pPr>
        <w:keepNext w:val="0"/>
        <w:keepLines w:val="0"/>
        <w:pageBreakBefore w:val="0"/>
        <w:widowControl w:val="0"/>
        <w:kinsoku/>
        <w:wordWrap/>
        <w:overflowPunct/>
        <w:topLinePunct w:val="0"/>
        <w:autoSpaceDE/>
        <w:autoSpaceDN/>
        <w:bidi w:val="0"/>
        <w:adjustRightInd/>
        <w:snapToGrid w:val="0"/>
        <w:spacing w:line="360" w:lineRule="exact"/>
        <w:ind w:firstLine="640" w:firstLineChars="200"/>
        <w:textAlignment w:val="auto"/>
        <w:rPr>
          <w:rFonts w:hint="eastAsia" w:ascii="仿宋" w:hAnsi="仿宋" w:eastAsia="仿宋"/>
          <w:sz w:val="32"/>
          <w:szCs w:val="32"/>
          <w:lang w:val="zh-TW"/>
        </w:rPr>
      </w:pPr>
    </w:p>
    <w:p w14:paraId="73DB7833">
      <w:pPr>
        <w:keepNext w:val="0"/>
        <w:keepLines w:val="0"/>
        <w:pageBreakBefore w:val="0"/>
        <w:widowControl w:val="0"/>
        <w:numPr>
          <w:ilvl w:val="0"/>
          <w:numId w:val="3"/>
        </w:numPr>
        <w:kinsoku/>
        <w:wordWrap/>
        <w:overflowPunct/>
        <w:topLinePunct w:val="0"/>
        <w:autoSpaceDE/>
        <w:autoSpaceDN/>
        <w:bidi w:val="0"/>
        <w:adjustRightInd/>
        <w:snapToGrid w:val="0"/>
        <w:spacing w:line="360" w:lineRule="exact"/>
        <w:ind w:firstLine="562" w:firstLineChars="200"/>
        <w:textAlignment w:val="auto"/>
        <w:rPr>
          <w:rFonts w:hint="eastAsia" w:ascii="仿宋" w:hAnsi="仿宋" w:eastAsia="仿宋"/>
          <w:b/>
          <w:sz w:val="28"/>
          <w:szCs w:val="28"/>
          <w:lang w:val="zh-TW" w:eastAsia="zh-TW"/>
        </w:rPr>
      </w:pPr>
      <w:r>
        <w:rPr>
          <w:rFonts w:hint="eastAsia" w:ascii="仿宋" w:hAnsi="仿宋" w:eastAsia="仿宋"/>
          <w:b/>
          <w:sz w:val="28"/>
          <w:szCs w:val="28"/>
          <w:lang w:val="zh-TW" w:eastAsia="zh-TW"/>
        </w:rPr>
        <w:t>其他需求</w:t>
      </w:r>
    </w:p>
    <w:p w14:paraId="5468CB96">
      <w:pPr>
        <w:keepNext w:val="0"/>
        <w:keepLines w:val="0"/>
        <w:pageBreakBefore w:val="0"/>
        <w:widowControl w:val="0"/>
        <w:kinsoku/>
        <w:wordWrap/>
        <w:overflowPunct/>
        <w:topLinePunct w:val="0"/>
        <w:autoSpaceDE/>
        <w:autoSpaceDN/>
        <w:bidi w:val="0"/>
        <w:adjustRightInd/>
        <w:snapToGrid w:val="0"/>
        <w:spacing w:line="360" w:lineRule="exact"/>
        <w:ind w:firstLine="560" w:firstLineChars="200"/>
        <w:textAlignment w:val="auto"/>
        <w:rPr>
          <w:rFonts w:hint="eastAsia" w:ascii="仿宋" w:hAnsi="仿宋" w:eastAsia="仿宋" w:cs="Times New Roman"/>
          <w:sz w:val="28"/>
          <w:szCs w:val="28"/>
          <w:lang w:val="zh-TW" w:eastAsia="zh-TW"/>
        </w:rPr>
      </w:pPr>
      <w:r>
        <w:rPr>
          <w:rFonts w:hint="eastAsia" w:ascii="仿宋" w:hAnsi="仿宋" w:eastAsia="仿宋" w:cs="Times New Roman"/>
          <w:sz w:val="28"/>
          <w:szCs w:val="28"/>
          <w:lang w:val="en-US" w:eastAsia="zh-CN"/>
        </w:rPr>
        <w:t>特定资格：需提供近两年内与本项目类似的工程控制价报告或清单编制的盖章封面。提供有效期内中国造价协会信用等级A级及以上的证明截图。</w:t>
      </w:r>
    </w:p>
    <w:p w14:paraId="7A84C672">
      <w:pPr>
        <w:keepNext w:val="0"/>
        <w:keepLines w:val="0"/>
        <w:pageBreakBefore w:val="0"/>
        <w:widowControl w:val="0"/>
        <w:numPr>
          <w:ilvl w:val="0"/>
          <w:numId w:val="0"/>
        </w:numPr>
        <w:kinsoku/>
        <w:wordWrap/>
        <w:overflowPunct/>
        <w:topLinePunct w:val="0"/>
        <w:autoSpaceDE/>
        <w:autoSpaceDN/>
        <w:bidi w:val="0"/>
        <w:adjustRightInd/>
        <w:snapToGrid w:val="0"/>
        <w:spacing w:line="360" w:lineRule="exact"/>
        <w:textAlignment w:val="auto"/>
        <w:rPr>
          <w:rFonts w:hint="eastAsia" w:ascii="仿宋" w:hAnsi="仿宋" w:eastAsia="仿宋"/>
          <w:b/>
          <w:sz w:val="28"/>
          <w:szCs w:val="28"/>
          <w:lang w:val="zh-TW" w:eastAsia="zh-TW"/>
        </w:rPr>
      </w:pPr>
    </w:p>
    <w:p w14:paraId="0B5F542B">
      <w:pPr>
        <w:keepNext w:val="0"/>
        <w:keepLines w:val="0"/>
        <w:pageBreakBefore w:val="0"/>
        <w:widowControl w:val="0"/>
        <w:kinsoku/>
        <w:wordWrap/>
        <w:overflowPunct/>
        <w:topLinePunct w:val="0"/>
        <w:autoSpaceDE/>
        <w:autoSpaceDN/>
        <w:bidi w:val="0"/>
        <w:adjustRightInd/>
        <w:snapToGrid w:val="0"/>
        <w:spacing w:line="360" w:lineRule="exact"/>
        <w:ind w:firstLine="3360" w:firstLineChars="1200"/>
        <w:textAlignment w:val="auto"/>
        <w:rPr>
          <w:rFonts w:hint="eastAsia" w:ascii="仿宋" w:hAnsi="仿宋" w:eastAsia="仿宋"/>
          <w:sz w:val="28"/>
          <w:szCs w:val="28"/>
          <w:lang w:val="zh-TW" w:eastAsia="zh-TW"/>
        </w:rPr>
      </w:pPr>
      <w:r>
        <w:rPr>
          <w:rFonts w:hint="eastAsia" w:ascii="仿宋" w:hAnsi="仿宋" w:eastAsia="仿宋"/>
          <w:sz w:val="28"/>
          <w:szCs w:val="28"/>
          <w:lang w:val="zh-TW"/>
        </w:rPr>
        <w:t>填报人：             填报日期：</w:t>
      </w:r>
    </w:p>
    <w:p w14:paraId="4C62AAF8">
      <w:bookmarkStart w:id="4" w:name="_GoBack"/>
      <w:bookmarkEnd w:id="4"/>
    </w:p>
    <w:sectPr>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D945D0"/>
    <w:multiLevelType w:val="singleLevel"/>
    <w:tmpl w:val="96D945D0"/>
    <w:lvl w:ilvl="0" w:tentative="0">
      <w:start w:val="1"/>
      <w:numFmt w:val="decimal"/>
      <w:suff w:val="nothing"/>
      <w:lvlText w:val="（%1）"/>
      <w:lvlJc w:val="left"/>
    </w:lvl>
  </w:abstractNum>
  <w:abstractNum w:abstractNumId="1">
    <w:nsid w:val="9A301307"/>
    <w:multiLevelType w:val="singleLevel"/>
    <w:tmpl w:val="9A301307"/>
    <w:lvl w:ilvl="0" w:tentative="0">
      <w:start w:val="1"/>
      <w:numFmt w:val="chineseCounting"/>
      <w:suff w:val="nothing"/>
      <w:lvlText w:val="%1、"/>
      <w:lvlJc w:val="left"/>
      <w:rPr>
        <w:rFonts w:hint="eastAsia"/>
      </w:rPr>
    </w:lvl>
  </w:abstractNum>
  <w:abstractNum w:abstractNumId="2">
    <w:nsid w:val="D3FDF7CC"/>
    <w:multiLevelType w:val="singleLevel"/>
    <w:tmpl w:val="D3FDF7CC"/>
    <w:lvl w:ilvl="0" w:tentative="0">
      <w:start w:val="4"/>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0YThjNGE3YWMwMDc2OTg1ZDMxNDI1YjFhZmJlNjEifQ=="/>
  </w:docVars>
  <w:rsids>
    <w:rsidRoot w:val="78916A74"/>
    <w:rsid w:val="00B5443F"/>
    <w:rsid w:val="00B92181"/>
    <w:rsid w:val="00BF00D9"/>
    <w:rsid w:val="01311D17"/>
    <w:rsid w:val="02295A49"/>
    <w:rsid w:val="02840E7C"/>
    <w:rsid w:val="02BE1282"/>
    <w:rsid w:val="0368705F"/>
    <w:rsid w:val="03716D43"/>
    <w:rsid w:val="03CA0201"/>
    <w:rsid w:val="04414497"/>
    <w:rsid w:val="044E0E32"/>
    <w:rsid w:val="04722D72"/>
    <w:rsid w:val="0577438B"/>
    <w:rsid w:val="06020126"/>
    <w:rsid w:val="06277D15"/>
    <w:rsid w:val="06AE0FE1"/>
    <w:rsid w:val="06C673A5"/>
    <w:rsid w:val="06F2019A"/>
    <w:rsid w:val="07A8122F"/>
    <w:rsid w:val="08A13C26"/>
    <w:rsid w:val="08A32C6C"/>
    <w:rsid w:val="08C6368D"/>
    <w:rsid w:val="08DA2C94"/>
    <w:rsid w:val="09370D0F"/>
    <w:rsid w:val="098E3A7F"/>
    <w:rsid w:val="09A82D92"/>
    <w:rsid w:val="09D05AAE"/>
    <w:rsid w:val="0B260413"/>
    <w:rsid w:val="0BCA5242"/>
    <w:rsid w:val="0BD53BE7"/>
    <w:rsid w:val="0C175FAD"/>
    <w:rsid w:val="0C5502A8"/>
    <w:rsid w:val="0C9B273A"/>
    <w:rsid w:val="0D166865"/>
    <w:rsid w:val="0E0564DC"/>
    <w:rsid w:val="0EE228A3"/>
    <w:rsid w:val="0F1838CF"/>
    <w:rsid w:val="0F1B7B63"/>
    <w:rsid w:val="0F4946D0"/>
    <w:rsid w:val="105C1B48"/>
    <w:rsid w:val="10606175"/>
    <w:rsid w:val="107C6D27"/>
    <w:rsid w:val="11551A52"/>
    <w:rsid w:val="116C28F7"/>
    <w:rsid w:val="12415B32"/>
    <w:rsid w:val="12B207DE"/>
    <w:rsid w:val="1351449B"/>
    <w:rsid w:val="14382F65"/>
    <w:rsid w:val="150871F5"/>
    <w:rsid w:val="15A9236C"/>
    <w:rsid w:val="16315EBE"/>
    <w:rsid w:val="16534086"/>
    <w:rsid w:val="171B662C"/>
    <w:rsid w:val="1732013F"/>
    <w:rsid w:val="17960DDE"/>
    <w:rsid w:val="17C27715"/>
    <w:rsid w:val="188D1AD1"/>
    <w:rsid w:val="192F7FCD"/>
    <w:rsid w:val="19C81275"/>
    <w:rsid w:val="1AFF5284"/>
    <w:rsid w:val="1B9A62B3"/>
    <w:rsid w:val="1BB630ED"/>
    <w:rsid w:val="1CDC4DD5"/>
    <w:rsid w:val="1D1722B1"/>
    <w:rsid w:val="1D943902"/>
    <w:rsid w:val="1DFF2C56"/>
    <w:rsid w:val="1E6A6384"/>
    <w:rsid w:val="1FAB0A8F"/>
    <w:rsid w:val="202D70F2"/>
    <w:rsid w:val="21025026"/>
    <w:rsid w:val="2118025B"/>
    <w:rsid w:val="216D6944"/>
    <w:rsid w:val="21C422DC"/>
    <w:rsid w:val="2237586F"/>
    <w:rsid w:val="22387A21"/>
    <w:rsid w:val="22DA1DB7"/>
    <w:rsid w:val="231D7EF5"/>
    <w:rsid w:val="234F5BD5"/>
    <w:rsid w:val="23563407"/>
    <w:rsid w:val="237D267E"/>
    <w:rsid w:val="23AA2D8F"/>
    <w:rsid w:val="23D42CAA"/>
    <w:rsid w:val="24B108F5"/>
    <w:rsid w:val="25140E84"/>
    <w:rsid w:val="255E3530"/>
    <w:rsid w:val="2584425C"/>
    <w:rsid w:val="270A0791"/>
    <w:rsid w:val="274F43F6"/>
    <w:rsid w:val="27630D9F"/>
    <w:rsid w:val="281F201A"/>
    <w:rsid w:val="28D64DCE"/>
    <w:rsid w:val="293F1099"/>
    <w:rsid w:val="29AE7AF9"/>
    <w:rsid w:val="29AF561F"/>
    <w:rsid w:val="2A924D25"/>
    <w:rsid w:val="2AE5754B"/>
    <w:rsid w:val="2B0674C1"/>
    <w:rsid w:val="2B3B716B"/>
    <w:rsid w:val="2B54022C"/>
    <w:rsid w:val="2C047EA4"/>
    <w:rsid w:val="2C11554C"/>
    <w:rsid w:val="2C526E62"/>
    <w:rsid w:val="2C9F5E1F"/>
    <w:rsid w:val="2CBE44F7"/>
    <w:rsid w:val="2D1660E1"/>
    <w:rsid w:val="2DA47D6E"/>
    <w:rsid w:val="2DC1251E"/>
    <w:rsid w:val="2DEC7C71"/>
    <w:rsid w:val="2E220862"/>
    <w:rsid w:val="2FFC35AE"/>
    <w:rsid w:val="30000983"/>
    <w:rsid w:val="32AF043E"/>
    <w:rsid w:val="32C91500"/>
    <w:rsid w:val="333F7A14"/>
    <w:rsid w:val="3341378C"/>
    <w:rsid w:val="34086058"/>
    <w:rsid w:val="34DD74E5"/>
    <w:rsid w:val="35370DD4"/>
    <w:rsid w:val="353A0493"/>
    <w:rsid w:val="353C245D"/>
    <w:rsid w:val="35466E38"/>
    <w:rsid w:val="357C0AAC"/>
    <w:rsid w:val="359009FB"/>
    <w:rsid w:val="361A74F3"/>
    <w:rsid w:val="36252EF1"/>
    <w:rsid w:val="369D6F2B"/>
    <w:rsid w:val="36C546D4"/>
    <w:rsid w:val="370C40B1"/>
    <w:rsid w:val="37537A90"/>
    <w:rsid w:val="37541156"/>
    <w:rsid w:val="37643EED"/>
    <w:rsid w:val="386D6DD1"/>
    <w:rsid w:val="39A6259B"/>
    <w:rsid w:val="39CD5D7A"/>
    <w:rsid w:val="39DD3AE3"/>
    <w:rsid w:val="3A6113A2"/>
    <w:rsid w:val="3A696BC5"/>
    <w:rsid w:val="3AA27206"/>
    <w:rsid w:val="3B091033"/>
    <w:rsid w:val="3B2B3F6E"/>
    <w:rsid w:val="3C406CD7"/>
    <w:rsid w:val="3C762B69"/>
    <w:rsid w:val="3C8B5A78"/>
    <w:rsid w:val="3C945EC7"/>
    <w:rsid w:val="3CE22D05"/>
    <w:rsid w:val="3D436353"/>
    <w:rsid w:val="3DBF1E7D"/>
    <w:rsid w:val="3ED5122D"/>
    <w:rsid w:val="3ED90D1D"/>
    <w:rsid w:val="40271F5C"/>
    <w:rsid w:val="41D37DBA"/>
    <w:rsid w:val="41EC3710"/>
    <w:rsid w:val="425D5E38"/>
    <w:rsid w:val="43C31F9B"/>
    <w:rsid w:val="43F263DD"/>
    <w:rsid w:val="444924A1"/>
    <w:rsid w:val="449C6A74"/>
    <w:rsid w:val="44CC6C2E"/>
    <w:rsid w:val="452F78E8"/>
    <w:rsid w:val="453A003B"/>
    <w:rsid w:val="4605689B"/>
    <w:rsid w:val="468E5A29"/>
    <w:rsid w:val="47936A47"/>
    <w:rsid w:val="47CE3F5A"/>
    <w:rsid w:val="48E42798"/>
    <w:rsid w:val="48FA7F48"/>
    <w:rsid w:val="49221512"/>
    <w:rsid w:val="4939283D"/>
    <w:rsid w:val="49ED49AF"/>
    <w:rsid w:val="4AEE3DA2"/>
    <w:rsid w:val="4B054C48"/>
    <w:rsid w:val="4B8464B4"/>
    <w:rsid w:val="4C673E0C"/>
    <w:rsid w:val="4CA7101A"/>
    <w:rsid w:val="4D4001B9"/>
    <w:rsid w:val="4D970721"/>
    <w:rsid w:val="4E451F2B"/>
    <w:rsid w:val="4ED41501"/>
    <w:rsid w:val="4EE31FE7"/>
    <w:rsid w:val="4F2F52F4"/>
    <w:rsid w:val="4FAA2338"/>
    <w:rsid w:val="505A5A36"/>
    <w:rsid w:val="50E84DEF"/>
    <w:rsid w:val="51136310"/>
    <w:rsid w:val="511E6A63"/>
    <w:rsid w:val="51B3364F"/>
    <w:rsid w:val="52650679"/>
    <w:rsid w:val="5277421C"/>
    <w:rsid w:val="52B25063"/>
    <w:rsid w:val="52EB0BC7"/>
    <w:rsid w:val="53A70F92"/>
    <w:rsid w:val="547A48F8"/>
    <w:rsid w:val="54ED50CA"/>
    <w:rsid w:val="550959FF"/>
    <w:rsid w:val="55A36CF9"/>
    <w:rsid w:val="56020701"/>
    <w:rsid w:val="571E77BD"/>
    <w:rsid w:val="589D0BB5"/>
    <w:rsid w:val="590E6D63"/>
    <w:rsid w:val="5990287C"/>
    <w:rsid w:val="5A7C4F26"/>
    <w:rsid w:val="5AA4622B"/>
    <w:rsid w:val="5B4812AC"/>
    <w:rsid w:val="5B6D0D13"/>
    <w:rsid w:val="5B8A757F"/>
    <w:rsid w:val="5C8178FE"/>
    <w:rsid w:val="5D042FB1"/>
    <w:rsid w:val="5D172CE4"/>
    <w:rsid w:val="5D6D0B56"/>
    <w:rsid w:val="5D700646"/>
    <w:rsid w:val="5DA4728E"/>
    <w:rsid w:val="5E805E4C"/>
    <w:rsid w:val="5EC073AC"/>
    <w:rsid w:val="5EDF7832"/>
    <w:rsid w:val="600B28A8"/>
    <w:rsid w:val="603A02A0"/>
    <w:rsid w:val="60C5514D"/>
    <w:rsid w:val="60E530F9"/>
    <w:rsid w:val="62082384"/>
    <w:rsid w:val="621243C2"/>
    <w:rsid w:val="622C5484"/>
    <w:rsid w:val="62B2525D"/>
    <w:rsid w:val="62E0001C"/>
    <w:rsid w:val="632A480A"/>
    <w:rsid w:val="633F11E7"/>
    <w:rsid w:val="635E00B3"/>
    <w:rsid w:val="639257BA"/>
    <w:rsid w:val="642E6E96"/>
    <w:rsid w:val="64581C5A"/>
    <w:rsid w:val="645C1EB3"/>
    <w:rsid w:val="64DC3E5C"/>
    <w:rsid w:val="657B3DDC"/>
    <w:rsid w:val="65E25E59"/>
    <w:rsid w:val="66903B07"/>
    <w:rsid w:val="66BD7ED9"/>
    <w:rsid w:val="66F45E44"/>
    <w:rsid w:val="69E421A0"/>
    <w:rsid w:val="6A2B7DCF"/>
    <w:rsid w:val="6A4964A7"/>
    <w:rsid w:val="6A4E61B3"/>
    <w:rsid w:val="6BD61FBC"/>
    <w:rsid w:val="6BEA7769"/>
    <w:rsid w:val="6C620298"/>
    <w:rsid w:val="6C8C2932"/>
    <w:rsid w:val="6D631F76"/>
    <w:rsid w:val="6DED6D83"/>
    <w:rsid w:val="6E2C24ED"/>
    <w:rsid w:val="6EEA7239"/>
    <w:rsid w:val="6F537136"/>
    <w:rsid w:val="6FC22F83"/>
    <w:rsid w:val="70044015"/>
    <w:rsid w:val="704C6CF1"/>
    <w:rsid w:val="708A479C"/>
    <w:rsid w:val="710E5D78"/>
    <w:rsid w:val="71A6466D"/>
    <w:rsid w:val="71D60F68"/>
    <w:rsid w:val="71F31B1A"/>
    <w:rsid w:val="72DF3E4C"/>
    <w:rsid w:val="73700F48"/>
    <w:rsid w:val="7499627D"/>
    <w:rsid w:val="751C6A17"/>
    <w:rsid w:val="756643B1"/>
    <w:rsid w:val="756845CD"/>
    <w:rsid w:val="75907680"/>
    <w:rsid w:val="75FF55AC"/>
    <w:rsid w:val="763E0E8A"/>
    <w:rsid w:val="76AE24B4"/>
    <w:rsid w:val="76EE28B0"/>
    <w:rsid w:val="77043E82"/>
    <w:rsid w:val="779C67B0"/>
    <w:rsid w:val="77EB6DF0"/>
    <w:rsid w:val="78617275"/>
    <w:rsid w:val="78916A74"/>
    <w:rsid w:val="78A80B5A"/>
    <w:rsid w:val="78D635FC"/>
    <w:rsid w:val="799E680F"/>
    <w:rsid w:val="79B7342D"/>
    <w:rsid w:val="7A066163"/>
    <w:rsid w:val="7A212F9C"/>
    <w:rsid w:val="7A3C5C7C"/>
    <w:rsid w:val="7B982258"/>
    <w:rsid w:val="7BA14395"/>
    <w:rsid w:val="7C3F770A"/>
    <w:rsid w:val="7CF36E72"/>
    <w:rsid w:val="7D341239"/>
    <w:rsid w:val="7D545437"/>
    <w:rsid w:val="7D7A4E9D"/>
    <w:rsid w:val="7D8A2C07"/>
    <w:rsid w:val="7DC91981"/>
    <w:rsid w:val="7DF32EA2"/>
    <w:rsid w:val="7E1F3C97"/>
    <w:rsid w:val="7F6C6A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unhideWhenUsed/>
    <w:qFormat/>
    <w:uiPriority w:val="1"/>
    <w:pPr>
      <w:spacing w:after="120"/>
    </w:pPr>
    <w:rPr>
      <w:rFonts w:eastAsia="宋体"/>
      <w:kern w:val="2"/>
      <w:sz w:val="21"/>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6">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1778</Words>
  <Characters>1829</Characters>
  <Lines>0</Lines>
  <Paragraphs>0</Paragraphs>
  <TotalTime>0</TotalTime>
  <ScaleCrop>false</ScaleCrop>
  <LinksUpToDate>false</LinksUpToDate>
  <CharactersWithSpaces>1844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2021-02-02T06:56:00Z</dcterms:created>
  <dc:creator>洋洋爸比</dc:creator>
  <cp:lastModifiedBy>ly</cp:lastModifiedBy>
  <cp:lastPrinted>2025-03-25T02:24:00Z</cp:lastPrinted>
  <dcterms:modified xsi:type="dcterms:W3CDTF">2025-03-26T10:50:35Z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24DE9AC3F06C470DB96C5D27EA346CC2_13</vt:lpwstr>
  </property>
  <property fmtid="{D5CDD505-2E9C-101B-9397-08002B2CF9AE}" pid="4" name="KSOTemplateDocerSaveRecord">
    <vt:lpwstr>eyJoZGlkIjoiNmVhZGI1Y2UwMDBhODZiZDUxMWQ3YTE5MDAwMDI1MjYiLCJ1c2VySWQiOiIyNzMxOTI4MDYifQ==</vt:lpwstr>
  </property>
</Properties>
</file>