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FC9CC1C">
      <w:pPr>
        <w:pStyle w:val="2"/>
        <w:jc w:val="center"/>
        <w:rPr>
          <w:rFonts w:hint="default" w:eastAsia="宋体"/>
          <w:lang w:val="en-US" w:eastAsia="zh-CN"/>
        </w:rPr>
      </w:pPr>
      <w:r>
        <w:rPr>
          <w:sz w:val="28"/>
          <w:szCs w:val="28"/>
        </w:rPr>
        <w:t>采购需求</w:t>
      </w:r>
      <w:r>
        <w:rPr>
          <w:rFonts w:hint="eastAsia"/>
          <w:sz w:val="28"/>
          <w:szCs w:val="28"/>
          <w:lang w:val="en-US" w:eastAsia="zh-CN"/>
        </w:rPr>
        <w:t>及参数</w:t>
      </w:r>
    </w:p>
    <w:tbl>
      <w:tblPr>
        <w:tblStyle w:val="11"/>
        <w:tblW w:w="86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99"/>
        <w:gridCol w:w="1275"/>
        <w:gridCol w:w="5955"/>
        <w:gridCol w:w="702"/>
      </w:tblGrid>
      <w:tr w14:paraId="36F43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24FBEADD">
            <w:pPr>
              <w:spacing w:line="400" w:lineRule="exact"/>
              <w:jc w:val="center"/>
              <w:rPr>
                <w:rFonts w:eastAsia="黑体"/>
                <w:sz w:val="24"/>
              </w:rPr>
            </w:pPr>
            <w:r>
              <w:br w:type="page"/>
            </w:r>
            <w:r>
              <w:rPr>
                <w:rFonts w:eastAsia="黑体"/>
                <w:sz w:val="24"/>
              </w:rPr>
              <w:t>序号</w:t>
            </w:r>
          </w:p>
        </w:tc>
        <w:tc>
          <w:tcPr>
            <w:tcW w:w="1275" w:type="dxa"/>
            <w:vAlign w:val="center"/>
          </w:tcPr>
          <w:p w14:paraId="679735FC">
            <w:pPr>
              <w:spacing w:line="400" w:lineRule="exact"/>
              <w:jc w:val="center"/>
              <w:rPr>
                <w:rFonts w:eastAsia="黑体"/>
                <w:sz w:val="24"/>
              </w:rPr>
            </w:pPr>
            <w:r>
              <w:rPr>
                <w:rFonts w:hint="eastAsia" w:eastAsia="黑体"/>
                <w:sz w:val="24"/>
              </w:rPr>
              <w:t>类别</w:t>
            </w:r>
          </w:p>
        </w:tc>
        <w:tc>
          <w:tcPr>
            <w:tcW w:w="5955" w:type="dxa"/>
            <w:vAlign w:val="center"/>
          </w:tcPr>
          <w:p w14:paraId="602BEABE">
            <w:pPr>
              <w:spacing w:line="400" w:lineRule="exact"/>
              <w:jc w:val="center"/>
              <w:rPr>
                <w:rFonts w:eastAsia="黑体"/>
                <w:sz w:val="24"/>
              </w:rPr>
            </w:pPr>
            <w:r>
              <w:rPr>
                <w:rFonts w:eastAsia="黑体"/>
                <w:sz w:val="24"/>
              </w:rPr>
              <w:t>技术参数要求</w:t>
            </w:r>
          </w:p>
        </w:tc>
        <w:tc>
          <w:tcPr>
            <w:tcW w:w="702" w:type="dxa"/>
            <w:vAlign w:val="center"/>
          </w:tcPr>
          <w:p w14:paraId="3DF414A3">
            <w:pPr>
              <w:spacing w:line="400" w:lineRule="exact"/>
              <w:jc w:val="center"/>
              <w:rPr>
                <w:rFonts w:eastAsia="黑体"/>
                <w:sz w:val="24"/>
              </w:rPr>
            </w:pPr>
            <w:r>
              <w:rPr>
                <w:rFonts w:eastAsia="黑体"/>
                <w:sz w:val="24"/>
              </w:rPr>
              <w:t>数量</w:t>
            </w:r>
          </w:p>
        </w:tc>
      </w:tr>
      <w:tr w14:paraId="3190B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631" w:type="dxa"/>
            <w:gridSpan w:val="4"/>
            <w:vAlign w:val="center"/>
          </w:tcPr>
          <w:p w14:paraId="685405B4">
            <w:pPr>
              <w:pStyle w:val="4"/>
              <w:widowControl w:val="0"/>
              <w:ind w:left="0" w:leftChars="0"/>
              <w:jc w:val="both"/>
              <w:rPr>
                <w:rFonts w:hint="eastAsia" w:eastAsia="仿宋_GB2312"/>
                <w:sz w:val="24"/>
              </w:rPr>
            </w:pPr>
            <w:r>
              <w:rPr>
                <w:rFonts w:hint="eastAsia" w:eastAsia="仿宋_GB2312"/>
                <w:sz w:val="24"/>
                <w:lang w:val="en-US" w:eastAsia="zh-CN"/>
              </w:rPr>
              <w:t>一</w:t>
            </w:r>
            <w:r>
              <w:rPr>
                <w:rFonts w:hint="eastAsia" w:eastAsia="仿宋_GB2312"/>
                <w:sz w:val="24"/>
              </w:rPr>
              <w:t>、反无人机系统</w:t>
            </w:r>
            <w:r>
              <w:rPr>
                <w:rFonts w:hint="eastAsia" w:eastAsia="仿宋_GB2312"/>
                <w:sz w:val="24"/>
                <w:lang w:val="en-US" w:eastAsia="zh-CN"/>
              </w:rPr>
              <w:t>:</w:t>
            </w:r>
          </w:p>
        </w:tc>
      </w:tr>
      <w:tr w14:paraId="15338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2034E823">
            <w:pPr>
              <w:spacing w:line="400" w:lineRule="exact"/>
              <w:jc w:val="center"/>
              <w:rPr>
                <w:rFonts w:eastAsia="华文仿宋"/>
                <w:sz w:val="24"/>
              </w:rPr>
            </w:pPr>
            <w:r>
              <w:rPr>
                <w:rFonts w:eastAsia="华文仿宋"/>
                <w:sz w:val="24"/>
              </w:rPr>
              <w:t>1</w:t>
            </w:r>
          </w:p>
        </w:tc>
        <w:tc>
          <w:tcPr>
            <w:tcW w:w="1275" w:type="dxa"/>
            <w:vAlign w:val="center"/>
          </w:tcPr>
          <w:p w14:paraId="2E462C5E">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反无人机指控功能</w:t>
            </w:r>
          </w:p>
        </w:tc>
        <w:tc>
          <w:tcPr>
            <w:tcW w:w="5955" w:type="dxa"/>
          </w:tcPr>
          <w:p w14:paraId="38E19968">
            <w:pPr>
              <w:widowControl w:val="0"/>
              <w:numPr>
                <w:ilvl w:val="0"/>
                <w:numId w:val="0"/>
              </w:numPr>
              <w:spacing w:line="276" w:lineRule="auto"/>
              <w:ind w:leftChars="0"/>
              <w:jc w:val="left"/>
              <w:rPr>
                <w:rFonts w:hint="eastAsia" w:eastAsiaTheme="minor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1、</w:t>
            </w:r>
            <w:r>
              <w:rPr>
                <w:rFonts w:hint="eastAsia"/>
                <w:color w:val="000000" w:themeColor="text1"/>
                <w:szCs w:val="21"/>
                <w:lang w:eastAsia="zh-CN"/>
                <w14:textFill>
                  <w14:solidFill>
                    <w14:schemeClr w14:val="tx1"/>
                  </w14:solidFill>
                </w14:textFill>
              </w:rPr>
              <w:t>组网运用：</w:t>
            </w:r>
            <w:r>
              <w:rPr>
                <w:rFonts w:hint="eastAsia"/>
                <w:color w:val="000000" w:themeColor="text1"/>
                <w:szCs w:val="21"/>
                <w14:textFill>
                  <w14:solidFill>
                    <w14:schemeClr w14:val="tx1"/>
                  </w14:solidFill>
                </w14:textFill>
              </w:rPr>
              <w:t>设备能通过有线或无线方式接入平台进行组网，支持通过 4G/5G 无线网络进行通讯</w:t>
            </w:r>
            <w:r>
              <w:rPr>
                <w:rFonts w:hint="eastAsia"/>
                <w:color w:val="000000" w:themeColor="text1"/>
                <w:szCs w:val="21"/>
                <w:lang w:eastAsia="zh-CN"/>
                <w14:textFill>
                  <w14:solidFill>
                    <w14:schemeClr w14:val="tx1"/>
                  </w14:solidFill>
                </w14:textFill>
              </w:rPr>
              <w:t>；</w:t>
            </w:r>
          </w:p>
          <w:p w14:paraId="19D9CFCF">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2、</w:t>
            </w:r>
            <w:r>
              <w:rPr>
                <w:rFonts w:hint="eastAsia"/>
                <w:color w:val="000000" w:themeColor="text1"/>
                <w:szCs w:val="21"/>
                <w:lang w:eastAsia="zh-CN"/>
                <w14:textFill>
                  <w14:solidFill>
                    <w14:schemeClr w14:val="tx1"/>
                  </w14:solidFill>
                </w14:textFill>
              </w:rPr>
              <w:t>态势显示：能对无人机入侵及打击的整体态势进行显示，能展示防区、设备状态及部署位置、入侵目标、目标轨迹、目标信息、多级防区、系统探测及反制状态等信息。</w:t>
            </w:r>
          </w:p>
          <w:p w14:paraId="4B42BFBD">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3、</w:t>
            </w:r>
            <w:r>
              <w:rPr>
                <w:rFonts w:hint="eastAsia"/>
                <w:color w:val="000000" w:themeColor="text1"/>
                <w:szCs w:val="21"/>
                <w:lang w:eastAsia="zh-CN"/>
                <w14:textFill>
                  <w14:solidFill>
                    <w14:schemeClr w14:val="tx1"/>
                  </w14:solidFill>
                </w14:textFill>
              </w:rPr>
              <w:t>电子地图：支持在线地图和离线地图功能，能切换高德、百度、谷歌、天地图等地图；支持地图测距、面积测量、地图定位、地图标记点、回到地图中心（初始位置）等功能。</w:t>
            </w:r>
          </w:p>
          <w:p w14:paraId="65A6FF8D">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4</w:t>
            </w:r>
            <w:r>
              <w:rPr>
                <w:rFonts w:hint="eastAsia"/>
                <w:color w:val="000000" w:themeColor="text1"/>
                <w:szCs w:val="21"/>
                <w:lang w:eastAsia="zh-CN"/>
                <w14:textFill>
                  <w14:solidFill>
                    <w14:schemeClr w14:val="tx1"/>
                  </w14:solidFill>
                </w14:textFill>
              </w:rPr>
              <w:t>、引导打击：平台能获取入侵无人机目标的位置信息（包括经度、纬度、高度、方位角等），并能自动联动控制干扰设备对目标方向进行打击。</w:t>
            </w:r>
          </w:p>
          <w:p w14:paraId="247850AE">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5</w:t>
            </w:r>
            <w:r>
              <w:rPr>
                <w:rFonts w:hint="eastAsia"/>
                <w:color w:val="000000" w:themeColor="text1"/>
                <w:szCs w:val="21"/>
                <w:lang w:eastAsia="zh-CN"/>
                <w14:textFill>
                  <w14:solidFill>
                    <w14:schemeClr w14:val="tx1"/>
                  </w14:solidFill>
                </w14:textFill>
              </w:rPr>
              <w:t>、报警功能：平台能通过各接入设备监测无人机的活动和位置。在检测到无人机的存在时，获取其位置、速度、方向等信息。系统自动触发告警机制，进行告警提示，并能对其进行跟踪，在地图上显示无人机轨迹；平台能显示报警信息，包括无人机品牌、ID 号、型号、频段、方位、距离、高度、报警时间、实时轨迹等信息；平台具有报警信息记录功能，能对报警信息进行存储、查询及回放，查询时能按站点、按时间段进行检索、</w:t>
            </w:r>
          </w:p>
          <w:p w14:paraId="1311CE45">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lang w:eastAsia="zh-CN"/>
                <w14:textFill>
                  <w14:solidFill>
                    <w14:schemeClr w14:val="tx1"/>
                  </w14:solidFill>
                </w14:textFill>
              </w:rPr>
              <w:t>回放，并能根据搜索记录导出告警记录。回放的检索响应时间≤1s。</w:t>
            </w:r>
          </w:p>
          <w:p w14:paraId="329932BF">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6、</w:t>
            </w:r>
            <w:r>
              <w:rPr>
                <w:rFonts w:hint="eastAsia"/>
                <w:color w:val="000000" w:themeColor="text1"/>
                <w:szCs w:val="21"/>
                <w:lang w:eastAsia="zh-CN"/>
                <w14:textFill>
                  <w14:solidFill>
                    <w14:schemeClr w14:val="tx1"/>
                  </w14:solidFill>
                </w14:textFill>
              </w:rPr>
              <w:t>无人值守：平台具有无人值守功能，自动侦测、识别到无人机后能发出警报并自动联动光电设备进行跟踪、干扰诱骗设备进行干扰；无人值守模式下，探测设备应能持续工作，干扰设备或诱骗设备应仅在报警后联动发射干扰信号；平台从无人机探测报警至干扰开启的反应时间≤1s。</w:t>
            </w:r>
          </w:p>
          <w:p w14:paraId="6BD63F54">
            <w:pPr>
              <w:widowControl w:val="0"/>
              <w:numPr>
                <w:ilvl w:val="0"/>
                <w:numId w:val="0"/>
              </w:numPr>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7、</w:t>
            </w:r>
            <w:r>
              <w:rPr>
                <w:rFonts w:hint="eastAsia"/>
                <w:color w:val="000000" w:themeColor="text1"/>
                <w:szCs w:val="21"/>
                <w:lang w:eastAsia="zh-CN"/>
                <w14:textFill>
                  <w14:solidFill>
                    <w14:schemeClr w14:val="tx1"/>
                  </w14:solidFill>
                </w14:textFill>
              </w:rPr>
              <w:t>故障提示：接入平台的设备故障时，故障信息能上报平台并显示。</w:t>
            </w:r>
          </w:p>
          <w:p w14:paraId="11510410">
            <w:pPr>
              <w:widowControl w:val="0"/>
              <w:numPr>
                <w:ilvl w:val="0"/>
                <w:numId w:val="1"/>
              </w:numPr>
              <w:spacing w:line="276" w:lineRule="auto"/>
              <w:ind w:left="0" w:leftChars="0" w:firstLine="0" w:firstLineChars="0"/>
              <w:jc w:val="left"/>
              <w:rPr>
                <w:rFonts w:hint="eastAsia"/>
                <w:color w:val="000000" w:themeColor="text1"/>
                <w:szCs w:val="21"/>
                <w:lang w:eastAsia="zh-CN"/>
                <w14:textFill>
                  <w14:solidFill>
                    <w14:schemeClr w14:val="tx1"/>
                  </w14:solidFill>
                </w14:textFill>
              </w:rPr>
            </w:pPr>
            <w:r>
              <w:rPr>
                <w:rFonts w:hint="eastAsia"/>
                <w:color w:val="000000" w:themeColor="text1"/>
                <w:szCs w:val="21"/>
                <w:lang w:eastAsia="zh-CN"/>
                <w14:textFill>
                  <w14:solidFill>
                    <w14:schemeClr w14:val="tx1"/>
                  </w14:solidFill>
                </w14:textFill>
              </w:rPr>
              <w:t>数据统计：平台能对时间区段内的无人机入侵数据（频段统计、常见机型、高危事件、警情趋势、入侵时长等信息）进行统计，并能通过热力图、折线图，饼图等方式显示。</w:t>
            </w:r>
          </w:p>
          <w:p w14:paraId="4ADAA6BC">
            <w:pPr>
              <w:widowControl w:val="0"/>
              <w:numPr>
                <w:ilvl w:val="0"/>
                <w:numId w:val="0"/>
              </w:numPr>
              <w:tabs>
                <w:tab w:val="left" w:pos="0"/>
              </w:tabs>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9、</w:t>
            </w:r>
            <w:r>
              <w:rPr>
                <w:rFonts w:hint="eastAsia"/>
                <w:color w:val="000000" w:themeColor="text1"/>
                <w:szCs w:val="21"/>
                <w:lang w:eastAsia="zh-CN"/>
                <w14:textFill>
                  <w14:solidFill>
                    <w14:schemeClr w14:val="tx1"/>
                  </w14:solidFill>
                </w14:textFill>
              </w:rPr>
              <w:t>扩展功能：具有预留接口并能提供 SDK 开发包，能够与其他平台对接，进行数据交互和管理。</w:t>
            </w:r>
          </w:p>
          <w:p w14:paraId="71AB2707">
            <w:pPr>
              <w:widowControl w:val="0"/>
              <w:numPr>
                <w:ilvl w:val="0"/>
                <w:numId w:val="0"/>
              </w:numPr>
              <w:tabs>
                <w:tab w:val="left" w:pos="0"/>
              </w:tabs>
              <w:spacing w:line="276" w:lineRule="auto"/>
              <w:ind w:leftChars="0"/>
              <w:jc w:val="left"/>
              <w:rPr>
                <w:rFonts w:hint="eastAsia"/>
                <w:color w:val="000000" w:themeColor="text1"/>
                <w:szCs w:val="21"/>
                <w:lang w:eastAsia="zh-CN"/>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10、</w:t>
            </w:r>
            <w:r>
              <w:rPr>
                <w:rFonts w:hint="eastAsia"/>
                <w:color w:val="000000" w:themeColor="text1"/>
                <w:szCs w:val="21"/>
                <w:lang w:eastAsia="zh-CN"/>
                <w14:textFill>
                  <w14:solidFill>
                    <w14:schemeClr w14:val="tx1"/>
                  </w14:solidFill>
                </w14:textFill>
              </w:rPr>
              <w:t>目标融合：具有多源目标融合功能，不同接入平台的设备探测到同一个目标时，平台应能融合为一个目标并在地图显示。</w:t>
            </w:r>
          </w:p>
          <w:p w14:paraId="464539E5">
            <w:pPr>
              <w:widowControl w:val="0"/>
              <w:numPr>
                <w:ilvl w:val="0"/>
                <w:numId w:val="0"/>
              </w:numPr>
              <w:tabs>
                <w:tab w:val="left" w:pos="0"/>
              </w:tabs>
              <w:spacing w:line="276" w:lineRule="auto"/>
              <w:ind w:leftChars="0"/>
              <w:jc w:val="left"/>
              <w:rPr>
                <w:rFonts w:hint="eastAsia"/>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11、ADS-B接收：具有 ADS-B 接收功能，能接收并在电子地图上显示周边民航飞机的飞行状态。</w:t>
            </w:r>
          </w:p>
          <w:p w14:paraId="7355F6AE">
            <w:pPr>
              <w:widowControl w:val="0"/>
              <w:numPr>
                <w:ilvl w:val="0"/>
                <w:numId w:val="0"/>
              </w:numPr>
              <w:tabs>
                <w:tab w:val="left" w:pos="0"/>
              </w:tabs>
              <w:spacing w:line="276" w:lineRule="auto"/>
              <w:ind w:leftChars="0"/>
              <w:jc w:val="left"/>
              <w:rPr>
                <w:rFonts w:hint="eastAsia"/>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12、用户管理：服务端具有用户添加与管理功能，能按照组织架构树的形式对系统的用户进行分类和检索。</w:t>
            </w:r>
          </w:p>
          <w:p w14:paraId="4A90CD5F">
            <w:pPr>
              <w:widowControl w:val="0"/>
              <w:numPr>
                <w:ilvl w:val="0"/>
                <w:numId w:val="0"/>
              </w:numPr>
              <w:tabs>
                <w:tab w:val="left" w:pos="0"/>
              </w:tabs>
              <w:spacing w:line="276" w:lineRule="auto"/>
              <w:ind w:leftChars="0"/>
              <w:jc w:val="left"/>
              <w:rPr>
                <w:rFonts w:hint="default"/>
                <w:color w:val="000000" w:themeColor="text1"/>
                <w:szCs w:val="21"/>
                <w:lang w:val="en-US" w:eastAsia="zh-CN"/>
                <w14:textFill>
                  <w14:solidFill>
                    <w14:schemeClr w14:val="tx1"/>
                  </w14:solidFill>
                </w14:textFill>
              </w:rPr>
            </w:pPr>
            <w:r>
              <w:rPr>
                <w:rFonts w:hint="eastAsia"/>
                <w:color w:val="000000" w:themeColor="text1"/>
                <w:szCs w:val="21"/>
                <w:lang w:val="en-US" w:eastAsia="zh-CN"/>
                <w14:textFill>
                  <w14:solidFill>
                    <w14:schemeClr w14:val="tx1"/>
                  </w14:solidFill>
                </w14:textFill>
              </w:rPr>
              <w:t>13、具有自主研发软件管控平台,平台能够融合现有周界雷达及微震生命探测仪</w:t>
            </w:r>
            <w:r>
              <w:rPr>
                <w:rFonts w:hint="eastAsia"/>
                <w:color w:val="000000" w:themeColor="text1"/>
                <w:szCs w:val="21"/>
                <w14:textFill>
                  <w14:solidFill>
                    <w14:schemeClr w14:val="tx1"/>
                  </w14:solidFill>
                </w14:textFill>
              </w:rPr>
              <w:t>、</w:t>
            </w:r>
            <w:r>
              <w:rPr>
                <w:rFonts w:hint="eastAsia"/>
                <w:color w:val="000000" w:themeColor="text1"/>
                <w:szCs w:val="21"/>
                <w:lang w:val="en-US" w:eastAsia="zh-CN"/>
                <w14:textFill>
                  <w14:solidFill>
                    <w14:schemeClr w14:val="tx1"/>
                  </w14:solidFill>
                </w14:textFill>
              </w:rPr>
              <w:t>无人机管控系统,实现一平台管控多个子系统</w:t>
            </w:r>
            <w:r>
              <w:rPr>
                <w:rFonts w:hint="eastAsia"/>
                <w:color w:val="000000" w:themeColor="text1"/>
                <w:szCs w:val="21"/>
                <w:lang w:eastAsia="zh-CN"/>
                <w14:textFill>
                  <w14:solidFill>
                    <w14:schemeClr w14:val="tx1"/>
                  </w14:solidFill>
                </w14:textFill>
              </w:rPr>
              <w:t>。</w:t>
            </w:r>
          </w:p>
        </w:tc>
        <w:tc>
          <w:tcPr>
            <w:tcW w:w="702" w:type="dxa"/>
            <w:vAlign w:val="center"/>
          </w:tcPr>
          <w:p w14:paraId="1AFE726C">
            <w:pPr>
              <w:pStyle w:val="4"/>
              <w:widowControl w:val="0"/>
              <w:ind w:left="0" w:leftChars="0"/>
              <w:jc w:val="both"/>
              <w:rPr>
                <w:rFonts w:eastAsia="仿宋_GB2312"/>
              </w:rPr>
            </w:pPr>
            <w:r>
              <w:rPr>
                <w:rFonts w:hint="eastAsia" w:eastAsia="仿宋_GB2312"/>
              </w:rPr>
              <w:t>1</w:t>
            </w:r>
          </w:p>
        </w:tc>
      </w:tr>
      <w:tr w14:paraId="0A6DCA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22E56521">
            <w:pPr>
              <w:spacing w:line="400" w:lineRule="exact"/>
              <w:jc w:val="center"/>
              <w:rPr>
                <w:rFonts w:eastAsia="华文仿宋"/>
                <w:sz w:val="24"/>
              </w:rPr>
            </w:pPr>
            <w:r>
              <w:rPr>
                <w:rFonts w:eastAsia="华文仿宋"/>
                <w:sz w:val="24"/>
              </w:rPr>
              <w:t>2</w:t>
            </w:r>
          </w:p>
        </w:tc>
        <w:tc>
          <w:tcPr>
            <w:tcW w:w="1275" w:type="dxa"/>
            <w:vAlign w:val="center"/>
          </w:tcPr>
          <w:p w14:paraId="593174F5">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频谱探测设备</w:t>
            </w:r>
          </w:p>
        </w:tc>
        <w:tc>
          <w:tcPr>
            <w:tcW w:w="5955" w:type="dxa"/>
          </w:tcPr>
          <w:p w14:paraId="7DAD4D6D">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▲1、探测频率范围</w:t>
            </w:r>
            <w:r>
              <w:rPr>
                <w:rFonts w:hint="eastAsia"/>
                <w:color w:val="000000" w:themeColor="text1"/>
                <w:szCs w:val="21"/>
                <w:lang w:val="en-US" w:eastAsia="zh-CN"/>
                <w14:textFill>
                  <w14:solidFill>
                    <w14:schemeClr w14:val="tx1"/>
                  </w14:solidFill>
                </w14:textFill>
              </w:rPr>
              <w:t>20</w:t>
            </w:r>
            <w:r>
              <w:rPr>
                <w:rFonts w:hint="eastAsia"/>
                <w:color w:val="000000" w:themeColor="text1"/>
                <w:szCs w:val="21"/>
                <w14:textFill>
                  <w14:solidFill>
                    <w14:schemeClr w14:val="tx1"/>
                  </w14:solidFill>
                </w14:textFill>
              </w:rPr>
              <w:t>MHz-6GHz；</w:t>
            </w:r>
          </w:p>
          <w:p w14:paraId="396AF422">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▲2、测向精度：≤2°（均方根）；</w:t>
            </w:r>
          </w:p>
          <w:p w14:paraId="0F8C0BC4">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▲3、探测能力：在无明显遮挡、无明显电磁干扰的条件下，设备的探测距离≥</w:t>
            </w: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km；</w:t>
            </w:r>
          </w:p>
          <w:p w14:paraId="49DE0E76">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▲4、探测覆盖角度： 水平方位：360°、俯仰方位：-90°~ 90°；</w:t>
            </w:r>
          </w:p>
          <w:p w14:paraId="13290973">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▲5、阵列天线数：≥1</w:t>
            </w:r>
            <w:r>
              <w:rPr>
                <w:rFonts w:hint="eastAsia"/>
                <w:color w:val="000000" w:themeColor="text1"/>
                <w:szCs w:val="21"/>
                <w:lang w:val="en-US" w:eastAsia="zh-CN"/>
                <w14:textFill>
                  <w14:solidFill>
                    <w14:schemeClr w14:val="tx1"/>
                  </w14:solidFill>
                </w14:textFill>
              </w:rPr>
              <w:t>6</w:t>
            </w:r>
            <w:bookmarkStart w:id="0" w:name="_GoBack"/>
            <w:bookmarkEnd w:id="0"/>
            <w:r>
              <w:rPr>
                <w:rFonts w:hint="eastAsia"/>
                <w:color w:val="000000" w:themeColor="text1"/>
                <w:szCs w:val="21"/>
                <w14:textFill>
                  <w14:solidFill>
                    <w14:schemeClr w14:val="tx1"/>
                  </w14:solidFill>
                </w14:textFill>
              </w:rPr>
              <w:t>个；</w:t>
            </w:r>
          </w:p>
          <w:p w14:paraId="38B6D0C6">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6、最大探测高度≥1000m，最低探测高度为0m(1km处)；</w:t>
            </w:r>
          </w:p>
          <w:p w14:paraId="160FE333">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▲7、探测灵敏度：≤-110dBm ；</w:t>
            </w:r>
          </w:p>
          <w:p w14:paraId="3F5EC478">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 xml:space="preserve">8、探测响应时间：≤2s； </w:t>
            </w:r>
          </w:p>
          <w:p w14:paraId="560DAF3A">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▲9、自动校准，指北精度≤2°</w:t>
            </w:r>
          </w:p>
          <w:p w14:paraId="37556109">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▲10、同时监测无人机目标数：不小于200个；</w:t>
            </w:r>
          </w:p>
          <w:p w14:paraId="3AD21446">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11、无人机定位精度：在无明显雨、雪、雾天气环境（无明</w:t>
            </w:r>
            <w:r>
              <w:rPr>
                <w:color w:val="000000" w:themeColor="text1"/>
                <w:szCs w:val="21"/>
                <w14:textFill>
                  <w14:solidFill>
                    <w14:schemeClr w14:val="tx1"/>
                  </w14:solidFill>
                </w14:textFill>
              </w:rPr>
              <w:t>显遮挡、无明显电磁干扰）条件下，设备对</w:t>
            </w:r>
            <w:r>
              <w:rPr>
                <w:rFonts w:hint="eastAsia"/>
                <w:color w:val="000000" w:themeColor="text1"/>
                <w:szCs w:val="21"/>
                <w14:textFill>
                  <w14:solidFill>
                    <w14:schemeClr w14:val="tx1"/>
                  </w14:solidFill>
                </w14:textFill>
              </w:rPr>
              <w:t>主流</w:t>
            </w:r>
            <w:r>
              <w:rPr>
                <w:color w:val="000000" w:themeColor="text1"/>
                <w:szCs w:val="21"/>
                <w14:textFill>
                  <w14:solidFill>
                    <w14:schemeClr w14:val="tx1"/>
                  </w14:solidFill>
                </w14:textFill>
              </w:rPr>
              <w:t>无人机的定位精度</w:t>
            </w:r>
            <w:r>
              <w:rPr>
                <w:rFonts w:hint="eastAsia"/>
                <w:color w:val="000000" w:themeColor="text1"/>
                <w:szCs w:val="21"/>
                <w14:textFill>
                  <w14:solidFill>
                    <w14:schemeClr w14:val="tx1"/>
                  </w14:solidFill>
                </w14:textFill>
              </w:rPr>
              <w:t>≤10</w:t>
            </w:r>
            <w:r>
              <w:rPr>
                <w:color w:val="000000" w:themeColor="text1"/>
                <w:szCs w:val="21"/>
                <w14:textFill>
                  <w14:solidFill>
                    <w14:schemeClr w14:val="tx1"/>
                  </w14:solidFill>
                </w14:textFill>
              </w:rPr>
              <w:t>m</w:t>
            </w:r>
            <w:r>
              <w:rPr>
                <w:rFonts w:hint="eastAsia"/>
                <w:color w:val="000000" w:themeColor="text1"/>
                <w:szCs w:val="21"/>
                <w14:textFill>
                  <w14:solidFill>
                    <w14:schemeClr w14:val="tx1"/>
                  </w14:solidFill>
                </w14:textFill>
              </w:rPr>
              <w:t>。</w:t>
            </w:r>
          </w:p>
          <w:p w14:paraId="6693E8A8">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12、设备能侦测并显示主流无人机的经纬度坐标、飞行高度、速度、方向、机型、SN码(序列号)、起飞点位置等信息，并能在电子地图上显示飞行轨迹。</w:t>
            </w:r>
          </w:p>
          <w:p w14:paraId="1A5A3E6D">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12、遥控器定位精度：在无明显雨、雪、雾天气环境（无明</w:t>
            </w:r>
            <w:r>
              <w:rPr>
                <w:color w:val="000000" w:themeColor="text1"/>
                <w:szCs w:val="21"/>
                <w14:textFill>
                  <w14:solidFill>
                    <w14:schemeClr w14:val="tx1"/>
                  </w14:solidFill>
                </w14:textFill>
              </w:rPr>
              <w:t>显遮挡、无明显电磁干扰）条件下，</w:t>
            </w:r>
            <w:r>
              <w:rPr>
                <w:rFonts w:hint="eastAsia"/>
                <w:color w:val="000000" w:themeColor="text1"/>
                <w:szCs w:val="21"/>
                <w14:textFill>
                  <w14:solidFill>
                    <w14:schemeClr w14:val="tx1"/>
                  </w14:solidFill>
                </w14:textFill>
              </w:rPr>
              <w:t>设备</w:t>
            </w:r>
            <w:r>
              <w:rPr>
                <w:color w:val="000000" w:themeColor="text1"/>
                <w:szCs w:val="21"/>
                <w14:textFill>
                  <w14:solidFill>
                    <w14:schemeClr w14:val="tx1"/>
                  </w14:solidFill>
                </w14:textFill>
              </w:rPr>
              <w:t>对</w:t>
            </w:r>
            <w:r>
              <w:rPr>
                <w:rFonts w:hint="eastAsia"/>
                <w:color w:val="000000" w:themeColor="text1"/>
                <w:szCs w:val="21"/>
                <w14:textFill>
                  <w14:solidFill>
                    <w14:schemeClr w14:val="tx1"/>
                  </w14:solidFill>
                </w14:textFill>
              </w:rPr>
              <w:t>主流</w:t>
            </w:r>
            <w:r>
              <w:rPr>
                <w:color w:val="000000" w:themeColor="text1"/>
                <w:szCs w:val="21"/>
                <w14:textFill>
                  <w14:solidFill>
                    <w14:schemeClr w14:val="tx1"/>
                  </w14:solidFill>
                </w14:textFill>
              </w:rPr>
              <w:t>无人机</w:t>
            </w:r>
            <w:r>
              <w:rPr>
                <w:rFonts w:hint="eastAsia"/>
                <w:color w:val="000000" w:themeColor="text1"/>
                <w:szCs w:val="21"/>
                <w14:textFill>
                  <w14:solidFill>
                    <w14:schemeClr w14:val="tx1"/>
                  </w14:solidFill>
                </w14:textFill>
              </w:rPr>
              <w:t>遥控器</w:t>
            </w:r>
            <w:r>
              <w:rPr>
                <w:color w:val="000000" w:themeColor="text1"/>
                <w:szCs w:val="21"/>
                <w14:textFill>
                  <w14:solidFill>
                    <w14:schemeClr w14:val="tx1"/>
                  </w14:solidFill>
                </w14:textFill>
              </w:rPr>
              <w:t>的定位精度应</w:t>
            </w:r>
            <w:r>
              <w:rPr>
                <w:rFonts w:hint="eastAsia"/>
                <w:color w:val="000000" w:themeColor="text1"/>
                <w:szCs w:val="21"/>
                <w14:textFill>
                  <w14:solidFill>
                    <w14:schemeClr w14:val="tx1"/>
                  </w14:solidFill>
                </w14:textFill>
              </w:rPr>
              <w:t>≤10</w:t>
            </w:r>
            <w:r>
              <w:rPr>
                <w:color w:val="000000" w:themeColor="text1"/>
                <w:szCs w:val="21"/>
                <w14:textFill>
                  <w14:solidFill>
                    <w14:schemeClr w14:val="tx1"/>
                  </w14:solidFill>
                </w14:textFill>
              </w:rPr>
              <w:t>m</w:t>
            </w:r>
            <w:r>
              <w:rPr>
                <w:rFonts w:hint="eastAsia"/>
                <w:color w:val="000000" w:themeColor="text1"/>
                <w:szCs w:val="21"/>
                <w14:textFill>
                  <w14:solidFill>
                    <w14:schemeClr w14:val="tx1"/>
                  </w14:solidFill>
                </w14:textFill>
              </w:rPr>
              <w:t>。</w:t>
            </w:r>
          </w:p>
          <w:p w14:paraId="76B76E57">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13、定位功能：具有TDOA多站组网时差定位功能，可由2台或2台以上频谱探测设备组网定位无人机位置，并显示经纬度、距离、高度等信息。</w:t>
            </w:r>
          </w:p>
          <w:p w14:paraId="52FB7633">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14、多站定位精度：多站TDOA时差定位模式下(需3台及以上频谱探测设备配合)，定位精度满足:站内（无人机位于各站点连线围成的区域内）定位误差≤30m；站外（无人机位于各站点连线围成的区域外）定位误差≤100m。</w:t>
            </w:r>
          </w:p>
          <w:p w14:paraId="5FCBFD0F">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▲15、机型识别：具有无人机识别库，可识别目标无人机品牌、型号；能探测非无人机识别库内的无人机目标并可将其添加至识别库内，对识别库进行更新；</w:t>
            </w:r>
          </w:p>
          <w:p w14:paraId="502203F3">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▲16、目标速度：能持续探测移动速度≥30m/s的无人机；</w:t>
            </w:r>
          </w:p>
          <w:p w14:paraId="3FDCFAA0">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▲17、跳频跟踪：设备能识别主流无人机序列号。当目标无人机切换工作频点后，设备仍能将其识别为同一架次无人机；</w:t>
            </w:r>
          </w:p>
          <w:p w14:paraId="64CD680A">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▲18、虚警率：虚警率≤1 架次（持续探测 24 小时）；</w:t>
            </w:r>
          </w:p>
          <w:p w14:paraId="1CFE2734">
            <w:pPr>
              <w:numPr>
                <w:ilvl w:val="0"/>
                <w:numId w:val="2"/>
              </w:num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探测识别成功率：在无明显遮挡、无明显电磁干扰的条件下，协议解析模块的探测识别成功率≥99%。（探测识别成功率=探测识别成功次数/总探测识别次数x100%）。</w:t>
            </w:r>
          </w:p>
          <w:p w14:paraId="1076510B">
            <w:pPr>
              <w:spacing w:line="276" w:lineRule="auto"/>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▲20、解调功能：能对 BPSK、QPSK、8PSK、I6QAM、GMSK、FM、AM 等调制方式的无线信号进行解调；</w:t>
            </w:r>
          </w:p>
          <w:p w14:paraId="55B8D5F5">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21、报警刷新率：1Hz ；</w:t>
            </w:r>
          </w:p>
          <w:p w14:paraId="3B26AC60">
            <w:pPr>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22、供电方式：AC110~2</w:t>
            </w:r>
            <w:r>
              <w:rPr>
                <w:color w:val="000000" w:themeColor="text1"/>
                <w:szCs w:val="21"/>
                <w14:textFill>
                  <w14:solidFill>
                    <w14:schemeClr w14:val="tx1"/>
                  </w14:solidFill>
                </w14:textFill>
              </w:rPr>
              <w:t>4</w:t>
            </w:r>
            <w:r>
              <w:rPr>
                <w:rFonts w:hint="eastAsia"/>
                <w:color w:val="000000" w:themeColor="text1"/>
                <w:szCs w:val="21"/>
                <w14:textFill>
                  <w14:solidFill>
                    <w14:schemeClr w14:val="tx1"/>
                  </w14:solidFill>
                </w14:textFill>
              </w:rPr>
              <w:t>0V或移动电源供电；</w:t>
            </w:r>
          </w:p>
          <w:p w14:paraId="027EB9B5">
            <w:pPr>
              <w:spacing w:line="276" w:lineRule="auto"/>
              <w:jc w:val="left"/>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▲23、满足GB8702-2014《电磁环境控制限值》中关于电场强度的要求；</w:t>
            </w:r>
          </w:p>
        </w:tc>
        <w:tc>
          <w:tcPr>
            <w:tcW w:w="702" w:type="dxa"/>
            <w:vAlign w:val="center"/>
          </w:tcPr>
          <w:p w14:paraId="39A17479">
            <w:pPr>
              <w:spacing w:line="400" w:lineRule="exact"/>
              <w:jc w:val="center"/>
              <w:rPr>
                <w:rFonts w:eastAsia="仿宋_GB2312"/>
                <w:sz w:val="24"/>
              </w:rPr>
            </w:pPr>
            <w:r>
              <w:rPr>
                <w:rFonts w:hint="eastAsia" w:eastAsia="仿宋_GB2312"/>
                <w:sz w:val="24"/>
              </w:rPr>
              <w:t>1</w:t>
            </w:r>
          </w:p>
        </w:tc>
      </w:tr>
      <w:tr w14:paraId="4D663A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99" w:type="dxa"/>
            <w:vAlign w:val="center"/>
          </w:tcPr>
          <w:p w14:paraId="2CEA3062">
            <w:pPr>
              <w:spacing w:line="400" w:lineRule="exact"/>
              <w:jc w:val="center"/>
              <w:rPr>
                <w:rFonts w:eastAsia="华文仿宋"/>
                <w:sz w:val="24"/>
              </w:rPr>
            </w:pPr>
          </w:p>
        </w:tc>
        <w:tc>
          <w:tcPr>
            <w:tcW w:w="1275" w:type="dxa"/>
            <w:vAlign w:val="center"/>
          </w:tcPr>
          <w:p w14:paraId="707A3916">
            <w:pPr>
              <w:rPr>
                <w:color w:val="000000" w:themeColor="text1"/>
                <w:szCs w:val="21"/>
                <w14:textFill>
                  <w14:solidFill>
                    <w14:schemeClr w14:val="tx1"/>
                  </w14:solidFill>
                </w14:textFill>
              </w:rPr>
            </w:pPr>
            <w:r>
              <w:rPr>
                <w:rFonts w:hint="eastAsia"/>
                <w:color w:val="000000" w:themeColor="text1"/>
                <w:szCs w:val="21"/>
                <w:lang w:val="en-US" w:eastAsia="zh-CN"/>
                <w14:textFill>
                  <w14:solidFill>
                    <w14:schemeClr w14:val="tx1"/>
                  </w14:solidFill>
                </w14:textFill>
              </w:rPr>
              <w:t>3</w:t>
            </w:r>
            <w:r>
              <w:rPr>
                <w:rFonts w:hint="eastAsia"/>
                <w:color w:val="000000" w:themeColor="text1"/>
                <w:szCs w:val="21"/>
                <w14:textFill>
                  <w14:solidFill>
                    <w14:schemeClr w14:val="tx1"/>
                  </w14:solidFill>
                </w14:textFill>
              </w:rPr>
              <w:t>、全频干扰设备</w:t>
            </w:r>
          </w:p>
        </w:tc>
        <w:tc>
          <w:tcPr>
            <w:tcW w:w="5955" w:type="dxa"/>
          </w:tcPr>
          <w:p w14:paraId="36D72FF5">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1、定向干扰设备实现全方位管控；</w:t>
            </w:r>
          </w:p>
          <w:p w14:paraId="304C22B1">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▲2、工作频段：能在45MHz~6GHz范围内设置干扰信道，信道设置数≥20个 ；</w:t>
            </w:r>
          </w:p>
          <w:p w14:paraId="1DC12979">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3、干扰距离：≥3km，干通比：不小于10：1；</w:t>
            </w:r>
          </w:p>
          <w:p w14:paraId="1FB94162">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▲4、干扰角度：水平方向360°，俯仰方向：-90°~+90°；</w:t>
            </w:r>
          </w:p>
          <w:p w14:paraId="4DBBCFBC">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5、干扰生效时间：≤3s</w:t>
            </w:r>
          </w:p>
          <w:p w14:paraId="579DDD60">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▲6、各频段发射功率：≥40dBm；</w:t>
            </w:r>
          </w:p>
          <w:p w14:paraId="00541EE0">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▲7、干扰响应时间：≤3s；</w:t>
            </w:r>
          </w:p>
          <w:p w14:paraId="69D2270D">
            <w:pPr>
              <w:numPr>
                <w:ilvl w:val="0"/>
                <w:numId w:val="3"/>
              </w:num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云台规格：旋转速度：水平0.02°～60°/s；俯仰0.02°～30°；旋转角度：水平0～360°连续旋转；俯仰+75°～-15°。</w:t>
            </w:r>
          </w:p>
          <w:p w14:paraId="198A9ED8">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▲9、云台定位精度：≤0.1°；</w:t>
            </w:r>
          </w:p>
          <w:p w14:paraId="7AE1E84A">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10、供电方式：支持AC110V~220V或直流供电。</w:t>
            </w:r>
          </w:p>
          <w:p w14:paraId="083DD4FC">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▲11、电磁辐射：按照GB8702-2014《电磁环境控制限值》中限值和评价方法的规定进行。距离设备正后方300mm处，发射频率范围在30MHz~3000MHZ时，环境电场强度的方均根值≤12V/m。</w:t>
            </w:r>
          </w:p>
          <w:p w14:paraId="07ADEF99">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▲12、尺寸（不含云台）：≤350mm×490mm×280mm；</w:t>
            </w:r>
          </w:p>
          <w:p w14:paraId="5D40BE73">
            <w:pPr>
              <w:rPr>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13、重量：≤10kg（不含云台）。</w:t>
            </w:r>
          </w:p>
        </w:tc>
        <w:tc>
          <w:tcPr>
            <w:tcW w:w="702" w:type="dxa"/>
            <w:vAlign w:val="center"/>
          </w:tcPr>
          <w:p w14:paraId="6DD72B2D">
            <w:pPr>
              <w:spacing w:line="400" w:lineRule="exact"/>
              <w:jc w:val="center"/>
              <w:rPr>
                <w:rFonts w:eastAsia="仿宋_GB2312"/>
                <w:sz w:val="24"/>
              </w:rPr>
            </w:pPr>
          </w:p>
        </w:tc>
      </w:tr>
      <w:tr w14:paraId="6659F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929" w:type="dxa"/>
            <w:gridSpan w:val="3"/>
            <w:vAlign w:val="center"/>
          </w:tcPr>
          <w:p w14:paraId="080E2057">
            <w:pPr>
              <w:jc w:val="left"/>
              <w:rPr>
                <w:rFonts w:hint="eastAsia" w:cs="宋体" w:asciiTheme="minorEastAsia" w:hAnsiTheme="minorEastAsia"/>
                <w:color w:val="000000" w:themeColor="text1"/>
                <w:szCs w:val="21"/>
                <w14:textFill>
                  <w14:solidFill>
                    <w14:schemeClr w14:val="tx1"/>
                  </w14:solidFill>
                </w14:textFill>
              </w:rPr>
            </w:pPr>
            <w:r>
              <w:rPr>
                <w:rFonts w:hint="eastAsia" w:cs="宋体" w:asciiTheme="minorEastAsia" w:hAnsiTheme="minorEastAsia"/>
                <w:color w:val="000000" w:themeColor="text1"/>
                <w:szCs w:val="21"/>
                <w14:textFill>
                  <w14:solidFill>
                    <w14:schemeClr w14:val="tx1"/>
                  </w14:solidFill>
                </w14:textFill>
              </w:rPr>
              <w:t>注：</w:t>
            </w:r>
          </w:p>
          <w:p w14:paraId="25E3A900">
            <w:pPr>
              <w:keepNext w:val="0"/>
              <w:keepLines w:val="0"/>
              <w:numPr>
                <w:ilvl w:val="0"/>
                <w:numId w:val="4"/>
              </w:numPr>
              <w:suppressLineNumbers w:val="0"/>
              <w:spacing w:before="0" w:beforeAutospacing="0" w:after="0" w:afterAutospacing="0"/>
              <w:ind w:left="0" w:right="0"/>
              <w:jc w:val="left"/>
              <w:rPr>
                <w:rFonts w:hint="eastAsia" w:cs="宋体" w:asciiTheme="minorEastAsia" w:hAnsiTheme="minorEastAsia"/>
                <w:color w:val="000000" w:themeColor="text1"/>
                <w:szCs w:val="21"/>
                <w14:textFill>
                  <w14:solidFill>
                    <w14:schemeClr w14:val="tx1"/>
                  </w14:solidFill>
                </w14:textFill>
              </w:rPr>
            </w:pPr>
            <w:r>
              <w:rPr>
                <w:rFonts w:hint="eastAsia"/>
                <w:color w:val="000000" w:themeColor="text1"/>
                <w:szCs w:val="21"/>
                <w14:textFill>
                  <w14:solidFill>
                    <w14:schemeClr w14:val="tx1"/>
                  </w14:solidFill>
                </w14:textFill>
              </w:rPr>
              <w:t>▲</w:t>
            </w:r>
            <w:r>
              <w:rPr>
                <w:rFonts w:hint="eastAsia" w:cs="宋体" w:asciiTheme="minorEastAsia" w:hAnsiTheme="minorEastAsia"/>
                <w:color w:val="000000" w:themeColor="text1"/>
                <w:szCs w:val="21"/>
                <w14:textFill>
                  <w14:solidFill>
                    <w14:schemeClr w14:val="tx1"/>
                  </w14:solidFill>
                </w14:textFill>
              </w:rPr>
              <w:t>为重要指标项，指标须提供的检测报告具有 CNAS、CMA、CAL三种及以上认证标志的权威检测机构出具的检测报告复印件并加盖</w:t>
            </w:r>
            <w:r>
              <w:rPr>
                <w:rFonts w:hint="eastAsia" w:cs="宋体" w:asciiTheme="minorEastAsia" w:hAnsiTheme="minorEastAsia"/>
                <w:color w:val="000000" w:themeColor="text1"/>
                <w:szCs w:val="21"/>
                <w:lang w:val="en-US" w:eastAsia="zh-CN"/>
                <w14:textFill>
                  <w14:solidFill>
                    <w14:schemeClr w14:val="tx1"/>
                  </w14:solidFill>
                </w14:textFill>
              </w:rPr>
              <w:t>生产厂家和</w:t>
            </w:r>
            <w:r>
              <w:rPr>
                <w:rFonts w:hint="eastAsia" w:cs="宋体" w:asciiTheme="minorEastAsia" w:hAnsiTheme="minorEastAsia"/>
                <w:color w:val="000000" w:themeColor="text1"/>
                <w:szCs w:val="21"/>
                <w14:textFill>
                  <w14:solidFill>
                    <w14:schemeClr w14:val="tx1"/>
                  </w14:solidFill>
                </w14:textFill>
              </w:rPr>
              <w:t>供应商公章，原件备查。投标人须在技术指标响应偏离表中须明确</w:t>
            </w:r>
            <w:r>
              <w:rPr>
                <w:rFonts w:hint="eastAsia"/>
                <w:color w:val="000000" w:themeColor="text1"/>
                <w:szCs w:val="21"/>
                <w14:textFill>
                  <w14:solidFill>
                    <w14:schemeClr w14:val="tx1"/>
                  </w14:solidFill>
                </w14:textFill>
              </w:rPr>
              <w:t>▲</w:t>
            </w:r>
            <w:r>
              <w:rPr>
                <w:rFonts w:hint="eastAsia" w:cs="宋体" w:asciiTheme="minorEastAsia" w:hAnsiTheme="minorEastAsia"/>
                <w:color w:val="000000" w:themeColor="text1"/>
                <w:szCs w:val="21"/>
                <w14:textFill>
                  <w14:solidFill>
                    <w14:schemeClr w14:val="tx1"/>
                  </w14:solidFill>
                </w14:textFill>
              </w:rPr>
              <w:t>条款指标项在检测报告中对应检测项页码及序号</w:t>
            </w:r>
            <w:r>
              <w:rPr>
                <w:rFonts w:hint="eastAsia" w:cs="宋体" w:asciiTheme="minorEastAsia" w:hAnsiTheme="minorEastAsia"/>
                <w:b/>
                <w:bCs/>
                <w:color w:val="000000" w:themeColor="text1"/>
                <w:szCs w:val="21"/>
                <w14:textFill>
                  <w14:solidFill>
                    <w14:schemeClr w14:val="tx1"/>
                  </w14:solidFill>
                </w14:textFill>
              </w:rPr>
              <w:t>，如检测报告造假，废除投标人投标资格并保留追究其虚假应标责任的权利</w:t>
            </w:r>
            <w:r>
              <w:rPr>
                <w:rFonts w:hint="eastAsia" w:cs="宋体" w:asciiTheme="minorEastAsia" w:hAnsiTheme="minorEastAsia"/>
                <w:color w:val="000000" w:themeColor="text1"/>
                <w:szCs w:val="21"/>
                <w14:textFill>
                  <w14:solidFill>
                    <w14:schemeClr w14:val="tx1"/>
                  </w14:solidFill>
                </w14:textFill>
              </w:rPr>
              <w:t>；</w:t>
            </w:r>
          </w:p>
          <w:p w14:paraId="6D20D734">
            <w:pPr>
              <w:keepNext w:val="0"/>
              <w:keepLines w:val="0"/>
              <w:numPr>
                <w:ilvl w:val="0"/>
                <w:numId w:val="4"/>
              </w:numPr>
              <w:suppressLineNumbers w:val="0"/>
              <w:spacing w:before="0" w:beforeAutospacing="0" w:after="0" w:afterAutospacing="0"/>
              <w:ind w:left="0" w:right="0"/>
              <w:jc w:val="left"/>
              <w:rPr>
                <w:rFonts w:hint="eastAsia" w:cs="宋体" w:asciiTheme="minorEastAsia" w:hAnsiTheme="minorEastAsia"/>
                <w:color w:val="000000" w:themeColor="text1"/>
                <w:szCs w:val="21"/>
                <w14:textFill>
                  <w14:solidFill>
                    <w14:schemeClr w14:val="tx1"/>
                  </w14:solidFill>
                </w14:textFill>
              </w:rPr>
            </w:pPr>
            <w:r>
              <w:rPr>
                <w:rFonts w:hint="eastAsia" w:cs="宋体" w:asciiTheme="minorEastAsia" w:hAnsiTheme="minorEastAsia"/>
                <w:szCs w:val="21"/>
              </w:rPr>
              <w:t>投标人</w:t>
            </w:r>
            <w:r>
              <w:rPr>
                <w:rFonts w:hint="eastAsia" w:cs="宋体" w:asciiTheme="minorEastAsia" w:hAnsiTheme="minorEastAsia"/>
                <w:szCs w:val="21"/>
                <w:lang w:val="en-US" w:eastAsia="zh-CN"/>
              </w:rPr>
              <w:t>必须提供</w:t>
            </w:r>
            <w:r>
              <w:rPr>
                <w:rFonts w:hint="eastAsia" w:cs="宋体" w:asciiTheme="minorEastAsia" w:hAnsiTheme="minorEastAsia"/>
                <w:szCs w:val="21"/>
              </w:rPr>
              <w:t>近三年（截止开标时间）</w:t>
            </w:r>
            <w:r>
              <w:rPr>
                <w:rFonts w:hint="eastAsia" w:cs="宋体" w:asciiTheme="minorEastAsia" w:hAnsiTheme="minorEastAsia"/>
                <w:szCs w:val="21"/>
                <w:lang w:val="en-US" w:eastAsia="zh-CN"/>
              </w:rPr>
              <w:t>所</w:t>
            </w:r>
            <w:r>
              <w:rPr>
                <w:rFonts w:hint="eastAsia" w:cs="宋体" w:asciiTheme="minorEastAsia" w:hAnsiTheme="minorEastAsia"/>
                <w:szCs w:val="21"/>
              </w:rPr>
              <w:t>投标产品</w:t>
            </w:r>
            <w:r>
              <w:rPr>
                <w:rFonts w:hint="eastAsia" w:cs="宋体" w:asciiTheme="minorEastAsia" w:hAnsiTheme="minorEastAsia"/>
                <w:szCs w:val="21"/>
                <w:lang w:val="en-US" w:eastAsia="zh-CN"/>
              </w:rPr>
              <w:t>的</w:t>
            </w:r>
            <w:r>
              <w:rPr>
                <w:rFonts w:hint="eastAsia" w:cs="宋体" w:asciiTheme="minorEastAsia" w:hAnsiTheme="minorEastAsia"/>
                <w:szCs w:val="21"/>
              </w:rPr>
              <w:t>（合同必须体现无人机预警、无人机监测、无人机防御、无人机管控、无人机反制等与针对无人机监测反制相关的名称）的国内销售业绩。以提供</w:t>
            </w:r>
            <w:r>
              <w:rPr>
                <w:rFonts w:hint="eastAsia" w:cs="宋体" w:asciiTheme="minorEastAsia" w:hAnsiTheme="minorEastAsia"/>
                <w:szCs w:val="21"/>
                <w:lang w:val="en-US" w:eastAsia="zh-CN"/>
              </w:rPr>
              <w:t>的所</w:t>
            </w:r>
            <w:r>
              <w:rPr>
                <w:rFonts w:hint="eastAsia" w:cs="宋体" w:asciiTheme="minorEastAsia" w:hAnsiTheme="minorEastAsia"/>
                <w:szCs w:val="21"/>
              </w:rPr>
              <w:t>投标产品销售合同复印件为准，最多提供5份合同</w:t>
            </w:r>
          </w:p>
          <w:p w14:paraId="730A5DDF">
            <w:pPr>
              <w:jc w:val="left"/>
              <w:rPr>
                <w:rFonts w:hint="eastAsia" w:cs="宋体" w:asciiTheme="minorEastAsia" w:hAnsiTheme="minorEastAsia"/>
                <w:color w:val="000000" w:themeColor="text1"/>
                <w:szCs w:val="21"/>
                <w14:textFill>
                  <w14:solidFill>
                    <w14:schemeClr w14:val="tx1"/>
                  </w14:solidFill>
                </w14:textFill>
              </w:rPr>
            </w:pPr>
            <w:r>
              <w:rPr>
                <w:rFonts w:hint="eastAsia" w:cs="宋体" w:asciiTheme="minorEastAsia" w:hAnsiTheme="minorEastAsia"/>
                <w:color w:val="000000" w:themeColor="text1"/>
                <w:szCs w:val="21"/>
                <w14:textFill>
                  <w14:solidFill>
                    <w14:schemeClr w14:val="tx1"/>
                  </w14:solidFill>
                </w14:textFill>
              </w:rPr>
              <w:t>（</w:t>
            </w:r>
            <w:r>
              <w:rPr>
                <w:rFonts w:hint="eastAsia" w:cs="宋体" w:asciiTheme="minorEastAsia" w:hAnsiTheme="minorEastAsia"/>
                <w:color w:val="000000" w:themeColor="text1"/>
                <w:szCs w:val="21"/>
                <w:lang w:val="en-US" w:eastAsia="zh-CN"/>
                <w14:textFill>
                  <w14:solidFill>
                    <w14:schemeClr w14:val="tx1"/>
                  </w14:solidFill>
                </w14:textFill>
              </w:rPr>
              <w:t>3</w:t>
            </w:r>
            <w:r>
              <w:rPr>
                <w:rFonts w:hint="eastAsia" w:cs="宋体" w:asciiTheme="minorEastAsia" w:hAnsiTheme="minorEastAsia"/>
                <w:color w:val="000000" w:themeColor="text1"/>
                <w:szCs w:val="21"/>
                <w14:textFill>
                  <w14:solidFill>
                    <w14:schemeClr w14:val="tx1"/>
                  </w14:solidFill>
                </w14:textFill>
              </w:rPr>
              <w:t>）项目预中标公示后</w:t>
            </w:r>
            <w:r>
              <w:rPr>
                <w:rFonts w:hint="default" w:cs="宋体" w:asciiTheme="minorEastAsia" w:hAnsiTheme="minorEastAsia"/>
                <w:color w:val="000000" w:themeColor="text1"/>
                <w:szCs w:val="21"/>
                <w14:textFill>
                  <w14:solidFill>
                    <w14:schemeClr w14:val="tx1"/>
                  </w14:solidFill>
                </w14:textFill>
              </w:rPr>
              <w:t>5</w:t>
            </w:r>
            <w:r>
              <w:rPr>
                <w:rFonts w:hint="eastAsia" w:cs="宋体" w:asciiTheme="minorEastAsia" w:hAnsiTheme="minorEastAsia"/>
                <w:color w:val="000000" w:themeColor="text1"/>
                <w:szCs w:val="21"/>
                <w14:textFill>
                  <w14:solidFill>
                    <w14:schemeClr w14:val="tx1"/>
                  </w14:solidFill>
                </w14:textFill>
              </w:rPr>
              <w:t>日内需提供满足参数的</w:t>
            </w:r>
            <w:r>
              <w:rPr>
                <w:rFonts w:hint="eastAsia" w:cs="宋体" w:asciiTheme="minorEastAsia" w:hAnsiTheme="minorEastAsia"/>
                <w:b/>
                <w:bCs/>
                <w:color w:val="000000" w:themeColor="text1"/>
                <w:szCs w:val="21"/>
                <w14:textFill>
                  <w14:solidFill>
                    <w14:schemeClr w14:val="tx1"/>
                  </w14:solidFill>
                </w14:textFill>
              </w:rPr>
              <w:t>整机产品</w:t>
            </w:r>
            <w:r>
              <w:rPr>
                <w:rFonts w:hint="eastAsia" w:cs="宋体" w:asciiTheme="minorEastAsia" w:hAnsiTheme="minorEastAsia"/>
                <w:color w:val="000000" w:themeColor="text1"/>
                <w:szCs w:val="21"/>
                <w14:textFill>
                  <w14:solidFill>
                    <w14:schemeClr w14:val="tx1"/>
                  </w14:solidFill>
                </w14:textFill>
              </w:rPr>
              <w:t>来实地演示测</w:t>
            </w:r>
            <w:r>
              <w:rPr>
                <w:rFonts w:hint="eastAsia" w:cs="宋体" w:asciiTheme="minorEastAsia" w:hAnsiTheme="minorEastAsia"/>
                <w:b/>
                <w:bCs/>
                <w:color w:val="000000" w:themeColor="text1"/>
                <w:szCs w:val="21"/>
                <w14:textFill>
                  <w14:solidFill>
                    <w14:schemeClr w14:val="tx1"/>
                  </w14:solidFill>
                </w14:textFill>
              </w:rPr>
              <w:t>验性能</w:t>
            </w:r>
            <w:r>
              <w:rPr>
                <w:rFonts w:hint="eastAsia" w:cs="宋体" w:asciiTheme="minorEastAsia" w:hAnsiTheme="minorEastAsia"/>
                <w:b/>
                <w:bCs/>
                <w:color w:val="000000" w:themeColor="text1"/>
                <w:szCs w:val="21"/>
                <w:lang w:val="en-US" w:eastAsia="zh-CN"/>
                <w14:textFill>
                  <w14:solidFill>
                    <w14:schemeClr w14:val="tx1"/>
                  </w14:solidFill>
                </w14:textFill>
              </w:rPr>
              <w:t>及硬件构造及数量</w:t>
            </w:r>
            <w:r>
              <w:rPr>
                <w:rFonts w:hint="eastAsia" w:cs="宋体" w:asciiTheme="minorEastAsia" w:hAnsiTheme="minorEastAsia"/>
                <w:b/>
                <w:bCs/>
                <w:color w:val="000000" w:themeColor="text1"/>
                <w:szCs w:val="21"/>
                <w14:textFill>
                  <w14:solidFill>
                    <w14:schemeClr w14:val="tx1"/>
                  </w14:solidFill>
                </w14:textFill>
              </w:rPr>
              <w:t>是否合</w:t>
            </w:r>
            <w:r>
              <w:rPr>
                <w:rFonts w:hint="eastAsia" w:cs="宋体" w:asciiTheme="minorEastAsia" w:hAnsiTheme="minorEastAsia"/>
                <w:color w:val="000000" w:themeColor="text1"/>
                <w:szCs w:val="21"/>
                <w14:textFill>
                  <w14:solidFill>
                    <w14:schemeClr w14:val="tx1"/>
                  </w14:solidFill>
                </w14:textFill>
              </w:rPr>
              <w:t>格,样机不符合招标要求以及未按时提供设备进行测试的都视作供应商产品性能不符，采购方有权作废标处理并保留追究供应商虚假应标责任的权利。</w:t>
            </w:r>
          </w:p>
          <w:p w14:paraId="20C03FE6">
            <w:pPr>
              <w:jc w:val="left"/>
              <w:rPr>
                <w:color w:val="000000" w:themeColor="text1"/>
                <w:szCs w:val="21"/>
                <w14:textFill>
                  <w14:solidFill>
                    <w14:schemeClr w14:val="tx1"/>
                  </w14:solidFill>
                </w14:textFill>
              </w:rPr>
            </w:pPr>
            <w:r>
              <w:rPr>
                <w:rFonts w:hint="eastAsia" w:cs="宋体" w:asciiTheme="minorEastAsia" w:hAnsiTheme="minorEastAsia"/>
                <w:color w:val="000000" w:themeColor="text1"/>
                <w:szCs w:val="21"/>
                <w14:textFill>
                  <w14:solidFill>
                    <w14:schemeClr w14:val="tx1"/>
                  </w14:solidFill>
                </w14:textFill>
              </w:rPr>
              <w:t>（</w:t>
            </w:r>
            <w:r>
              <w:rPr>
                <w:rFonts w:hint="eastAsia" w:cs="宋体" w:asciiTheme="minorEastAsia" w:hAnsiTheme="minorEastAsia"/>
                <w:color w:val="000000" w:themeColor="text1"/>
                <w:szCs w:val="21"/>
                <w:lang w:val="en-US" w:eastAsia="zh-CN"/>
                <w14:textFill>
                  <w14:solidFill>
                    <w14:schemeClr w14:val="tx1"/>
                  </w14:solidFill>
                </w14:textFill>
              </w:rPr>
              <w:t>4</w:t>
            </w:r>
            <w:r>
              <w:rPr>
                <w:rFonts w:hint="eastAsia" w:cs="宋体" w:asciiTheme="minorEastAsia" w:hAnsiTheme="minorEastAsia"/>
                <w:color w:val="000000" w:themeColor="text1"/>
                <w:szCs w:val="21"/>
                <w14:textFill>
                  <w14:solidFill>
                    <w14:schemeClr w14:val="tx1"/>
                  </w14:solidFill>
                </w14:textFill>
              </w:rPr>
              <w:t>）</w:t>
            </w:r>
            <w:r>
              <w:rPr>
                <w:rFonts w:hint="eastAsia" w:cs="宋体" w:asciiTheme="minorEastAsia" w:hAnsiTheme="minorEastAsia"/>
                <w:color w:val="000000" w:themeColor="text1"/>
                <w:szCs w:val="21"/>
                <w:lang w:val="en-US" w:eastAsia="zh-CN"/>
                <w14:textFill>
                  <w14:solidFill>
                    <w14:schemeClr w14:val="tx1"/>
                  </w14:solidFill>
                </w14:textFill>
              </w:rPr>
              <w:t>必须提供针对该项目的投标产品生产厂家的授权书原件(原件需加盖水印,水印内容包括项目名称及编号)</w:t>
            </w:r>
            <w:r>
              <w:rPr>
                <w:rFonts w:hint="eastAsia" w:cs="宋体" w:asciiTheme="minorEastAsia" w:hAnsiTheme="minorEastAsia"/>
                <w:color w:val="000000" w:themeColor="text1"/>
                <w:szCs w:val="21"/>
                <w14:textFill>
                  <w14:solidFill>
                    <w14:schemeClr w14:val="tx1"/>
                  </w14:solidFill>
                </w14:textFill>
              </w:rPr>
              <w:t>。</w:t>
            </w:r>
          </w:p>
        </w:tc>
        <w:tc>
          <w:tcPr>
            <w:tcW w:w="702" w:type="dxa"/>
            <w:vAlign w:val="center"/>
          </w:tcPr>
          <w:p w14:paraId="3F4CD764">
            <w:pPr>
              <w:spacing w:line="400" w:lineRule="exact"/>
              <w:jc w:val="center"/>
              <w:rPr>
                <w:rFonts w:eastAsia="仿宋_GB2312"/>
                <w:sz w:val="24"/>
              </w:rPr>
            </w:pPr>
          </w:p>
        </w:tc>
      </w:tr>
    </w:tbl>
    <w:p w14:paraId="1D31B743">
      <w:pPr>
        <w:jc w:val="left"/>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88"/>
    <w:family w:val="script"/>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swiss"/>
    <w:pitch w:val="default"/>
    <w:sig w:usb0="E4002EFF" w:usb1="C000247B" w:usb2="00000009" w:usb3="00000000" w:csb0="200001FF"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4F7C235"/>
    <w:multiLevelType w:val="singleLevel"/>
    <w:tmpl w:val="C4F7C235"/>
    <w:lvl w:ilvl="0" w:tentative="0">
      <w:start w:val="8"/>
      <w:numFmt w:val="decimal"/>
      <w:suff w:val="nothing"/>
      <w:lvlText w:val="%1、"/>
      <w:lvlJc w:val="left"/>
      <w:pPr>
        <w:tabs>
          <w:tab w:val="left" w:pos="0"/>
        </w:tabs>
        <w:ind w:left="0" w:firstLine="0"/>
      </w:pPr>
      <w:rPr>
        <w:rFonts w:hint="default"/>
      </w:rPr>
    </w:lvl>
  </w:abstractNum>
  <w:abstractNum w:abstractNumId="1">
    <w:nsid w:val="04B8ACEA"/>
    <w:multiLevelType w:val="singleLevel"/>
    <w:tmpl w:val="04B8ACEA"/>
    <w:lvl w:ilvl="0" w:tentative="0">
      <w:start w:val="19"/>
      <w:numFmt w:val="decimal"/>
      <w:suff w:val="nothing"/>
      <w:lvlText w:val="%1、"/>
      <w:lvlJc w:val="left"/>
    </w:lvl>
  </w:abstractNum>
  <w:abstractNum w:abstractNumId="2">
    <w:nsid w:val="08F0D73F"/>
    <w:multiLevelType w:val="singleLevel"/>
    <w:tmpl w:val="08F0D73F"/>
    <w:lvl w:ilvl="0" w:tentative="0">
      <w:start w:val="1"/>
      <w:numFmt w:val="decimal"/>
      <w:suff w:val="nothing"/>
      <w:lvlText w:val="（%1）"/>
      <w:lvlJc w:val="left"/>
    </w:lvl>
  </w:abstractNum>
  <w:abstractNum w:abstractNumId="3">
    <w:nsid w:val="2B93D89D"/>
    <w:multiLevelType w:val="singleLevel"/>
    <w:tmpl w:val="2B93D89D"/>
    <w:lvl w:ilvl="0" w:tentative="0">
      <w:start w:val="8"/>
      <w:numFmt w:val="decimal"/>
      <w:suff w:val="nothing"/>
      <w:lvlText w:val="%1、"/>
      <w:lvlJc w:val="left"/>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WU5MTIwMGM2OTUxNmUyODI5OGMwMWMzYTQ5MjZiNjQifQ=="/>
  </w:docVars>
  <w:rsids>
    <w:rsidRoot w:val="5EEE07C8"/>
    <w:rsid w:val="00014C7B"/>
    <w:rsid w:val="00022EDC"/>
    <w:rsid w:val="00023EDA"/>
    <w:rsid w:val="000658B1"/>
    <w:rsid w:val="00112269"/>
    <w:rsid w:val="001200EF"/>
    <w:rsid w:val="001D208A"/>
    <w:rsid w:val="00296CC3"/>
    <w:rsid w:val="002E43CF"/>
    <w:rsid w:val="003764A4"/>
    <w:rsid w:val="003D5B2E"/>
    <w:rsid w:val="00437A54"/>
    <w:rsid w:val="0045006D"/>
    <w:rsid w:val="00476833"/>
    <w:rsid w:val="004C694E"/>
    <w:rsid w:val="004E09C0"/>
    <w:rsid w:val="00510696"/>
    <w:rsid w:val="0054086F"/>
    <w:rsid w:val="00557378"/>
    <w:rsid w:val="005749A4"/>
    <w:rsid w:val="005A3DEE"/>
    <w:rsid w:val="005A7A17"/>
    <w:rsid w:val="005B7205"/>
    <w:rsid w:val="005F6EC5"/>
    <w:rsid w:val="007F5F31"/>
    <w:rsid w:val="00835FF2"/>
    <w:rsid w:val="00837C21"/>
    <w:rsid w:val="00B808C8"/>
    <w:rsid w:val="00B8720B"/>
    <w:rsid w:val="00B942C0"/>
    <w:rsid w:val="00C72128"/>
    <w:rsid w:val="00C73E29"/>
    <w:rsid w:val="00CD43FF"/>
    <w:rsid w:val="00D84526"/>
    <w:rsid w:val="00DE13F1"/>
    <w:rsid w:val="00E1383A"/>
    <w:rsid w:val="00E46D36"/>
    <w:rsid w:val="00ED4BF0"/>
    <w:rsid w:val="01E90844"/>
    <w:rsid w:val="03174F3D"/>
    <w:rsid w:val="03581E2F"/>
    <w:rsid w:val="035B751F"/>
    <w:rsid w:val="04893C18"/>
    <w:rsid w:val="05044379"/>
    <w:rsid w:val="05E55DA7"/>
    <w:rsid w:val="066B27A8"/>
    <w:rsid w:val="07A5520D"/>
    <w:rsid w:val="07D72EEC"/>
    <w:rsid w:val="07FE5178"/>
    <w:rsid w:val="081E79F3"/>
    <w:rsid w:val="08365E65"/>
    <w:rsid w:val="0AAF1EFF"/>
    <w:rsid w:val="0B0C55A3"/>
    <w:rsid w:val="0B6131F9"/>
    <w:rsid w:val="0B8770A3"/>
    <w:rsid w:val="0C8C2941"/>
    <w:rsid w:val="0E5B4877"/>
    <w:rsid w:val="0EDB32C2"/>
    <w:rsid w:val="0F9B0CA3"/>
    <w:rsid w:val="0FA37209"/>
    <w:rsid w:val="11F53A04"/>
    <w:rsid w:val="12217B86"/>
    <w:rsid w:val="14D233B9"/>
    <w:rsid w:val="155E69FB"/>
    <w:rsid w:val="156A53A0"/>
    <w:rsid w:val="15895C74"/>
    <w:rsid w:val="16774218"/>
    <w:rsid w:val="16C3173D"/>
    <w:rsid w:val="17817A06"/>
    <w:rsid w:val="18D05E62"/>
    <w:rsid w:val="18F71640"/>
    <w:rsid w:val="19377C8F"/>
    <w:rsid w:val="19D9149B"/>
    <w:rsid w:val="1BB42683"/>
    <w:rsid w:val="1CF10155"/>
    <w:rsid w:val="1D4D751E"/>
    <w:rsid w:val="1ECC2C27"/>
    <w:rsid w:val="201725C8"/>
    <w:rsid w:val="21577120"/>
    <w:rsid w:val="2260124E"/>
    <w:rsid w:val="23D031BA"/>
    <w:rsid w:val="2443573A"/>
    <w:rsid w:val="26AF70B6"/>
    <w:rsid w:val="28164F13"/>
    <w:rsid w:val="281C077C"/>
    <w:rsid w:val="283B5EC4"/>
    <w:rsid w:val="2892747D"/>
    <w:rsid w:val="28BE1833"/>
    <w:rsid w:val="29773A6B"/>
    <w:rsid w:val="29C0782D"/>
    <w:rsid w:val="2B9C5A5B"/>
    <w:rsid w:val="2CE12E07"/>
    <w:rsid w:val="2ED00512"/>
    <w:rsid w:val="2ED3590C"/>
    <w:rsid w:val="31034A99"/>
    <w:rsid w:val="314564C3"/>
    <w:rsid w:val="34006B60"/>
    <w:rsid w:val="340C3226"/>
    <w:rsid w:val="35921E6E"/>
    <w:rsid w:val="38613F89"/>
    <w:rsid w:val="39A532BB"/>
    <w:rsid w:val="3A810912"/>
    <w:rsid w:val="3AB40CE8"/>
    <w:rsid w:val="3C01300C"/>
    <w:rsid w:val="3DBD7EB3"/>
    <w:rsid w:val="3EE33949"/>
    <w:rsid w:val="3F641744"/>
    <w:rsid w:val="3FA27361"/>
    <w:rsid w:val="404339FD"/>
    <w:rsid w:val="420A296D"/>
    <w:rsid w:val="462A00B0"/>
    <w:rsid w:val="47B31871"/>
    <w:rsid w:val="48A64365"/>
    <w:rsid w:val="49787384"/>
    <w:rsid w:val="49B43FD5"/>
    <w:rsid w:val="4C9149E5"/>
    <w:rsid w:val="4D9C75AF"/>
    <w:rsid w:val="51870AAC"/>
    <w:rsid w:val="534E7AD3"/>
    <w:rsid w:val="53C2401E"/>
    <w:rsid w:val="53F950D9"/>
    <w:rsid w:val="5503044A"/>
    <w:rsid w:val="5510053B"/>
    <w:rsid w:val="57811AFA"/>
    <w:rsid w:val="596D2336"/>
    <w:rsid w:val="5BEA2363"/>
    <w:rsid w:val="5BF62DB9"/>
    <w:rsid w:val="5CD018F4"/>
    <w:rsid w:val="5CF54B1C"/>
    <w:rsid w:val="5EEE07C8"/>
    <w:rsid w:val="5FA8659B"/>
    <w:rsid w:val="606E6E50"/>
    <w:rsid w:val="639025CC"/>
    <w:rsid w:val="646507D9"/>
    <w:rsid w:val="66B67B2F"/>
    <w:rsid w:val="67EC2FBF"/>
    <w:rsid w:val="68001AE2"/>
    <w:rsid w:val="6AE82164"/>
    <w:rsid w:val="6BD44496"/>
    <w:rsid w:val="6BF539AB"/>
    <w:rsid w:val="6C512E4E"/>
    <w:rsid w:val="6D4A4A10"/>
    <w:rsid w:val="705838E8"/>
    <w:rsid w:val="715967CD"/>
    <w:rsid w:val="71A77239"/>
    <w:rsid w:val="721E3FC3"/>
    <w:rsid w:val="73F92CEC"/>
    <w:rsid w:val="76D107BD"/>
    <w:rsid w:val="77866F8C"/>
    <w:rsid w:val="780F3873"/>
    <w:rsid w:val="79386064"/>
    <w:rsid w:val="797F5A41"/>
    <w:rsid w:val="79915775"/>
    <w:rsid w:val="7B046B46"/>
    <w:rsid w:val="7B3B63F1"/>
    <w:rsid w:val="7ECD22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99"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autoRedefine/>
    <w:qFormat/>
    <w:uiPriority w:val="0"/>
    <w:pPr>
      <w:keepNext/>
      <w:keepLines/>
      <w:widowControl/>
      <w:spacing w:before="340" w:after="330" w:line="576" w:lineRule="auto"/>
      <w:jc w:val="left"/>
      <w:outlineLvl w:val="0"/>
    </w:pPr>
    <w:rPr>
      <w:rFonts w:ascii="Times New Roman" w:hAnsi="Times New Roman" w:eastAsia="宋体" w:cs="Times New Roman"/>
      <w:b/>
      <w:bCs/>
      <w:kern w:val="44"/>
      <w:sz w:val="44"/>
      <w:szCs w:val="44"/>
    </w:rPr>
  </w:style>
  <w:style w:type="paragraph" w:styleId="3">
    <w:name w:val="heading 4"/>
    <w:basedOn w:val="1"/>
    <w:next w:val="1"/>
    <w:link w:val="13"/>
    <w:autoRedefine/>
    <w:semiHidden/>
    <w:unhideWhenUsed/>
    <w:qFormat/>
    <w:uiPriority w:val="0"/>
    <w:pPr>
      <w:keepNext/>
      <w:keepLines/>
      <w:spacing w:before="280" w:after="290" w:line="376" w:lineRule="auto"/>
      <w:outlineLvl w:val="3"/>
    </w:pPr>
    <w:rPr>
      <w:rFonts w:asciiTheme="majorHAnsi" w:hAnsiTheme="majorHAnsi" w:eastAsiaTheme="majorEastAsia" w:cstheme="majorBidi"/>
      <w:b/>
      <w:bCs/>
      <w:sz w:val="28"/>
      <w:szCs w:val="28"/>
    </w:rPr>
  </w:style>
  <w:style w:type="character" w:default="1" w:styleId="12">
    <w:name w:val="Default Paragraph Font"/>
    <w:semiHidden/>
    <w:unhideWhenUsed/>
    <w:qFormat/>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4">
    <w:name w:val="table of authorities"/>
    <w:basedOn w:val="1"/>
    <w:next w:val="1"/>
    <w:autoRedefine/>
    <w:qFormat/>
    <w:uiPriority w:val="0"/>
    <w:pPr>
      <w:widowControl/>
      <w:ind w:left="420" w:leftChars="200"/>
      <w:jc w:val="left"/>
    </w:pPr>
    <w:rPr>
      <w:rFonts w:ascii="Calibri" w:hAnsi="Calibri" w:eastAsia="宋体" w:cs="Times New Roman"/>
      <w:szCs w:val="24"/>
    </w:rPr>
  </w:style>
  <w:style w:type="paragraph" w:styleId="5">
    <w:name w:val="Body Text"/>
    <w:basedOn w:val="1"/>
    <w:next w:val="1"/>
    <w:link w:val="15"/>
    <w:autoRedefine/>
    <w:qFormat/>
    <w:uiPriority w:val="1"/>
    <w:pPr>
      <w:autoSpaceDE w:val="0"/>
      <w:autoSpaceDN w:val="0"/>
      <w:ind w:left="282"/>
      <w:jc w:val="left"/>
    </w:pPr>
    <w:rPr>
      <w:rFonts w:ascii="宋体" w:hAnsi="宋体" w:eastAsia="宋体" w:cs="宋体"/>
      <w:kern w:val="0"/>
      <w:sz w:val="24"/>
      <w:szCs w:val="24"/>
    </w:rPr>
  </w:style>
  <w:style w:type="paragraph" w:styleId="6">
    <w:name w:val="Block Text"/>
    <w:basedOn w:val="1"/>
    <w:autoRedefine/>
    <w:qFormat/>
    <w:uiPriority w:val="99"/>
    <w:pPr>
      <w:spacing w:before="156" w:beforeLines="50" w:after="156" w:afterLines="50"/>
      <w:ind w:left="426" w:right="-11" w:hanging="426" w:hangingChars="203"/>
    </w:pPr>
    <w:rPr>
      <w:rFonts w:eastAsia="楷体_GB2312"/>
    </w:rPr>
  </w:style>
  <w:style w:type="paragraph" w:styleId="7">
    <w:name w:val="Balloon Text"/>
    <w:basedOn w:val="1"/>
    <w:link w:val="18"/>
    <w:autoRedefine/>
    <w:qFormat/>
    <w:uiPriority w:val="0"/>
    <w:rPr>
      <w:sz w:val="18"/>
      <w:szCs w:val="18"/>
    </w:rPr>
  </w:style>
  <w:style w:type="paragraph" w:styleId="8">
    <w:name w:val="footer"/>
    <w:basedOn w:val="1"/>
    <w:link w:val="17"/>
    <w:autoRedefine/>
    <w:qFormat/>
    <w:uiPriority w:val="0"/>
    <w:pPr>
      <w:tabs>
        <w:tab w:val="center" w:pos="4153"/>
        <w:tab w:val="right" w:pos="8306"/>
      </w:tabs>
      <w:snapToGrid w:val="0"/>
      <w:jc w:val="left"/>
    </w:pPr>
    <w:rPr>
      <w:sz w:val="18"/>
      <w:szCs w:val="18"/>
    </w:rPr>
  </w:style>
  <w:style w:type="paragraph" w:styleId="9">
    <w:name w:val="header"/>
    <w:basedOn w:val="1"/>
    <w:link w:val="16"/>
    <w:autoRedefine/>
    <w:qFormat/>
    <w:uiPriority w:val="0"/>
    <w:pPr>
      <w:pBdr>
        <w:bottom w:val="single" w:color="auto" w:sz="6" w:space="1"/>
      </w:pBdr>
      <w:tabs>
        <w:tab w:val="center" w:pos="4153"/>
        <w:tab w:val="right" w:pos="8306"/>
      </w:tabs>
      <w:snapToGrid w:val="0"/>
      <w:jc w:val="center"/>
    </w:pPr>
    <w:rPr>
      <w:sz w:val="18"/>
      <w:szCs w:val="18"/>
    </w:rPr>
  </w:style>
  <w:style w:type="table" w:styleId="11">
    <w:name w:val="Table Grid"/>
    <w:basedOn w:val="10"/>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标题 4 字符"/>
    <w:basedOn w:val="12"/>
    <w:link w:val="3"/>
    <w:autoRedefine/>
    <w:semiHidden/>
    <w:qFormat/>
    <w:uiPriority w:val="0"/>
    <w:rPr>
      <w:rFonts w:asciiTheme="majorHAnsi" w:hAnsiTheme="majorHAnsi" w:eastAsiaTheme="majorEastAsia" w:cstheme="majorBidi"/>
      <w:b/>
      <w:bCs/>
      <w:kern w:val="2"/>
      <w:sz w:val="28"/>
      <w:szCs w:val="28"/>
    </w:rPr>
  </w:style>
  <w:style w:type="paragraph" w:styleId="14">
    <w:name w:val="No Spacing"/>
    <w:autoRedefine/>
    <w:qFormat/>
    <w:uiPriority w:val="1"/>
    <w:pPr>
      <w:widowControl w:val="0"/>
      <w:jc w:val="both"/>
    </w:pPr>
    <w:rPr>
      <w:rFonts w:asciiTheme="minorHAnsi" w:hAnsiTheme="minorHAnsi" w:eastAsiaTheme="minorEastAsia" w:cstheme="minorBidi"/>
      <w:kern w:val="2"/>
      <w:sz w:val="21"/>
      <w:szCs w:val="22"/>
      <w:lang w:val="en-US" w:eastAsia="zh-CN" w:bidi="ar-SA"/>
    </w:rPr>
  </w:style>
  <w:style w:type="character" w:customStyle="1" w:styleId="15">
    <w:name w:val="正文文本 字符"/>
    <w:basedOn w:val="12"/>
    <w:link w:val="5"/>
    <w:autoRedefine/>
    <w:qFormat/>
    <w:uiPriority w:val="1"/>
    <w:rPr>
      <w:rFonts w:ascii="宋体" w:hAnsi="宋体" w:eastAsia="宋体" w:cs="宋体"/>
      <w:sz w:val="24"/>
      <w:szCs w:val="24"/>
    </w:rPr>
  </w:style>
  <w:style w:type="character" w:customStyle="1" w:styleId="16">
    <w:name w:val="页眉 字符"/>
    <w:basedOn w:val="12"/>
    <w:link w:val="9"/>
    <w:autoRedefine/>
    <w:qFormat/>
    <w:uiPriority w:val="0"/>
    <w:rPr>
      <w:kern w:val="2"/>
      <w:sz w:val="18"/>
      <w:szCs w:val="18"/>
    </w:rPr>
  </w:style>
  <w:style w:type="character" w:customStyle="1" w:styleId="17">
    <w:name w:val="页脚 字符"/>
    <w:basedOn w:val="12"/>
    <w:link w:val="8"/>
    <w:autoRedefine/>
    <w:qFormat/>
    <w:uiPriority w:val="0"/>
    <w:rPr>
      <w:kern w:val="2"/>
      <w:sz w:val="18"/>
      <w:szCs w:val="18"/>
    </w:rPr>
  </w:style>
  <w:style w:type="character" w:customStyle="1" w:styleId="18">
    <w:name w:val="批注框文本 字符"/>
    <w:basedOn w:val="12"/>
    <w:link w:val="7"/>
    <w:autoRedefine/>
    <w:qFormat/>
    <w:uiPriority w:val="0"/>
    <w:rPr>
      <w:kern w:val="2"/>
      <w:sz w:val="18"/>
      <w:szCs w:val="18"/>
    </w:rPr>
  </w:style>
  <w:style w:type="paragraph" w:styleId="19">
    <w:name w:val="List Paragraph"/>
    <w:basedOn w:val="1"/>
    <w:autoRedefine/>
    <w:qFormat/>
    <w:uiPriority w:val="99"/>
    <w:pPr>
      <w:ind w:firstLine="420" w:firstLineChars="200"/>
    </w:pPr>
  </w:style>
  <w:style w:type="paragraph" w:customStyle="1" w:styleId="20">
    <w:name w:val="0正文"/>
    <w:autoRedefine/>
    <w:qFormat/>
    <w:uiPriority w:val="0"/>
    <w:pPr>
      <w:widowControl w:val="0"/>
      <w:spacing w:line="360" w:lineRule="auto"/>
      <w:ind w:firstLine="720" w:firstLineChars="200"/>
    </w:pPr>
    <w:rPr>
      <w:rFonts w:ascii="Calibri" w:hAnsi="Calibri" w:eastAsia="宋体" w:cs="Times New Roman"/>
      <w:sz w:val="24"/>
      <w:szCs w:val="22"/>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4</Pages>
  <Words>4300</Words>
  <Characters>5301</Characters>
  <Lines>3</Lines>
  <Paragraphs>6</Paragraphs>
  <TotalTime>71</TotalTime>
  <ScaleCrop>false</ScaleCrop>
  <LinksUpToDate>false</LinksUpToDate>
  <CharactersWithSpaces>5824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2024-10-11T01:01:00Z</dcterms:created>
  <dc:creator>符正桃</dc:creator>
  <cp:lastModifiedBy>lilywang</cp:lastModifiedBy>
  <dcterms:modified xsi:type="dcterms:W3CDTF">2025-03-21T01:29:17Z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E7C2DC43858C425190B06763CC1F4433_13</vt:lpwstr>
  </property>
  <property fmtid="{D5CDD505-2E9C-101B-9397-08002B2CF9AE}" pid="4" name="KSOTemplateDocerSaveRecord">
    <vt:lpwstr>eyJoZGlkIjoiODkyMzRjMGMyMGQzZmE2YjZhZWMyMWI5YmIwM2RiNTgiLCJ1c2VySWQiOiI2NDQzNTY2MjAifQ==</vt:lpwstr>
  </property>
</Properties>
</file>