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30E7821">
      <w:pPr>
        <w:spacing w:line="460" w:lineRule="exact"/>
        <w:jc w:val="center"/>
        <w:rPr>
          <w:rFonts w:ascii="仿宋" w:hAnsi="仿宋" w:eastAsia="仿宋" w:cs="仿宋"/>
          <w:b/>
          <w:bCs/>
          <w:sz w:val="44"/>
          <w:szCs w:val="44"/>
        </w:rPr>
      </w:pPr>
      <w:r>
        <w:rPr>
          <w:rFonts w:hint="eastAsia" w:ascii="仿宋" w:hAnsi="仿宋" w:eastAsia="仿宋" w:cs="仿宋"/>
          <w:b/>
          <w:bCs/>
          <w:sz w:val="44"/>
          <w:szCs w:val="44"/>
        </w:rPr>
        <w:t>JY</w:t>
      </w:r>
      <w:r>
        <w:rPr>
          <w:rFonts w:ascii="仿宋" w:hAnsi="仿宋" w:eastAsia="仿宋" w:cs="仿宋"/>
          <w:b/>
          <w:bCs/>
          <w:sz w:val="44"/>
          <w:szCs w:val="44"/>
        </w:rPr>
        <w:t>电教国产化配置单</w:t>
      </w:r>
    </w:p>
    <w:tbl>
      <w:tblPr>
        <w:tblStyle w:val="4"/>
        <w:tblpPr w:leftFromText="180" w:rightFromText="180" w:vertAnchor="text" w:horzAnchor="page" w:tblpXSpec="center" w:tblpY="446"/>
        <w:tblOverlap w:val="never"/>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84"/>
        <w:gridCol w:w="877"/>
        <w:gridCol w:w="848"/>
        <w:gridCol w:w="3876"/>
        <w:gridCol w:w="584"/>
        <w:gridCol w:w="584"/>
        <w:gridCol w:w="584"/>
        <w:gridCol w:w="585"/>
      </w:tblGrid>
      <w:tr w14:paraId="2408A2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0" w:type="auto"/>
            <w:vAlign w:val="center"/>
          </w:tcPr>
          <w:p w14:paraId="7E19E1F6">
            <w:pPr>
              <w:jc w:val="left"/>
              <w:rPr>
                <w:rFonts w:ascii="仿宋" w:hAnsi="仿宋" w:eastAsia="仿宋" w:cs="仿宋"/>
                <w:kern w:val="0"/>
                <w:szCs w:val="21"/>
              </w:rPr>
            </w:pPr>
            <w:r>
              <w:rPr>
                <w:rFonts w:hint="eastAsia" w:ascii="仿宋" w:hAnsi="仿宋" w:eastAsia="仿宋" w:cs="仿宋"/>
                <w:kern w:val="0"/>
                <w:szCs w:val="21"/>
              </w:rPr>
              <w:t>序号</w:t>
            </w:r>
          </w:p>
        </w:tc>
        <w:tc>
          <w:tcPr>
            <w:tcW w:w="877" w:type="dxa"/>
            <w:vAlign w:val="center"/>
          </w:tcPr>
          <w:p w14:paraId="4540E660">
            <w:pPr>
              <w:jc w:val="left"/>
              <w:rPr>
                <w:rFonts w:ascii="仿宋" w:hAnsi="仿宋" w:eastAsia="仿宋" w:cs="仿宋"/>
                <w:kern w:val="0"/>
                <w:szCs w:val="21"/>
              </w:rPr>
            </w:pPr>
            <w:r>
              <w:rPr>
                <w:rFonts w:hint="eastAsia" w:ascii="仿宋" w:hAnsi="仿宋" w:eastAsia="仿宋" w:cs="仿宋"/>
                <w:kern w:val="0"/>
                <w:szCs w:val="21"/>
              </w:rPr>
              <w:t>项目名称</w:t>
            </w:r>
          </w:p>
        </w:tc>
        <w:tc>
          <w:tcPr>
            <w:tcW w:w="848" w:type="dxa"/>
            <w:vAlign w:val="center"/>
          </w:tcPr>
          <w:p w14:paraId="0E55B522">
            <w:pPr>
              <w:jc w:val="left"/>
              <w:rPr>
                <w:rFonts w:ascii="仿宋" w:hAnsi="仿宋" w:eastAsia="仿宋" w:cs="仿宋"/>
                <w:kern w:val="0"/>
                <w:szCs w:val="21"/>
              </w:rPr>
            </w:pPr>
            <w:r>
              <w:rPr>
                <w:rFonts w:hint="eastAsia" w:ascii="仿宋" w:hAnsi="仿宋" w:eastAsia="仿宋" w:cs="仿宋"/>
                <w:kern w:val="0"/>
                <w:szCs w:val="21"/>
              </w:rPr>
              <w:t>品牌/型号</w:t>
            </w:r>
          </w:p>
        </w:tc>
        <w:tc>
          <w:tcPr>
            <w:tcW w:w="3875" w:type="dxa"/>
            <w:vAlign w:val="center"/>
          </w:tcPr>
          <w:p w14:paraId="492ED34B">
            <w:pPr>
              <w:jc w:val="left"/>
              <w:rPr>
                <w:rFonts w:ascii="仿宋" w:hAnsi="仿宋" w:eastAsia="仿宋" w:cs="仿宋"/>
                <w:kern w:val="0"/>
                <w:szCs w:val="21"/>
              </w:rPr>
            </w:pPr>
            <w:r>
              <w:rPr>
                <w:rFonts w:hint="eastAsia" w:ascii="仿宋" w:hAnsi="仿宋" w:eastAsia="仿宋" w:cs="仿宋"/>
                <w:kern w:val="0"/>
                <w:szCs w:val="21"/>
              </w:rPr>
              <w:t>技术参数及要求</w:t>
            </w:r>
          </w:p>
        </w:tc>
        <w:tc>
          <w:tcPr>
            <w:tcW w:w="0" w:type="auto"/>
            <w:vAlign w:val="center"/>
          </w:tcPr>
          <w:p w14:paraId="19DA1755">
            <w:pPr>
              <w:widowControl/>
              <w:jc w:val="center"/>
              <w:rPr>
                <w:rFonts w:ascii="仿宋" w:hAnsi="仿宋" w:eastAsia="仿宋" w:cs="仿宋"/>
                <w:kern w:val="0"/>
                <w:szCs w:val="21"/>
              </w:rPr>
            </w:pPr>
            <w:r>
              <w:rPr>
                <w:rFonts w:hint="eastAsia" w:ascii="仿宋" w:hAnsi="仿宋" w:eastAsia="仿宋" w:cs="仿宋"/>
                <w:kern w:val="0"/>
                <w:szCs w:val="21"/>
              </w:rPr>
              <w:t>数量</w:t>
            </w:r>
          </w:p>
        </w:tc>
        <w:tc>
          <w:tcPr>
            <w:tcW w:w="0" w:type="auto"/>
            <w:vAlign w:val="center"/>
          </w:tcPr>
          <w:p w14:paraId="2A5A6742">
            <w:pPr>
              <w:widowControl/>
              <w:jc w:val="center"/>
              <w:rPr>
                <w:rFonts w:ascii="仿宋" w:hAnsi="仿宋" w:eastAsia="仿宋" w:cs="仿宋"/>
                <w:kern w:val="0"/>
                <w:szCs w:val="21"/>
              </w:rPr>
            </w:pPr>
            <w:r>
              <w:rPr>
                <w:rFonts w:hint="eastAsia" w:ascii="仿宋" w:hAnsi="仿宋" w:eastAsia="仿宋" w:cs="仿宋"/>
                <w:kern w:val="0"/>
                <w:szCs w:val="21"/>
              </w:rPr>
              <w:t>单位</w:t>
            </w:r>
          </w:p>
        </w:tc>
        <w:tc>
          <w:tcPr>
            <w:tcW w:w="0" w:type="auto"/>
          </w:tcPr>
          <w:p w14:paraId="302C1C77">
            <w:pPr>
              <w:widowControl/>
              <w:rPr>
                <w:rFonts w:ascii="仿宋" w:hAnsi="仿宋" w:eastAsia="仿宋" w:cs="仿宋"/>
                <w:kern w:val="0"/>
                <w:szCs w:val="21"/>
              </w:rPr>
            </w:pPr>
            <w:r>
              <w:rPr>
                <w:rFonts w:hint="eastAsia" w:ascii="仿宋" w:hAnsi="仿宋" w:eastAsia="仿宋" w:cs="仿宋"/>
                <w:kern w:val="0"/>
                <w:szCs w:val="21"/>
              </w:rPr>
              <w:t>单价</w:t>
            </w:r>
          </w:p>
        </w:tc>
        <w:tc>
          <w:tcPr>
            <w:tcW w:w="0" w:type="auto"/>
          </w:tcPr>
          <w:p w14:paraId="7738BDFF">
            <w:pPr>
              <w:widowControl/>
              <w:jc w:val="center"/>
              <w:rPr>
                <w:rFonts w:ascii="仿宋" w:hAnsi="仿宋" w:eastAsia="仿宋" w:cs="仿宋"/>
                <w:kern w:val="0"/>
                <w:szCs w:val="21"/>
              </w:rPr>
            </w:pPr>
            <w:r>
              <w:rPr>
                <w:rFonts w:hint="eastAsia" w:ascii="仿宋" w:hAnsi="仿宋" w:eastAsia="仿宋" w:cs="仿宋"/>
                <w:kern w:val="0"/>
                <w:szCs w:val="21"/>
              </w:rPr>
              <w:t>小计</w:t>
            </w:r>
          </w:p>
        </w:tc>
      </w:tr>
      <w:tr w14:paraId="19FAFE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0" w:type="auto"/>
            <w:vAlign w:val="center"/>
          </w:tcPr>
          <w:p w14:paraId="57B5AF86">
            <w:pPr>
              <w:jc w:val="left"/>
              <w:rPr>
                <w:rFonts w:ascii="仿宋" w:hAnsi="仿宋" w:eastAsia="仿宋" w:cs="仿宋"/>
                <w:kern w:val="0"/>
                <w:szCs w:val="21"/>
              </w:rPr>
            </w:pPr>
            <w:r>
              <w:rPr>
                <w:rFonts w:hint="eastAsia" w:ascii="仿宋" w:hAnsi="仿宋" w:eastAsia="仿宋" w:cs="仿宋"/>
                <w:kern w:val="0"/>
                <w:szCs w:val="21"/>
              </w:rPr>
              <w:t>1</w:t>
            </w:r>
          </w:p>
        </w:tc>
        <w:tc>
          <w:tcPr>
            <w:tcW w:w="877" w:type="dxa"/>
            <w:vAlign w:val="center"/>
          </w:tcPr>
          <w:p w14:paraId="454D6EC1">
            <w:pPr>
              <w:jc w:val="left"/>
              <w:rPr>
                <w:rFonts w:ascii="仿宋" w:hAnsi="仿宋" w:eastAsia="仿宋" w:cs="仿宋"/>
                <w:kern w:val="0"/>
                <w:szCs w:val="21"/>
              </w:rPr>
            </w:pPr>
            <w:r>
              <w:rPr>
                <w:rFonts w:hint="eastAsia" w:ascii="仿宋" w:hAnsi="仿宋" w:eastAsia="仿宋" w:cs="仿宋"/>
                <w:kern w:val="0"/>
                <w:szCs w:val="21"/>
              </w:rPr>
              <w:t>麒麟操作系统</w:t>
            </w:r>
          </w:p>
        </w:tc>
        <w:tc>
          <w:tcPr>
            <w:tcW w:w="848" w:type="dxa"/>
            <w:vAlign w:val="center"/>
          </w:tcPr>
          <w:p w14:paraId="3DAF50AC">
            <w:pPr>
              <w:jc w:val="left"/>
              <w:rPr>
                <w:rFonts w:ascii="仿宋" w:hAnsi="仿宋" w:eastAsia="仿宋" w:cs="仿宋"/>
                <w:kern w:val="0"/>
                <w:szCs w:val="21"/>
              </w:rPr>
            </w:pPr>
          </w:p>
        </w:tc>
        <w:tc>
          <w:tcPr>
            <w:tcW w:w="3875" w:type="dxa"/>
            <w:vAlign w:val="center"/>
          </w:tcPr>
          <w:p w14:paraId="2C26E95C">
            <w:pPr>
              <w:jc w:val="left"/>
              <w:rPr>
                <w:rFonts w:ascii="仿宋" w:hAnsi="仿宋" w:eastAsia="仿宋" w:cs="仿宋"/>
                <w:kern w:val="0"/>
                <w:szCs w:val="21"/>
              </w:rPr>
            </w:pPr>
            <w:r>
              <w:rPr>
                <w:rFonts w:hint="eastAsia" w:ascii="仿宋" w:hAnsi="仿宋" w:eastAsia="仿宋" w:cs="仿宋"/>
                <w:kern w:val="0"/>
                <w:szCs w:val="21"/>
              </w:rPr>
              <w:t>具备文件系统管理、设备管理、用户管理、日志管理、软件包管理、磁盘管理等基本功能；提供服务配置和管理、进程管理、网络管理、资源管理和监控、文件共享、系统更新、备份还原等服务器常用工具和集成开发环境；兼容主流服务器、外设和数据库、中间件、虚拟化和容器技术、云计算和大数据等平台提供企业级稳定性、可靠性和Kysec安全机制。</w:t>
            </w:r>
          </w:p>
        </w:tc>
        <w:tc>
          <w:tcPr>
            <w:tcW w:w="0" w:type="auto"/>
            <w:vAlign w:val="center"/>
          </w:tcPr>
          <w:p w14:paraId="7CC6ADB2">
            <w:pPr>
              <w:widowControl/>
              <w:jc w:val="center"/>
              <w:rPr>
                <w:rFonts w:ascii="仿宋" w:hAnsi="仿宋" w:eastAsia="仿宋" w:cs="仿宋"/>
                <w:kern w:val="0"/>
                <w:szCs w:val="21"/>
              </w:rPr>
            </w:pPr>
            <w:r>
              <w:rPr>
                <w:rFonts w:hint="eastAsia" w:ascii="仿宋" w:hAnsi="仿宋" w:eastAsia="仿宋" w:cs="仿宋"/>
                <w:kern w:val="0"/>
                <w:szCs w:val="21"/>
              </w:rPr>
              <w:t>2</w:t>
            </w:r>
          </w:p>
        </w:tc>
        <w:tc>
          <w:tcPr>
            <w:tcW w:w="0" w:type="auto"/>
            <w:vAlign w:val="center"/>
          </w:tcPr>
          <w:p w14:paraId="6B10A134">
            <w:pPr>
              <w:widowControl/>
              <w:jc w:val="center"/>
              <w:rPr>
                <w:rFonts w:ascii="仿宋" w:hAnsi="仿宋" w:eastAsia="仿宋" w:cs="仿宋"/>
                <w:kern w:val="0"/>
                <w:szCs w:val="21"/>
              </w:rPr>
            </w:pPr>
            <w:r>
              <w:rPr>
                <w:rFonts w:hint="eastAsia" w:ascii="仿宋" w:hAnsi="仿宋" w:eastAsia="仿宋" w:cs="仿宋"/>
                <w:kern w:val="0"/>
                <w:szCs w:val="21"/>
              </w:rPr>
              <w:t>套</w:t>
            </w:r>
          </w:p>
        </w:tc>
        <w:tc>
          <w:tcPr>
            <w:tcW w:w="0" w:type="auto"/>
          </w:tcPr>
          <w:p w14:paraId="31DEDF96">
            <w:pPr>
              <w:widowControl/>
              <w:jc w:val="center"/>
              <w:rPr>
                <w:rFonts w:ascii="仿宋" w:hAnsi="仿宋" w:eastAsia="仿宋" w:cs="仿宋"/>
                <w:kern w:val="0"/>
                <w:szCs w:val="21"/>
              </w:rPr>
            </w:pPr>
          </w:p>
        </w:tc>
        <w:tc>
          <w:tcPr>
            <w:tcW w:w="0" w:type="auto"/>
          </w:tcPr>
          <w:p w14:paraId="1EDD90CB">
            <w:pPr>
              <w:widowControl/>
              <w:jc w:val="center"/>
              <w:rPr>
                <w:rFonts w:ascii="仿宋" w:hAnsi="仿宋" w:eastAsia="仿宋" w:cs="仿宋"/>
                <w:kern w:val="0"/>
                <w:szCs w:val="21"/>
              </w:rPr>
            </w:pPr>
          </w:p>
        </w:tc>
      </w:tr>
      <w:tr w14:paraId="428789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0" w:type="auto"/>
            <w:vAlign w:val="center"/>
          </w:tcPr>
          <w:p w14:paraId="62807AB7">
            <w:pPr>
              <w:jc w:val="left"/>
              <w:rPr>
                <w:rFonts w:ascii="仿宋" w:hAnsi="仿宋" w:eastAsia="仿宋" w:cs="仿宋"/>
                <w:kern w:val="0"/>
                <w:szCs w:val="21"/>
              </w:rPr>
            </w:pPr>
            <w:r>
              <w:rPr>
                <w:rFonts w:hint="eastAsia" w:ascii="仿宋" w:hAnsi="仿宋" w:eastAsia="仿宋" w:cs="仿宋"/>
                <w:kern w:val="0"/>
                <w:szCs w:val="21"/>
              </w:rPr>
              <w:t>2</w:t>
            </w:r>
          </w:p>
        </w:tc>
        <w:tc>
          <w:tcPr>
            <w:tcW w:w="877" w:type="dxa"/>
            <w:vAlign w:val="center"/>
          </w:tcPr>
          <w:p w14:paraId="73196B37">
            <w:pPr>
              <w:jc w:val="left"/>
              <w:rPr>
                <w:rFonts w:ascii="仿宋" w:hAnsi="仿宋" w:eastAsia="仿宋" w:cs="仿宋"/>
                <w:kern w:val="0"/>
                <w:szCs w:val="21"/>
              </w:rPr>
            </w:pPr>
            <w:r>
              <w:rPr>
                <w:rFonts w:hint="eastAsia" w:ascii="仿宋" w:hAnsi="仿宋" w:eastAsia="仿宋" w:cs="仿宋"/>
                <w:kern w:val="0"/>
                <w:szCs w:val="21"/>
              </w:rPr>
              <w:t>国产化服务器含国产电化教育软件</w:t>
            </w:r>
          </w:p>
        </w:tc>
        <w:tc>
          <w:tcPr>
            <w:tcW w:w="848" w:type="dxa"/>
            <w:vAlign w:val="center"/>
          </w:tcPr>
          <w:p w14:paraId="144088D4">
            <w:pPr>
              <w:pStyle w:val="8"/>
              <w:tabs>
                <w:tab w:val="left" w:pos="325"/>
              </w:tabs>
              <w:jc w:val="left"/>
              <w:rPr>
                <w:rFonts w:ascii="仿宋" w:hAnsi="仿宋" w:eastAsia="仿宋" w:cs="仿宋"/>
                <w:kern w:val="0"/>
                <w:szCs w:val="21"/>
              </w:rPr>
            </w:pPr>
          </w:p>
        </w:tc>
        <w:tc>
          <w:tcPr>
            <w:tcW w:w="3875" w:type="dxa"/>
            <w:vAlign w:val="center"/>
          </w:tcPr>
          <w:p w14:paraId="1767DE57">
            <w:pPr>
              <w:pStyle w:val="8"/>
              <w:tabs>
                <w:tab w:val="left" w:pos="325"/>
              </w:tabs>
              <w:jc w:val="left"/>
              <w:rPr>
                <w:rFonts w:ascii="仿宋" w:hAnsi="仿宋" w:eastAsia="仿宋" w:cs="仿宋"/>
                <w:kern w:val="0"/>
                <w:szCs w:val="21"/>
              </w:rPr>
            </w:pPr>
            <w:r>
              <w:rPr>
                <w:rFonts w:hint="eastAsia" w:ascii="仿宋" w:hAnsi="仿宋" w:eastAsia="仿宋" w:cs="仿宋"/>
                <w:kern w:val="0"/>
                <w:szCs w:val="21"/>
              </w:rPr>
              <w:t>标准2u机架式服务器；</w:t>
            </w:r>
          </w:p>
          <w:p w14:paraId="60CFD2BA">
            <w:pPr>
              <w:pStyle w:val="8"/>
              <w:tabs>
                <w:tab w:val="left" w:pos="325"/>
              </w:tabs>
              <w:jc w:val="left"/>
              <w:rPr>
                <w:rFonts w:ascii="仿宋" w:hAnsi="仿宋" w:eastAsia="仿宋" w:cs="仿宋"/>
                <w:kern w:val="0"/>
                <w:szCs w:val="21"/>
              </w:rPr>
            </w:pPr>
            <w:r>
              <w:rPr>
                <w:rFonts w:hint="eastAsia" w:ascii="仿宋" w:hAnsi="仿宋" w:eastAsia="仿宋" w:cs="仿宋"/>
                <w:kern w:val="0"/>
                <w:szCs w:val="21"/>
              </w:rPr>
              <w:t>1、处理器：海光C86 5380 (16C/2.5GHz) *2颗；</w:t>
            </w:r>
          </w:p>
          <w:p w14:paraId="47DBCB3B">
            <w:pPr>
              <w:pStyle w:val="8"/>
              <w:tabs>
                <w:tab w:val="left" w:pos="325"/>
              </w:tabs>
              <w:jc w:val="left"/>
              <w:rPr>
                <w:rFonts w:ascii="仿宋" w:hAnsi="仿宋" w:eastAsia="仿宋" w:cs="仿宋"/>
                <w:kern w:val="0"/>
                <w:szCs w:val="21"/>
              </w:rPr>
            </w:pPr>
            <w:r>
              <w:rPr>
                <w:rFonts w:hint="eastAsia" w:ascii="仿宋" w:hAnsi="仿宋" w:eastAsia="仿宋" w:cs="仿宋"/>
                <w:kern w:val="0"/>
                <w:szCs w:val="21"/>
              </w:rPr>
              <w:t>2、内存：32G内存 *2 ；</w:t>
            </w:r>
          </w:p>
          <w:p w14:paraId="51EC2FAD">
            <w:pPr>
              <w:pStyle w:val="8"/>
              <w:tabs>
                <w:tab w:val="left" w:pos="325"/>
              </w:tabs>
              <w:jc w:val="left"/>
              <w:rPr>
                <w:rFonts w:ascii="仿宋" w:hAnsi="仿宋" w:eastAsia="仿宋" w:cs="仿宋"/>
                <w:kern w:val="0"/>
                <w:szCs w:val="21"/>
              </w:rPr>
            </w:pPr>
            <w:r>
              <w:rPr>
                <w:rFonts w:hint="eastAsia" w:ascii="仿宋" w:hAnsi="仿宋" w:eastAsia="仿宋" w:cs="仿宋"/>
                <w:kern w:val="0"/>
                <w:szCs w:val="21"/>
              </w:rPr>
              <w:t>3、硬盘：4T SATA 企业级硬盘X 3；</w:t>
            </w:r>
          </w:p>
          <w:p w14:paraId="27DBF5C5">
            <w:pPr>
              <w:pStyle w:val="8"/>
              <w:tabs>
                <w:tab w:val="left" w:pos="325"/>
              </w:tabs>
              <w:jc w:val="left"/>
              <w:rPr>
                <w:rFonts w:ascii="仿宋" w:hAnsi="仿宋" w:eastAsia="仿宋" w:cs="仿宋"/>
                <w:kern w:val="0"/>
                <w:szCs w:val="21"/>
              </w:rPr>
            </w:pPr>
            <w:r>
              <w:rPr>
                <w:rFonts w:hint="eastAsia" w:ascii="仿宋" w:hAnsi="仿宋" w:eastAsia="仿宋" w:cs="仿宋"/>
                <w:kern w:val="0"/>
                <w:szCs w:val="21"/>
              </w:rPr>
              <w:t>4、RAID：独立高性能raid卡-2G缓存，支持RAID 0、1、5；</w:t>
            </w:r>
          </w:p>
          <w:p w14:paraId="393B278A">
            <w:pPr>
              <w:pStyle w:val="8"/>
              <w:tabs>
                <w:tab w:val="left" w:pos="325"/>
              </w:tabs>
              <w:jc w:val="left"/>
              <w:rPr>
                <w:rFonts w:ascii="仿宋" w:hAnsi="仿宋" w:eastAsia="仿宋" w:cs="仿宋"/>
                <w:kern w:val="0"/>
                <w:szCs w:val="21"/>
              </w:rPr>
            </w:pPr>
            <w:r>
              <w:rPr>
                <w:rFonts w:hint="eastAsia" w:ascii="仿宋" w:hAnsi="仿宋" w:eastAsia="仿宋" w:cs="仿宋"/>
                <w:kern w:val="0"/>
                <w:szCs w:val="21"/>
              </w:rPr>
              <w:t>5、网卡：4 口 千兆以太网卡*2 ；</w:t>
            </w:r>
          </w:p>
          <w:p w14:paraId="0EC52657">
            <w:pPr>
              <w:pStyle w:val="8"/>
              <w:tabs>
                <w:tab w:val="left" w:pos="325"/>
              </w:tabs>
              <w:jc w:val="left"/>
              <w:rPr>
                <w:rFonts w:ascii="仿宋" w:hAnsi="仿宋" w:eastAsia="仿宋" w:cs="仿宋"/>
                <w:kern w:val="0"/>
                <w:szCs w:val="21"/>
              </w:rPr>
            </w:pPr>
            <w:r>
              <w:rPr>
                <w:rFonts w:hint="eastAsia" w:ascii="仿宋" w:hAnsi="仿宋" w:eastAsia="仿宋" w:cs="仿宋"/>
                <w:kern w:val="0"/>
                <w:szCs w:val="21"/>
              </w:rPr>
              <w:t>6、电源：800W 电源*2；</w:t>
            </w:r>
          </w:p>
          <w:p w14:paraId="0FF6633E">
            <w:pPr>
              <w:pStyle w:val="8"/>
              <w:tabs>
                <w:tab w:val="left" w:pos="325"/>
              </w:tabs>
              <w:jc w:val="left"/>
              <w:rPr>
                <w:rFonts w:ascii="仿宋" w:hAnsi="仿宋" w:eastAsia="仿宋" w:cs="仿宋"/>
                <w:kern w:val="0"/>
                <w:szCs w:val="21"/>
              </w:rPr>
            </w:pPr>
            <w:r>
              <w:rPr>
                <w:rFonts w:hint="eastAsia" w:ascii="仿宋" w:hAnsi="仿宋" w:eastAsia="仿宋" w:cs="仿宋"/>
                <w:kern w:val="0"/>
                <w:szCs w:val="21"/>
              </w:rPr>
              <w:t>7、安装与原电教系统兼容国产电教系统软件</w:t>
            </w:r>
          </w:p>
          <w:p w14:paraId="5523AA5D">
            <w:pPr>
              <w:pStyle w:val="8"/>
              <w:tabs>
                <w:tab w:val="left" w:pos="325"/>
              </w:tabs>
              <w:jc w:val="left"/>
              <w:rPr>
                <w:rFonts w:ascii="仿宋" w:hAnsi="仿宋" w:eastAsia="仿宋" w:cs="仿宋"/>
                <w:kern w:val="0"/>
                <w:szCs w:val="21"/>
              </w:rPr>
            </w:pPr>
            <w:r>
              <w:rPr>
                <w:rFonts w:ascii="仿宋" w:hAnsi="仿宋" w:eastAsia="仿宋" w:cs="仿宋"/>
                <w:kern w:val="0"/>
                <w:szCs w:val="21"/>
              </w:rPr>
              <w:t>8</w:t>
            </w:r>
            <w:r>
              <w:rPr>
                <w:rFonts w:hint="eastAsia" w:ascii="仿宋" w:hAnsi="仿宋" w:eastAsia="仿宋" w:cs="仿宋"/>
                <w:kern w:val="0"/>
                <w:szCs w:val="21"/>
              </w:rPr>
              <w:t>、课程计划模块</w:t>
            </w:r>
          </w:p>
          <w:p w14:paraId="6AD63034">
            <w:pPr>
              <w:pStyle w:val="8"/>
              <w:tabs>
                <w:tab w:val="left" w:pos="325"/>
              </w:tabs>
              <w:jc w:val="left"/>
              <w:rPr>
                <w:rFonts w:ascii="仿宋" w:hAnsi="仿宋" w:eastAsia="仿宋" w:cs="仿宋"/>
                <w:kern w:val="0"/>
                <w:szCs w:val="21"/>
              </w:rPr>
            </w:pPr>
            <w:r>
              <w:rPr>
                <w:rFonts w:hint="eastAsia" w:ascii="仿宋" w:hAnsi="仿宋" w:eastAsia="仿宋" w:cs="仿宋"/>
                <w:kern w:val="0"/>
                <w:szCs w:val="21"/>
              </w:rPr>
              <w:t>多种播控方式</w:t>
            </w:r>
          </w:p>
          <w:p w14:paraId="5A6A90D6">
            <w:pPr>
              <w:pStyle w:val="8"/>
              <w:tabs>
                <w:tab w:val="left" w:pos="325"/>
              </w:tabs>
              <w:jc w:val="left"/>
              <w:rPr>
                <w:rFonts w:ascii="仿宋" w:hAnsi="仿宋" w:eastAsia="仿宋" w:cs="仿宋"/>
                <w:kern w:val="0"/>
                <w:szCs w:val="21"/>
              </w:rPr>
            </w:pPr>
            <w:r>
              <w:rPr>
                <w:rFonts w:hint="eastAsia" w:ascii="仿宋" w:hAnsi="仿宋" w:eastAsia="仿宋" w:cs="仿宋"/>
                <w:kern w:val="0"/>
                <w:szCs w:val="21"/>
              </w:rPr>
              <w:t>智慧监狱电视教育系统针对监狱的特殊需求，提供不同的播控方式，如：强制插播、计划任务，遥控器操作等。</w:t>
            </w:r>
          </w:p>
          <w:p w14:paraId="55A186AB">
            <w:pPr>
              <w:pStyle w:val="8"/>
              <w:tabs>
                <w:tab w:val="left" w:pos="325"/>
              </w:tabs>
              <w:jc w:val="left"/>
              <w:rPr>
                <w:rFonts w:ascii="仿宋" w:hAnsi="仿宋" w:eastAsia="仿宋" w:cs="仿宋"/>
                <w:kern w:val="0"/>
                <w:szCs w:val="21"/>
              </w:rPr>
            </w:pPr>
            <w:r>
              <w:rPr>
                <w:rFonts w:hint="eastAsia" w:ascii="仿宋" w:hAnsi="仿宋" w:eastAsia="仿宋" w:cs="仿宋"/>
                <w:kern w:val="0"/>
                <w:szCs w:val="21"/>
              </w:rPr>
              <w:t>定制播放计划</w:t>
            </w:r>
          </w:p>
          <w:p w14:paraId="4C6C8370">
            <w:pPr>
              <w:pStyle w:val="8"/>
              <w:tabs>
                <w:tab w:val="left" w:pos="325"/>
              </w:tabs>
              <w:jc w:val="left"/>
              <w:rPr>
                <w:rFonts w:ascii="仿宋" w:hAnsi="仿宋" w:eastAsia="仿宋" w:cs="仿宋"/>
                <w:kern w:val="0"/>
                <w:szCs w:val="21"/>
              </w:rPr>
            </w:pPr>
            <w:r>
              <w:rPr>
                <w:rFonts w:hint="eastAsia" w:ascii="仿宋" w:hAnsi="仿宋" w:eastAsia="仿宋" w:cs="仿宋"/>
                <w:kern w:val="0"/>
                <w:szCs w:val="21"/>
              </w:rPr>
              <w:t>根据监狱教育科分类施教的需求，教育科可使用轮播功能，根据犯人犯罪属性，制定适合此类罪犯的教学课程表，并能够按天、按周、按月制定教学计划，并可以随时根据教学效果，调整课时安排和课程安排。</w:t>
            </w:r>
          </w:p>
          <w:p w14:paraId="2E5490EB">
            <w:pPr>
              <w:pStyle w:val="8"/>
              <w:tabs>
                <w:tab w:val="left" w:pos="325"/>
              </w:tabs>
              <w:jc w:val="left"/>
              <w:rPr>
                <w:rFonts w:ascii="仿宋" w:hAnsi="仿宋" w:eastAsia="仿宋" w:cs="仿宋"/>
                <w:kern w:val="0"/>
                <w:szCs w:val="21"/>
              </w:rPr>
            </w:pPr>
            <w:r>
              <w:rPr>
                <w:rFonts w:hint="eastAsia" w:ascii="仿宋" w:hAnsi="仿宋" w:eastAsia="仿宋" w:cs="仿宋"/>
                <w:kern w:val="0"/>
                <w:szCs w:val="21"/>
              </w:rPr>
              <w:t>直播录制</w:t>
            </w:r>
          </w:p>
          <w:p w14:paraId="6E9E9577">
            <w:pPr>
              <w:pStyle w:val="8"/>
              <w:tabs>
                <w:tab w:val="left" w:pos="325"/>
              </w:tabs>
              <w:jc w:val="left"/>
              <w:rPr>
                <w:rFonts w:ascii="仿宋" w:hAnsi="仿宋" w:eastAsia="仿宋" w:cs="仿宋"/>
                <w:kern w:val="0"/>
                <w:szCs w:val="21"/>
              </w:rPr>
            </w:pPr>
            <w:r>
              <w:rPr>
                <w:rFonts w:hint="eastAsia" w:ascii="仿宋" w:hAnsi="仿宋" w:eastAsia="仿宋" w:cs="仿宋"/>
                <w:kern w:val="0"/>
                <w:szCs w:val="21"/>
              </w:rPr>
              <w:t>系统支持对电视频道节目，会议视频，以及自办节目的内容的同步视频录制，并通过对已录制视频的导入，在系统中进行视频点播观看。</w:t>
            </w:r>
          </w:p>
          <w:p w14:paraId="64A30C02">
            <w:pPr>
              <w:pStyle w:val="8"/>
              <w:tabs>
                <w:tab w:val="left" w:pos="325"/>
              </w:tabs>
              <w:jc w:val="left"/>
              <w:rPr>
                <w:rFonts w:ascii="仿宋" w:hAnsi="仿宋" w:eastAsia="仿宋" w:cs="仿宋"/>
                <w:kern w:val="0"/>
                <w:szCs w:val="21"/>
              </w:rPr>
            </w:pPr>
            <w:r>
              <w:rPr>
                <w:rFonts w:hint="eastAsia" w:ascii="仿宋" w:hAnsi="仿宋" w:eastAsia="仿宋" w:cs="仿宋"/>
                <w:kern w:val="0"/>
                <w:szCs w:val="21"/>
              </w:rPr>
              <w:t>9、内容管理模块</w:t>
            </w:r>
          </w:p>
          <w:p w14:paraId="1E5ADBEE">
            <w:pPr>
              <w:pStyle w:val="8"/>
              <w:tabs>
                <w:tab w:val="left" w:pos="325"/>
              </w:tabs>
              <w:jc w:val="left"/>
              <w:rPr>
                <w:rFonts w:ascii="仿宋" w:hAnsi="仿宋" w:eastAsia="仿宋" w:cs="仿宋"/>
                <w:kern w:val="0"/>
                <w:szCs w:val="21"/>
              </w:rPr>
            </w:pPr>
            <w:r>
              <w:rPr>
                <w:rFonts w:hint="eastAsia" w:ascii="仿宋" w:hAnsi="仿宋" w:eastAsia="仿宋" w:cs="仿宋"/>
                <w:kern w:val="0"/>
                <w:szCs w:val="21"/>
              </w:rPr>
              <w:t>内容分发</w:t>
            </w:r>
          </w:p>
          <w:p w14:paraId="63B85047">
            <w:pPr>
              <w:pStyle w:val="8"/>
              <w:tabs>
                <w:tab w:val="left" w:pos="325"/>
              </w:tabs>
              <w:jc w:val="left"/>
              <w:rPr>
                <w:rFonts w:ascii="仿宋" w:hAnsi="仿宋" w:eastAsia="仿宋" w:cs="仿宋"/>
                <w:kern w:val="0"/>
                <w:szCs w:val="21"/>
              </w:rPr>
            </w:pPr>
            <w:r>
              <w:rPr>
                <w:rFonts w:hint="eastAsia" w:ascii="仿宋" w:hAnsi="仿宋" w:eastAsia="仿宋" w:cs="仿宋"/>
                <w:kern w:val="0"/>
                <w:szCs w:val="21"/>
              </w:rPr>
              <w:t>分监所内容可主动上载：各监所将上载到本地流服务器，按设置的上载策略将媒体文件、媒体信息上载到局平台，局平台经过审核、转码、分类后，放入局平台资源库。</w:t>
            </w:r>
          </w:p>
          <w:p w14:paraId="02730BCB">
            <w:pPr>
              <w:pStyle w:val="8"/>
              <w:tabs>
                <w:tab w:val="left" w:pos="325"/>
              </w:tabs>
              <w:jc w:val="left"/>
              <w:rPr>
                <w:rFonts w:ascii="仿宋" w:hAnsi="仿宋" w:eastAsia="仿宋" w:cs="仿宋"/>
                <w:kern w:val="0"/>
                <w:szCs w:val="21"/>
              </w:rPr>
            </w:pPr>
            <w:r>
              <w:rPr>
                <w:rFonts w:hint="eastAsia" w:ascii="仿宋" w:hAnsi="仿宋" w:eastAsia="仿宋" w:cs="仿宋"/>
                <w:kern w:val="0"/>
                <w:szCs w:val="21"/>
              </w:rPr>
              <w:t>局端内容可主动推送：局平台通过设定热点资源、新增资源策略或者管理员手工方式将据平台资源库中的媒体文件推送到各监所 CDN 系统中。</w:t>
            </w:r>
          </w:p>
          <w:p w14:paraId="1910D24D">
            <w:pPr>
              <w:pStyle w:val="8"/>
              <w:tabs>
                <w:tab w:val="left" w:pos="325"/>
              </w:tabs>
              <w:jc w:val="left"/>
              <w:rPr>
                <w:rFonts w:ascii="仿宋" w:hAnsi="仿宋" w:eastAsia="仿宋" w:cs="仿宋"/>
                <w:kern w:val="0"/>
                <w:szCs w:val="21"/>
              </w:rPr>
            </w:pPr>
            <w:r>
              <w:rPr>
                <w:rFonts w:hint="eastAsia" w:ascii="仿宋" w:hAnsi="仿宋" w:eastAsia="仿宋" w:cs="仿宋"/>
                <w:kern w:val="0"/>
                <w:szCs w:val="21"/>
              </w:rPr>
              <w:t>局端内容被动分发：当各监所管理员可访问局平台媒体资源中心，并根据需要从局平台下载媒体文件。</w:t>
            </w:r>
          </w:p>
          <w:p w14:paraId="2BF5021D">
            <w:pPr>
              <w:pStyle w:val="8"/>
              <w:tabs>
                <w:tab w:val="left" w:pos="325"/>
              </w:tabs>
              <w:jc w:val="left"/>
              <w:rPr>
                <w:rFonts w:ascii="仿宋" w:hAnsi="仿宋" w:eastAsia="仿宋" w:cs="仿宋"/>
                <w:kern w:val="0"/>
                <w:szCs w:val="21"/>
              </w:rPr>
            </w:pPr>
            <w:r>
              <w:rPr>
                <w:rFonts w:hint="eastAsia" w:ascii="仿宋" w:hAnsi="仿宋" w:eastAsia="仿宋" w:cs="仿宋"/>
                <w:kern w:val="0"/>
                <w:szCs w:val="21"/>
              </w:rPr>
              <w:t>管理员可将管理局发布直播节目（录播节目、地方电视节目、自办直播等信号、监所发布的直播源（录播节目、地方电视节目、自办直播等信号）进行分发，实现全区、全监或指定监区、监舍观看。</w:t>
            </w:r>
          </w:p>
          <w:p w14:paraId="4C4909D2">
            <w:pPr>
              <w:pStyle w:val="8"/>
              <w:tabs>
                <w:tab w:val="left" w:pos="325"/>
              </w:tabs>
              <w:jc w:val="left"/>
              <w:rPr>
                <w:rFonts w:ascii="仿宋" w:hAnsi="仿宋" w:eastAsia="仿宋" w:cs="仿宋"/>
                <w:kern w:val="0"/>
                <w:szCs w:val="21"/>
              </w:rPr>
            </w:pPr>
            <w:r>
              <w:rPr>
                <w:rFonts w:hint="eastAsia" w:ascii="仿宋" w:hAnsi="仿宋" w:eastAsia="仿宋" w:cs="仿宋"/>
                <w:kern w:val="0"/>
                <w:szCs w:val="21"/>
              </w:rPr>
              <w:t>内容管理</w:t>
            </w:r>
          </w:p>
          <w:p w14:paraId="4D03F0B2">
            <w:pPr>
              <w:pStyle w:val="8"/>
              <w:tabs>
                <w:tab w:val="left" w:pos="325"/>
              </w:tabs>
              <w:jc w:val="left"/>
              <w:rPr>
                <w:rFonts w:ascii="仿宋" w:hAnsi="仿宋" w:eastAsia="仿宋" w:cs="仿宋"/>
                <w:kern w:val="0"/>
                <w:szCs w:val="21"/>
              </w:rPr>
            </w:pPr>
            <w:r>
              <w:rPr>
                <w:rFonts w:hint="eastAsia" w:ascii="仿宋" w:hAnsi="仿宋" w:eastAsia="仿宋" w:cs="仿宋"/>
                <w:kern w:val="0"/>
                <w:szCs w:val="21"/>
              </w:rPr>
              <w:t>内容录入：节目的录入支持单条节目的手动录入，也支持批量导入。资产类型可以包括文字资产、 图文资产、音频、视频资产及图文、音频、视频等</w:t>
            </w:r>
          </w:p>
          <w:p w14:paraId="76885AB2">
            <w:pPr>
              <w:pStyle w:val="8"/>
              <w:tabs>
                <w:tab w:val="left" w:pos="325"/>
              </w:tabs>
              <w:jc w:val="left"/>
              <w:rPr>
                <w:rFonts w:ascii="仿宋" w:hAnsi="仿宋" w:eastAsia="仿宋" w:cs="仿宋"/>
                <w:kern w:val="0"/>
                <w:szCs w:val="21"/>
              </w:rPr>
            </w:pPr>
            <w:r>
              <w:rPr>
                <w:rFonts w:hint="eastAsia" w:ascii="仿宋" w:hAnsi="仿宋" w:eastAsia="仿宋" w:cs="仿宋"/>
                <w:kern w:val="0"/>
                <w:szCs w:val="21"/>
              </w:rPr>
              <w:t>内容审核：将录入的内容提交后，由相关人员对内容进行审核，未经审核通过的内容是无法在业务里编排上线。</w:t>
            </w:r>
          </w:p>
          <w:p w14:paraId="1025D07F">
            <w:pPr>
              <w:pStyle w:val="8"/>
              <w:tabs>
                <w:tab w:val="left" w:pos="325"/>
              </w:tabs>
              <w:jc w:val="left"/>
              <w:rPr>
                <w:rFonts w:ascii="仿宋" w:hAnsi="仿宋" w:eastAsia="仿宋" w:cs="仿宋"/>
                <w:kern w:val="0"/>
                <w:szCs w:val="21"/>
              </w:rPr>
            </w:pPr>
            <w:r>
              <w:rPr>
                <w:rFonts w:hint="eastAsia" w:ascii="仿宋" w:hAnsi="仿宋" w:eastAsia="仿宋" w:cs="仿宋"/>
                <w:kern w:val="0"/>
                <w:szCs w:val="21"/>
              </w:rPr>
              <w:t>内容编排：将内容按指定要求编排到对应的页面上，并制定内容播单。</w:t>
            </w:r>
          </w:p>
          <w:p w14:paraId="6C98D71E">
            <w:pPr>
              <w:pStyle w:val="8"/>
              <w:tabs>
                <w:tab w:val="left" w:pos="325"/>
              </w:tabs>
              <w:jc w:val="left"/>
              <w:rPr>
                <w:rFonts w:ascii="仿宋" w:hAnsi="仿宋" w:eastAsia="仿宋" w:cs="仿宋"/>
                <w:kern w:val="0"/>
                <w:szCs w:val="21"/>
              </w:rPr>
            </w:pPr>
            <w:r>
              <w:rPr>
                <w:rFonts w:hint="eastAsia" w:ascii="仿宋" w:hAnsi="仿宋" w:eastAsia="仿宋" w:cs="仿宋"/>
                <w:kern w:val="0"/>
                <w:szCs w:val="21"/>
              </w:rPr>
              <w:t>内容发布：管理员上传内容到内容管理平台上、审核通过后可以进行编排并发布。</w:t>
            </w:r>
          </w:p>
          <w:p w14:paraId="13629930">
            <w:pPr>
              <w:pStyle w:val="8"/>
              <w:tabs>
                <w:tab w:val="left" w:pos="325"/>
              </w:tabs>
              <w:jc w:val="left"/>
              <w:rPr>
                <w:rFonts w:ascii="仿宋" w:hAnsi="仿宋" w:eastAsia="仿宋" w:cs="仿宋"/>
                <w:kern w:val="0"/>
                <w:szCs w:val="21"/>
              </w:rPr>
            </w:pPr>
            <w:r>
              <w:rPr>
                <w:rFonts w:hint="eastAsia" w:ascii="仿宋" w:hAnsi="仿宋" w:eastAsia="仿宋" w:cs="仿宋"/>
                <w:kern w:val="0"/>
                <w:szCs w:val="21"/>
              </w:rPr>
              <w:t>10、后台管理模块</w:t>
            </w:r>
          </w:p>
          <w:p w14:paraId="055AF673">
            <w:pPr>
              <w:pStyle w:val="8"/>
              <w:tabs>
                <w:tab w:val="left" w:pos="325"/>
              </w:tabs>
              <w:jc w:val="left"/>
              <w:rPr>
                <w:rFonts w:ascii="仿宋" w:hAnsi="仿宋" w:eastAsia="仿宋" w:cs="仿宋"/>
                <w:kern w:val="0"/>
                <w:szCs w:val="21"/>
              </w:rPr>
            </w:pPr>
            <w:r>
              <w:rPr>
                <w:rFonts w:hint="eastAsia" w:ascii="仿宋" w:hAnsi="仿宋" w:eastAsia="仿宋" w:cs="仿宋"/>
                <w:kern w:val="0"/>
                <w:szCs w:val="21"/>
              </w:rPr>
              <w:t>权限管控</w:t>
            </w:r>
          </w:p>
          <w:p w14:paraId="44F57814">
            <w:pPr>
              <w:pStyle w:val="8"/>
              <w:tabs>
                <w:tab w:val="left" w:pos="325"/>
              </w:tabs>
              <w:jc w:val="left"/>
              <w:rPr>
                <w:rFonts w:ascii="仿宋" w:hAnsi="仿宋" w:eastAsia="仿宋" w:cs="仿宋"/>
                <w:kern w:val="0"/>
                <w:szCs w:val="21"/>
              </w:rPr>
            </w:pPr>
            <w:r>
              <w:rPr>
                <w:rFonts w:hint="eastAsia" w:ascii="仿宋" w:hAnsi="仿宋" w:eastAsia="仿宋" w:cs="仿宋"/>
                <w:kern w:val="0"/>
                <w:szCs w:val="21"/>
              </w:rPr>
              <w:t>系统具备监狱和监区两级管理权限和监狱、监区、监舍三级使用权限。并且每一级权限可细分到每 一个管理模块，完全做到细化功能分工，且权限优先级为监狱&gt;监区&gt;监舍。</w:t>
            </w:r>
          </w:p>
          <w:p w14:paraId="421A3506">
            <w:pPr>
              <w:pStyle w:val="8"/>
              <w:tabs>
                <w:tab w:val="left" w:pos="325"/>
              </w:tabs>
              <w:jc w:val="left"/>
              <w:rPr>
                <w:rFonts w:ascii="仿宋" w:hAnsi="仿宋" w:eastAsia="仿宋" w:cs="仿宋"/>
                <w:kern w:val="0"/>
                <w:szCs w:val="21"/>
              </w:rPr>
            </w:pPr>
            <w:r>
              <w:rPr>
                <w:rFonts w:hint="eastAsia" w:ascii="仿宋" w:hAnsi="仿宋" w:eastAsia="仿宋" w:cs="仿宋"/>
                <w:kern w:val="0"/>
                <w:szCs w:val="21"/>
              </w:rPr>
              <w:t>对管理用户：针对不同的管理员的不同角色提供不同的权限；对终端用户观看的内容也可权限管控。</w:t>
            </w:r>
          </w:p>
          <w:p w14:paraId="315C54BD">
            <w:pPr>
              <w:pStyle w:val="8"/>
              <w:tabs>
                <w:tab w:val="left" w:pos="325"/>
              </w:tabs>
              <w:jc w:val="left"/>
              <w:rPr>
                <w:rFonts w:ascii="仿宋" w:hAnsi="仿宋" w:eastAsia="仿宋" w:cs="仿宋"/>
                <w:kern w:val="0"/>
                <w:szCs w:val="21"/>
              </w:rPr>
            </w:pPr>
            <w:r>
              <w:rPr>
                <w:rFonts w:hint="eastAsia" w:ascii="仿宋" w:hAnsi="仿宋" w:eastAsia="仿宋" w:cs="仿宋"/>
                <w:kern w:val="0"/>
                <w:szCs w:val="21"/>
              </w:rPr>
              <w:t>日志管理</w:t>
            </w:r>
          </w:p>
          <w:p w14:paraId="5D4A0E6C">
            <w:pPr>
              <w:pStyle w:val="8"/>
              <w:tabs>
                <w:tab w:val="left" w:pos="325"/>
              </w:tabs>
              <w:jc w:val="left"/>
              <w:rPr>
                <w:rFonts w:ascii="仿宋" w:hAnsi="仿宋" w:eastAsia="仿宋" w:cs="仿宋"/>
                <w:kern w:val="0"/>
                <w:szCs w:val="21"/>
              </w:rPr>
            </w:pPr>
            <w:r>
              <w:rPr>
                <w:rFonts w:hint="eastAsia" w:ascii="仿宋" w:hAnsi="仿宋" w:eastAsia="仿宋" w:cs="仿宋"/>
                <w:kern w:val="0"/>
                <w:szCs w:val="21"/>
              </w:rPr>
              <w:t xml:space="preserve">管理人员可以查看某一具体监室在特定时间观看了哪些视频节目，通过日志文件了解教育计划是否正常执行等。系统日志权限分级，系统具备监狱和监区两级管理权限和监狱、监区、监舍三级使用权限。且权限优先级为监狱&gt;监区&gt;监舍。远程监控。                                       </w:t>
            </w:r>
          </w:p>
          <w:p w14:paraId="37A5FCFC">
            <w:pPr>
              <w:pStyle w:val="8"/>
              <w:tabs>
                <w:tab w:val="left" w:pos="325"/>
              </w:tabs>
              <w:jc w:val="left"/>
              <w:rPr>
                <w:rFonts w:ascii="仿宋" w:hAnsi="仿宋" w:eastAsia="仿宋" w:cs="仿宋"/>
                <w:kern w:val="0"/>
                <w:szCs w:val="21"/>
              </w:rPr>
            </w:pPr>
            <w:r>
              <w:rPr>
                <w:rFonts w:hint="eastAsia" w:ascii="仿宋" w:hAnsi="仿宋" w:eastAsia="仿宋" w:cs="仿宋"/>
                <w:kern w:val="0"/>
                <w:szCs w:val="21"/>
              </w:rPr>
              <w:t>资源管理</w:t>
            </w:r>
          </w:p>
          <w:p w14:paraId="0C547AA7">
            <w:pPr>
              <w:pStyle w:val="8"/>
              <w:tabs>
                <w:tab w:val="left" w:pos="325"/>
              </w:tabs>
              <w:jc w:val="left"/>
              <w:rPr>
                <w:rFonts w:ascii="仿宋" w:hAnsi="仿宋" w:eastAsia="仿宋" w:cs="仿宋"/>
                <w:kern w:val="0"/>
                <w:szCs w:val="21"/>
              </w:rPr>
            </w:pPr>
            <w:r>
              <w:rPr>
                <w:rFonts w:hint="eastAsia" w:ascii="仿宋" w:hAnsi="仿宋" w:eastAsia="仿宋" w:cs="仿宋"/>
                <w:kern w:val="0"/>
                <w:szCs w:val="21"/>
              </w:rPr>
              <w:t>资源分类模块为监狱自身教育资源及娱乐资源提供了一个优良的统计管控平台。在模块中，可自由添加、编辑本地资源的分组情况。</w:t>
            </w:r>
          </w:p>
          <w:p w14:paraId="4608A0CF">
            <w:pPr>
              <w:pStyle w:val="8"/>
              <w:tabs>
                <w:tab w:val="left" w:pos="325"/>
              </w:tabs>
              <w:jc w:val="left"/>
              <w:rPr>
                <w:rFonts w:ascii="仿宋" w:hAnsi="仿宋" w:eastAsia="仿宋" w:cs="仿宋"/>
                <w:kern w:val="0"/>
                <w:szCs w:val="21"/>
              </w:rPr>
            </w:pPr>
            <w:r>
              <w:rPr>
                <w:rFonts w:hint="eastAsia" w:ascii="仿宋" w:hAnsi="仿宋" w:eastAsia="仿宋" w:cs="仿宋"/>
                <w:kern w:val="0"/>
                <w:szCs w:val="21"/>
              </w:rPr>
              <w:t>时间校准</w:t>
            </w:r>
          </w:p>
          <w:p w14:paraId="4307BE5B">
            <w:pPr>
              <w:pStyle w:val="8"/>
              <w:tabs>
                <w:tab w:val="left" w:pos="325"/>
              </w:tabs>
              <w:jc w:val="left"/>
              <w:rPr>
                <w:rFonts w:ascii="仿宋" w:hAnsi="仿宋" w:eastAsia="仿宋" w:cs="仿宋"/>
                <w:kern w:val="0"/>
                <w:szCs w:val="21"/>
              </w:rPr>
            </w:pPr>
            <w:r>
              <w:rPr>
                <w:rFonts w:hint="eastAsia" w:ascii="仿宋" w:hAnsi="仿宋" w:eastAsia="仿宋" w:cs="仿宋"/>
                <w:kern w:val="0"/>
                <w:szCs w:val="21"/>
              </w:rPr>
              <w:t xml:space="preserve">所有服务器、终端设备应具有时间校准功能，保证整个系统统一时间。   </w:t>
            </w:r>
          </w:p>
          <w:p w14:paraId="7D2E8A7B">
            <w:pPr>
              <w:pStyle w:val="8"/>
              <w:tabs>
                <w:tab w:val="left" w:pos="325"/>
              </w:tabs>
              <w:jc w:val="left"/>
              <w:rPr>
                <w:rFonts w:ascii="仿宋" w:hAnsi="仿宋" w:eastAsia="仿宋" w:cs="仿宋"/>
                <w:kern w:val="0"/>
                <w:szCs w:val="21"/>
              </w:rPr>
            </w:pPr>
            <w:r>
              <w:rPr>
                <w:rFonts w:hint="eastAsia" w:ascii="仿宋" w:hAnsi="仿宋" w:eastAsia="仿宋" w:cs="仿宋"/>
                <w:kern w:val="0"/>
                <w:szCs w:val="21"/>
              </w:rPr>
              <w:t>滚动字幕</w:t>
            </w:r>
          </w:p>
          <w:p w14:paraId="19B98F71">
            <w:pPr>
              <w:pStyle w:val="8"/>
              <w:tabs>
                <w:tab w:val="left" w:pos="325"/>
              </w:tabs>
              <w:jc w:val="left"/>
              <w:rPr>
                <w:rFonts w:ascii="仿宋" w:hAnsi="仿宋" w:eastAsia="仿宋" w:cs="仿宋"/>
                <w:kern w:val="0"/>
                <w:szCs w:val="21"/>
              </w:rPr>
            </w:pPr>
            <w:r>
              <w:rPr>
                <w:rFonts w:hint="eastAsia" w:ascii="仿宋" w:hAnsi="仿宋" w:eastAsia="仿宋" w:cs="仿宋"/>
                <w:kern w:val="0"/>
                <w:szCs w:val="21"/>
              </w:rPr>
              <w:t>在电视屏幕显示安全防范知识、通知等滚动字幕信息，管理员通过后台配置管理系统，可以向终端发送滚动文字（跑马灯）信息，信息内容可以编辑，发布时间可以设置，可以根据终端分组发送，也可以单个终端发送。</w:t>
            </w:r>
          </w:p>
          <w:p w14:paraId="6EA1093A">
            <w:pPr>
              <w:pStyle w:val="8"/>
              <w:tabs>
                <w:tab w:val="left" w:pos="325"/>
              </w:tabs>
              <w:jc w:val="left"/>
              <w:rPr>
                <w:rFonts w:ascii="仿宋" w:hAnsi="仿宋" w:eastAsia="仿宋" w:cs="仿宋"/>
                <w:kern w:val="0"/>
                <w:szCs w:val="21"/>
              </w:rPr>
            </w:pPr>
            <w:r>
              <w:rPr>
                <w:rFonts w:hint="eastAsia" w:ascii="仿宋" w:hAnsi="仿宋" w:eastAsia="仿宋" w:cs="仿宋"/>
                <w:kern w:val="0"/>
                <w:szCs w:val="21"/>
              </w:rPr>
              <w:t>11、直播、插播管理模块</w:t>
            </w:r>
          </w:p>
          <w:p w14:paraId="451EED84">
            <w:pPr>
              <w:pStyle w:val="8"/>
              <w:tabs>
                <w:tab w:val="left" w:pos="325"/>
              </w:tabs>
              <w:jc w:val="left"/>
              <w:rPr>
                <w:rFonts w:ascii="仿宋" w:hAnsi="仿宋" w:eastAsia="仿宋" w:cs="仿宋"/>
                <w:kern w:val="0"/>
                <w:szCs w:val="21"/>
              </w:rPr>
            </w:pPr>
            <w:r>
              <w:rPr>
                <w:rFonts w:hint="eastAsia" w:ascii="仿宋" w:hAnsi="仿宋" w:eastAsia="仿宋" w:cs="仿宋"/>
                <w:kern w:val="0"/>
                <w:szCs w:val="21"/>
              </w:rPr>
              <w:t>直播</w:t>
            </w:r>
          </w:p>
          <w:p w14:paraId="29BA1585">
            <w:pPr>
              <w:pStyle w:val="8"/>
              <w:tabs>
                <w:tab w:val="left" w:pos="325"/>
              </w:tabs>
              <w:jc w:val="left"/>
              <w:rPr>
                <w:rFonts w:ascii="仿宋" w:hAnsi="仿宋" w:eastAsia="仿宋" w:cs="仿宋"/>
                <w:kern w:val="0"/>
                <w:szCs w:val="21"/>
              </w:rPr>
            </w:pPr>
            <w:r>
              <w:rPr>
                <w:rFonts w:hint="eastAsia" w:ascii="仿宋" w:hAnsi="仿宋" w:eastAsia="仿宋" w:cs="仿宋"/>
                <w:kern w:val="0"/>
                <w:szCs w:val="21"/>
              </w:rPr>
              <w:t>电视直播：实现监区内有线电视频道直播、现场直播，并可根据监狱的特定需求，实现电视节目的筛选与排序功能；可以为终端定制不同数量的频道列表，任意排列顺序，可以做到每个终端能看的电视频道都不同，满足不同需要。</w:t>
            </w:r>
          </w:p>
          <w:p w14:paraId="0FBCCA02">
            <w:pPr>
              <w:pStyle w:val="8"/>
              <w:tabs>
                <w:tab w:val="left" w:pos="325"/>
              </w:tabs>
              <w:jc w:val="left"/>
              <w:rPr>
                <w:rFonts w:ascii="仿宋" w:hAnsi="仿宋" w:eastAsia="仿宋" w:cs="仿宋"/>
                <w:kern w:val="0"/>
                <w:szCs w:val="21"/>
              </w:rPr>
            </w:pPr>
            <w:r>
              <w:rPr>
                <w:rFonts w:hint="eastAsia" w:ascii="仿宋" w:hAnsi="仿宋" w:eastAsia="仿宋" w:cs="仿宋"/>
                <w:kern w:val="0"/>
                <w:szCs w:val="21"/>
              </w:rPr>
              <w:t>电视教学：通过直播编码器将电视教学直播到电视上。</w:t>
            </w:r>
          </w:p>
          <w:p w14:paraId="72567F70">
            <w:pPr>
              <w:pStyle w:val="8"/>
              <w:tabs>
                <w:tab w:val="left" w:pos="325"/>
              </w:tabs>
              <w:jc w:val="left"/>
              <w:rPr>
                <w:rFonts w:ascii="仿宋" w:hAnsi="仿宋" w:eastAsia="仿宋" w:cs="仿宋"/>
                <w:kern w:val="0"/>
                <w:szCs w:val="21"/>
              </w:rPr>
            </w:pPr>
            <w:r>
              <w:rPr>
                <w:rFonts w:hint="eastAsia" w:ascii="仿宋" w:hAnsi="仿宋" w:eastAsia="仿宋" w:cs="仿宋"/>
                <w:kern w:val="0"/>
                <w:szCs w:val="21"/>
              </w:rPr>
              <w:t>自办节目：通过硬盘播放系统实现自办电视节目的播放。</w:t>
            </w:r>
          </w:p>
          <w:p w14:paraId="4A57343C">
            <w:pPr>
              <w:pStyle w:val="8"/>
              <w:tabs>
                <w:tab w:val="left" w:pos="325"/>
              </w:tabs>
              <w:jc w:val="left"/>
              <w:rPr>
                <w:rFonts w:ascii="仿宋" w:hAnsi="仿宋" w:eastAsia="仿宋" w:cs="仿宋"/>
                <w:kern w:val="0"/>
                <w:szCs w:val="21"/>
              </w:rPr>
            </w:pPr>
            <w:r>
              <w:rPr>
                <w:rFonts w:hint="eastAsia" w:ascii="仿宋" w:hAnsi="仿宋" w:eastAsia="仿宋" w:cs="仿宋"/>
                <w:kern w:val="0"/>
                <w:szCs w:val="21"/>
              </w:rPr>
              <w:t>插播</w:t>
            </w:r>
          </w:p>
          <w:p w14:paraId="05632112">
            <w:pPr>
              <w:pStyle w:val="8"/>
              <w:tabs>
                <w:tab w:val="left" w:pos="325"/>
              </w:tabs>
              <w:jc w:val="left"/>
              <w:rPr>
                <w:rFonts w:ascii="仿宋" w:hAnsi="仿宋" w:eastAsia="仿宋" w:cs="仿宋"/>
                <w:kern w:val="0"/>
                <w:szCs w:val="21"/>
              </w:rPr>
            </w:pPr>
            <w:r>
              <w:rPr>
                <w:rFonts w:hint="eastAsia" w:ascii="仿宋" w:hAnsi="仿宋" w:eastAsia="仿宋" w:cs="仿宋"/>
                <w:kern w:val="0"/>
                <w:szCs w:val="21"/>
              </w:rPr>
              <w:t>强制插播为分一键强插和多时段多任务插播。分为文字、电视直播、图片、视频文件插播。</w:t>
            </w:r>
          </w:p>
          <w:p w14:paraId="13EA2CD5">
            <w:pPr>
              <w:pStyle w:val="8"/>
              <w:tabs>
                <w:tab w:val="left" w:pos="325"/>
              </w:tabs>
              <w:jc w:val="left"/>
              <w:rPr>
                <w:rFonts w:ascii="仿宋" w:hAnsi="仿宋" w:eastAsia="仿宋" w:cs="仿宋"/>
                <w:kern w:val="0"/>
                <w:szCs w:val="21"/>
              </w:rPr>
            </w:pPr>
            <w:r>
              <w:rPr>
                <w:rFonts w:hint="eastAsia" w:ascii="仿宋" w:hAnsi="仿宋" w:eastAsia="仿宋" w:cs="仿宋"/>
                <w:kern w:val="0"/>
                <w:szCs w:val="21"/>
              </w:rPr>
              <w:t>12、须与原单位及局电化教育平台对接联通，实现资源共享、数据统计分析。并出具相应实现的证明文件。</w:t>
            </w:r>
          </w:p>
        </w:tc>
        <w:tc>
          <w:tcPr>
            <w:tcW w:w="0" w:type="auto"/>
            <w:vAlign w:val="center"/>
          </w:tcPr>
          <w:p w14:paraId="17630756">
            <w:pPr>
              <w:widowControl/>
              <w:jc w:val="center"/>
              <w:rPr>
                <w:rFonts w:ascii="仿宋" w:hAnsi="仿宋" w:eastAsia="仿宋" w:cs="仿宋"/>
                <w:kern w:val="0"/>
                <w:szCs w:val="21"/>
              </w:rPr>
            </w:pPr>
            <w:r>
              <w:rPr>
                <w:rFonts w:hint="eastAsia" w:ascii="仿宋" w:hAnsi="仿宋" w:eastAsia="仿宋" w:cs="仿宋"/>
                <w:kern w:val="0"/>
                <w:szCs w:val="21"/>
              </w:rPr>
              <w:t>2</w:t>
            </w:r>
          </w:p>
        </w:tc>
        <w:tc>
          <w:tcPr>
            <w:tcW w:w="0" w:type="auto"/>
            <w:vAlign w:val="center"/>
          </w:tcPr>
          <w:p w14:paraId="42A11FC8">
            <w:pPr>
              <w:widowControl/>
              <w:jc w:val="center"/>
              <w:rPr>
                <w:rFonts w:ascii="仿宋" w:hAnsi="仿宋" w:eastAsia="仿宋" w:cs="仿宋"/>
                <w:kern w:val="0"/>
                <w:szCs w:val="21"/>
              </w:rPr>
            </w:pPr>
            <w:r>
              <w:rPr>
                <w:rFonts w:hint="eastAsia" w:ascii="仿宋" w:hAnsi="仿宋" w:eastAsia="仿宋" w:cs="仿宋"/>
                <w:kern w:val="0"/>
                <w:szCs w:val="21"/>
              </w:rPr>
              <w:t>台</w:t>
            </w:r>
          </w:p>
        </w:tc>
        <w:tc>
          <w:tcPr>
            <w:tcW w:w="0" w:type="auto"/>
          </w:tcPr>
          <w:p w14:paraId="15A40E1F">
            <w:pPr>
              <w:widowControl/>
              <w:jc w:val="center"/>
              <w:rPr>
                <w:rFonts w:ascii="仿宋" w:hAnsi="仿宋" w:eastAsia="仿宋" w:cs="仿宋"/>
                <w:kern w:val="0"/>
                <w:szCs w:val="21"/>
              </w:rPr>
            </w:pPr>
          </w:p>
        </w:tc>
        <w:tc>
          <w:tcPr>
            <w:tcW w:w="0" w:type="auto"/>
          </w:tcPr>
          <w:p w14:paraId="3511F5D0">
            <w:pPr>
              <w:widowControl/>
              <w:jc w:val="center"/>
              <w:rPr>
                <w:rFonts w:ascii="仿宋" w:hAnsi="仿宋" w:eastAsia="仿宋" w:cs="仿宋"/>
                <w:kern w:val="0"/>
                <w:szCs w:val="21"/>
              </w:rPr>
            </w:pPr>
          </w:p>
        </w:tc>
      </w:tr>
      <w:tr w14:paraId="251A6B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0" w:type="auto"/>
            <w:vAlign w:val="center"/>
          </w:tcPr>
          <w:p w14:paraId="5A708312">
            <w:pPr>
              <w:jc w:val="left"/>
              <w:rPr>
                <w:rFonts w:ascii="仿宋" w:hAnsi="仿宋" w:eastAsia="仿宋" w:cs="仿宋"/>
                <w:kern w:val="0"/>
                <w:szCs w:val="21"/>
              </w:rPr>
            </w:pPr>
            <w:r>
              <w:rPr>
                <w:rFonts w:hint="eastAsia" w:ascii="仿宋" w:hAnsi="仿宋" w:eastAsia="仿宋" w:cs="仿宋"/>
                <w:kern w:val="0"/>
                <w:szCs w:val="21"/>
              </w:rPr>
              <w:t>3</w:t>
            </w:r>
          </w:p>
        </w:tc>
        <w:tc>
          <w:tcPr>
            <w:tcW w:w="877" w:type="dxa"/>
            <w:vAlign w:val="center"/>
          </w:tcPr>
          <w:p w14:paraId="771360E4">
            <w:pPr>
              <w:jc w:val="left"/>
              <w:rPr>
                <w:rFonts w:ascii="仿宋" w:hAnsi="仿宋" w:eastAsia="仿宋" w:cs="仿宋"/>
                <w:kern w:val="0"/>
                <w:szCs w:val="21"/>
              </w:rPr>
            </w:pPr>
            <w:r>
              <w:rPr>
                <w:rFonts w:hint="eastAsia" w:ascii="仿宋" w:hAnsi="仿宋" w:eastAsia="仿宋" w:cs="仿宋"/>
                <w:kern w:val="0"/>
                <w:szCs w:val="21"/>
              </w:rPr>
              <w:t>调试实施</w:t>
            </w:r>
          </w:p>
        </w:tc>
        <w:tc>
          <w:tcPr>
            <w:tcW w:w="848" w:type="dxa"/>
            <w:vAlign w:val="center"/>
          </w:tcPr>
          <w:p w14:paraId="65221B05">
            <w:pPr>
              <w:jc w:val="left"/>
              <w:rPr>
                <w:rFonts w:ascii="仿宋" w:hAnsi="仿宋" w:eastAsia="仿宋" w:cs="仿宋"/>
                <w:kern w:val="0"/>
                <w:szCs w:val="21"/>
              </w:rPr>
            </w:pPr>
          </w:p>
        </w:tc>
        <w:tc>
          <w:tcPr>
            <w:tcW w:w="3875" w:type="dxa"/>
            <w:vAlign w:val="center"/>
          </w:tcPr>
          <w:p w14:paraId="27BAA6E3">
            <w:pPr>
              <w:jc w:val="left"/>
              <w:rPr>
                <w:rFonts w:ascii="仿宋" w:hAnsi="仿宋" w:eastAsia="仿宋" w:cs="仿宋"/>
                <w:kern w:val="0"/>
                <w:szCs w:val="21"/>
              </w:rPr>
            </w:pPr>
            <w:r>
              <w:rPr>
                <w:rFonts w:hint="eastAsia" w:ascii="仿宋" w:hAnsi="仿宋" w:eastAsia="仿宋" w:cs="仿宋"/>
                <w:kern w:val="0"/>
                <w:szCs w:val="21"/>
              </w:rPr>
              <w:t>保证适配原有电教系统</w:t>
            </w:r>
          </w:p>
        </w:tc>
        <w:tc>
          <w:tcPr>
            <w:tcW w:w="0" w:type="auto"/>
            <w:vAlign w:val="center"/>
          </w:tcPr>
          <w:p w14:paraId="668C77AB">
            <w:pPr>
              <w:widowControl/>
              <w:jc w:val="center"/>
              <w:rPr>
                <w:rFonts w:ascii="仿宋" w:hAnsi="仿宋" w:eastAsia="仿宋" w:cs="仿宋"/>
                <w:kern w:val="0"/>
                <w:szCs w:val="21"/>
              </w:rPr>
            </w:pPr>
            <w:r>
              <w:rPr>
                <w:rFonts w:hint="eastAsia" w:ascii="仿宋" w:hAnsi="仿宋" w:eastAsia="仿宋" w:cs="仿宋"/>
                <w:kern w:val="0"/>
                <w:szCs w:val="21"/>
              </w:rPr>
              <w:t>1</w:t>
            </w:r>
          </w:p>
        </w:tc>
        <w:tc>
          <w:tcPr>
            <w:tcW w:w="0" w:type="auto"/>
            <w:vAlign w:val="center"/>
          </w:tcPr>
          <w:p w14:paraId="78718D41">
            <w:pPr>
              <w:widowControl/>
              <w:jc w:val="center"/>
              <w:rPr>
                <w:rFonts w:ascii="仿宋" w:hAnsi="仿宋" w:eastAsia="仿宋" w:cs="仿宋"/>
                <w:kern w:val="0"/>
                <w:szCs w:val="21"/>
              </w:rPr>
            </w:pPr>
            <w:r>
              <w:rPr>
                <w:rFonts w:hint="eastAsia" w:ascii="仿宋" w:hAnsi="仿宋" w:eastAsia="仿宋" w:cs="仿宋"/>
                <w:kern w:val="0"/>
                <w:szCs w:val="21"/>
              </w:rPr>
              <w:t>套</w:t>
            </w:r>
          </w:p>
        </w:tc>
        <w:tc>
          <w:tcPr>
            <w:tcW w:w="0" w:type="auto"/>
          </w:tcPr>
          <w:p w14:paraId="239D2636">
            <w:pPr>
              <w:widowControl/>
              <w:jc w:val="center"/>
              <w:rPr>
                <w:rFonts w:ascii="仿宋" w:hAnsi="仿宋" w:eastAsia="仿宋" w:cs="仿宋"/>
                <w:kern w:val="0"/>
                <w:szCs w:val="21"/>
              </w:rPr>
            </w:pPr>
          </w:p>
        </w:tc>
        <w:tc>
          <w:tcPr>
            <w:tcW w:w="0" w:type="auto"/>
          </w:tcPr>
          <w:p w14:paraId="4AD64F06">
            <w:pPr>
              <w:widowControl/>
              <w:jc w:val="both"/>
              <w:rPr>
                <w:rFonts w:hint="eastAsia" w:ascii="仿宋" w:hAnsi="仿宋" w:eastAsia="仿宋" w:cs="仿宋"/>
                <w:kern w:val="0"/>
                <w:szCs w:val="21"/>
                <w:lang w:eastAsia="zh-CN"/>
              </w:rPr>
            </w:pPr>
          </w:p>
        </w:tc>
      </w:tr>
      <w:tr w14:paraId="43517B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0" w:hRule="atLeast"/>
          <w:jc w:val="center"/>
        </w:trPr>
        <w:tc>
          <w:tcPr>
            <w:tcW w:w="0" w:type="auto"/>
            <w:vAlign w:val="center"/>
          </w:tcPr>
          <w:p w14:paraId="256A07AE">
            <w:pPr>
              <w:jc w:val="left"/>
              <w:rPr>
                <w:rFonts w:ascii="仿宋" w:hAnsi="仿宋" w:eastAsia="仿宋" w:cs="仿宋"/>
                <w:kern w:val="0"/>
                <w:szCs w:val="21"/>
              </w:rPr>
            </w:pPr>
            <w:r>
              <w:rPr>
                <w:rFonts w:hint="eastAsia" w:ascii="仿宋" w:hAnsi="仿宋" w:eastAsia="仿宋" w:cs="仿宋"/>
                <w:kern w:val="0"/>
                <w:szCs w:val="21"/>
              </w:rPr>
              <w:t>4</w:t>
            </w:r>
          </w:p>
        </w:tc>
        <w:tc>
          <w:tcPr>
            <w:tcW w:w="877" w:type="dxa"/>
            <w:vAlign w:val="center"/>
          </w:tcPr>
          <w:p w14:paraId="26714E41">
            <w:pPr>
              <w:jc w:val="left"/>
              <w:rPr>
                <w:rFonts w:ascii="仿宋" w:hAnsi="仿宋" w:eastAsia="仿宋" w:cs="仿宋"/>
                <w:kern w:val="0"/>
                <w:szCs w:val="21"/>
              </w:rPr>
            </w:pPr>
            <w:r>
              <w:rPr>
                <w:rFonts w:hint="eastAsia" w:ascii="仿宋" w:hAnsi="仿宋" w:eastAsia="仿宋" w:cs="仿宋"/>
                <w:kern w:val="0"/>
                <w:szCs w:val="21"/>
              </w:rPr>
              <w:t>国产数据库</w:t>
            </w:r>
          </w:p>
        </w:tc>
        <w:tc>
          <w:tcPr>
            <w:tcW w:w="848" w:type="dxa"/>
            <w:vAlign w:val="center"/>
          </w:tcPr>
          <w:p w14:paraId="6AF83718">
            <w:pPr>
              <w:jc w:val="left"/>
            </w:pPr>
          </w:p>
        </w:tc>
        <w:tc>
          <w:tcPr>
            <w:tcW w:w="3875" w:type="dxa"/>
            <w:vAlign w:val="center"/>
          </w:tcPr>
          <w:p w14:paraId="09DBBD87">
            <w:pPr>
              <w:jc w:val="left"/>
              <w:rPr>
                <w:rFonts w:ascii="仿宋" w:hAnsi="仿宋" w:eastAsia="仿宋" w:cs="仿宋"/>
                <w:kern w:val="0"/>
                <w:szCs w:val="21"/>
              </w:rPr>
            </w:pPr>
            <w:r>
              <w:rPr>
                <w:rFonts w:hint="eastAsia" w:ascii="仿宋" w:hAnsi="仿宋" w:eastAsia="仿宋" w:cs="仿宋"/>
                <w:kern w:val="0"/>
                <w:szCs w:val="21"/>
              </w:rPr>
              <w:t>1、数据库支持多核CPU计算，单机单表支持50G大对象文件导入导出，平均导入时间小于120秒，平均导出时间小于80秒；支持2000用户持续并发访问你，无硬件故障和人为故障时，系统性能稳定运行180小时，无系统失效。</w:t>
            </w:r>
          </w:p>
          <w:p w14:paraId="3D16EC35">
            <w:pPr>
              <w:jc w:val="left"/>
              <w:rPr>
                <w:rFonts w:ascii="仿宋" w:hAnsi="仿宋" w:eastAsia="仿宋" w:cs="仿宋"/>
                <w:kern w:val="0"/>
                <w:szCs w:val="21"/>
              </w:rPr>
            </w:pPr>
            <w:r>
              <w:rPr>
                <w:rFonts w:hint="eastAsia" w:ascii="仿宋" w:hAnsi="仿宋" w:eastAsia="仿宋" w:cs="仿宋"/>
                <w:kern w:val="0"/>
                <w:szCs w:val="21"/>
              </w:rPr>
              <w:t>2、支持全文检索，支持快速中文分词技术，可提供如：jieba、zhparser等多种分词算法，且jieba、zhparser算法均要支持utf-8及gbk编码进行分词，提升大型项目高效全文检索和模糊查询的效率。</w:t>
            </w:r>
          </w:p>
          <w:p w14:paraId="0A9F3A90">
            <w:pPr>
              <w:jc w:val="left"/>
              <w:rPr>
                <w:rFonts w:ascii="仿宋" w:hAnsi="仿宋" w:eastAsia="仿宋" w:cs="仿宋"/>
                <w:kern w:val="0"/>
                <w:szCs w:val="21"/>
              </w:rPr>
            </w:pPr>
            <w:r>
              <w:rPr>
                <w:rFonts w:hint="eastAsia" w:ascii="仿宋" w:hAnsi="仿宋" w:eastAsia="仿宋" w:cs="仿宋"/>
                <w:kern w:val="0"/>
                <w:szCs w:val="21"/>
              </w:rPr>
              <w:t>3、支持GIS数据存储和管理，支持椭圆（弧），支持ZM属性，支持COMPOUNDCURVE（组合曲线）和CURVEPOLYGON（曲线多边形），支持长度和面积计算；支持2D、3D、4D射线，支持DE-9IM空间关系判断和Overlay计算、距离计算，</w:t>
            </w:r>
          </w:p>
          <w:p w14:paraId="7E0CA2AE">
            <w:pPr>
              <w:jc w:val="left"/>
              <w:rPr>
                <w:rFonts w:ascii="仿宋" w:hAnsi="仿宋" w:eastAsia="仿宋" w:cs="仿宋"/>
                <w:kern w:val="0"/>
                <w:szCs w:val="21"/>
              </w:rPr>
            </w:pPr>
            <w:r>
              <w:rPr>
                <w:rFonts w:hint="eastAsia" w:ascii="仿宋" w:hAnsi="仿宋" w:eastAsia="仿宋" w:cs="仿宋"/>
                <w:kern w:val="0"/>
                <w:szCs w:val="21"/>
              </w:rPr>
              <w:t xml:space="preserve">4、支持高可用功能，提供数据恢复能力，主备集群支持基于备机数据坏块修复，当主机数据损坏时，可以自动从备机复制对应数据块对损坏的主机数据块进行实时修复；支持日志文件离线修复文件坏块或表。 </w:t>
            </w:r>
          </w:p>
          <w:p w14:paraId="6567E657">
            <w:pPr>
              <w:jc w:val="left"/>
              <w:rPr>
                <w:rFonts w:ascii="仿宋" w:hAnsi="仿宋" w:eastAsia="仿宋" w:cs="仿宋"/>
                <w:kern w:val="0"/>
                <w:szCs w:val="21"/>
              </w:rPr>
            </w:pPr>
            <w:r>
              <w:rPr>
                <w:rFonts w:hint="eastAsia" w:ascii="仿宋" w:hAnsi="仿宋" w:eastAsia="仿宋" w:cs="仿宋"/>
                <w:kern w:val="0"/>
                <w:szCs w:val="21"/>
              </w:rPr>
              <w:t>5、支持备份恢复功能，支持大对象并行备份，提供表数据备份功能，单节点单线程备份性能大于1400MB/S，提供表恢复功能，单节点恢复性能大于800MB/S。</w:t>
            </w:r>
          </w:p>
          <w:p w14:paraId="490472E4">
            <w:pPr>
              <w:jc w:val="left"/>
              <w:rPr>
                <w:rFonts w:ascii="仿宋" w:hAnsi="仿宋" w:eastAsia="仿宋" w:cs="仿宋"/>
                <w:kern w:val="0"/>
                <w:szCs w:val="21"/>
              </w:rPr>
            </w:pPr>
            <w:r>
              <w:rPr>
                <w:rFonts w:hint="eastAsia" w:ascii="仿宋" w:hAnsi="仿宋" w:eastAsia="仿宋" w:cs="仿宋"/>
                <w:kern w:val="0"/>
                <w:szCs w:val="21"/>
              </w:rPr>
              <w:t>6、支持性能管理，支持不少于10个报告，如数据库事件模型、负载分析、实例效率百分比、主机环境、前后台等待事件、内存统计、IO统计、锁活动统计、TOPSQL等，支持性能诊断优化，可提供Top用户事件、Top后台事件、TopPL/SQL过程、使用字面变量的TopSQL、等待事件高的Top SQL、完整SQL列表、Top会话、TOPSQL等待事件、TOPSQL阻塞会话事件等报告，报告支持文本和网页两种形式，支持自动采集和保存数据；</w:t>
            </w:r>
          </w:p>
          <w:p w14:paraId="6B1222B2">
            <w:pPr>
              <w:jc w:val="left"/>
              <w:rPr>
                <w:rFonts w:ascii="仿宋" w:hAnsi="仿宋" w:eastAsia="仿宋" w:cs="仿宋"/>
                <w:kern w:val="0"/>
                <w:szCs w:val="21"/>
              </w:rPr>
            </w:pPr>
            <w:r>
              <w:rPr>
                <w:rFonts w:hint="eastAsia" w:ascii="仿宋" w:hAnsi="仿宋" w:eastAsia="仿宋" w:cs="仿宋"/>
                <w:kern w:val="0"/>
                <w:szCs w:val="21"/>
              </w:rPr>
              <w:t>7、具备易用性，对集群日志、数据库日志，可以按照需求，进行正则匹配的方式对多个数据库节点一键收集汇总，并进行系统时间矫正后，反馈收集分析结果.</w:t>
            </w:r>
            <w:r>
              <w:cr/>
            </w:r>
            <w:r>
              <w:rPr>
                <w:rFonts w:hint="eastAsia" w:ascii="仿宋" w:hAnsi="仿宋" w:eastAsia="仿宋" w:cs="仿宋"/>
                <w:kern w:val="0"/>
                <w:szCs w:val="21"/>
              </w:rPr>
              <w:t>8、产品具备高安全性，支持表空间级的数据加密功能，支持SM4、RC4算法，支持单机、集群场景；支持同一表空间存在多表情况下部份表进行加密功能，支持SM4、RC4算法，数据完整性支持SM3国密算法；支持通过SSL典型加密协议对同步数据进行传输加密；</w:t>
            </w:r>
          </w:p>
          <w:p w14:paraId="0CB5EB3E">
            <w:pPr>
              <w:jc w:val="left"/>
              <w:rPr>
                <w:rFonts w:ascii="仿宋" w:hAnsi="仿宋" w:eastAsia="仿宋" w:cs="仿宋"/>
                <w:kern w:val="0"/>
                <w:szCs w:val="21"/>
              </w:rPr>
            </w:pPr>
            <w:r>
              <w:cr/>
            </w:r>
            <w:r>
              <w:rPr>
                <w:rFonts w:hint="eastAsia" w:ascii="仿宋" w:hAnsi="仿宋" w:eastAsia="仿宋" w:cs="仿宋"/>
                <w:kern w:val="0"/>
                <w:szCs w:val="21"/>
              </w:rPr>
              <w:t>9、支持专业的迁移工具自动将数据库的DDL包括存储过程转换至本数据库，迁移工具能够提供全面的迁移评估功能，给出迁移成功率和工作质量报告，支持DDL和数据迁移，支持迁移后的数据校验功能，</w:t>
            </w:r>
          </w:p>
        </w:tc>
        <w:tc>
          <w:tcPr>
            <w:tcW w:w="0" w:type="auto"/>
            <w:vAlign w:val="center"/>
          </w:tcPr>
          <w:p w14:paraId="42E1E3ED">
            <w:pPr>
              <w:widowControl/>
              <w:jc w:val="center"/>
              <w:rPr>
                <w:rFonts w:ascii="仿宋" w:hAnsi="仿宋" w:eastAsia="仿宋" w:cs="仿宋"/>
                <w:kern w:val="0"/>
                <w:szCs w:val="21"/>
              </w:rPr>
            </w:pPr>
            <w:r>
              <w:rPr>
                <w:rFonts w:hint="eastAsia" w:ascii="仿宋" w:hAnsi="仿宋" w:eastAsia="仿宋" w:cs="仿宋"/>
                <w:kern w:val="0"/>
                <w:szCs w:val="21"/>
              </w:rPr>
              <w:t>1</w:t>
            </w:r>
          </w:p>
        </w:tc>
        <w:tc>
          <w:tcPr>
            <w:tcW w:w="0" w:type="auto"/>
            <w:vAlign w:val="center"/>
          </w:tcPr>
          <w:p w14:paraId="497A38D6">
            <w:pPr>
              <w:widowControl/>
              <w:jc w:val="center"/>
              <w:rPr>
                <w:rFonts w:ascii="仿宋" w:hAnsi="仿宋" w:eastAsia="仿宋" w:cs="仿宋"/>
                <w:kern w:val="0"/>
                <w:szCs w:val="21"/>
              </w:rPr>
            </w:pPr>
            <w:r>
              <w:rPr>
                <w:rFonts w:hint="eastAsia" w:ascii="仿宋" w:hAnsi="仿宋" w:eastAsia="仿宋" w:cs="仿宋"/>
                <w:kern w:val="0"/>
                <w:szCs w:val="21"/>
              </w:rPr>
              <w:t>套</w:t>
            </w:r>
          </w:p>
        </w:tc>
        <w:tc>
          <w:tcPr>
            <w:tcW w:w="0" w:type="auto"/>
          </w:tcPr>
          <w:p w14:paraId="0DAE7CBC">
            <w:pPr>
              <w:widowControl/>
              <w:jc w:val="center"/>
              <w:rPr>
                <w:rFonts w:ascii="仿宋" w:hAnsi="仿宋" w:eastAsia="仿宋" w:cs="仿宋"/>
                <w:kern w:val="0"/>
                <w:szCs w:val="21"/>
              </w:rPr>
            </w:pPr>
          </w:p>
        </w:tc>
        <w:tc>
          <w:tcPr>
            <w:tcW w:w="0" w:type="auto"/>
          </w:tcPr>
          <w:p w14:paraId="4CCD4DC5">
            <w:pPr>
              <w:widowControl/>
              <w:jc w:val="center"/>
              <w:rPr>
                <w:rFonts w:ascii="仿宋" w:hAnsi="仿宋" w:eastAsia="仿宋" w:cs="仿宋"/>
                <w:kern w:val="0"/>
                <w:szCs w:val="21"/>
              </w:rPr>
            </w:pPr>
          </w:p>
        </w:tc>
      </w:tr>
      <w:tr w14:paraId="691C54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jc w:val="center"/>
        </w:trPr>
        <w:tc>
          <w:tcPr>
            <w:tcW w:w="0" w:type="auto"/>
            <w:vAlign w:val="center"/>
          </w:tcPr>
          <w:p w14:paraId="1F2922E4">
            <w:pPr>
              <w:jc w:val="left"/>
              <w:rPr>
                <w:rFonts w:ascii="仿宋" w:hAnsi="仿宋" w:eastAsia="仿宋" w:cs="仿宋"/>
                <w:kern w:val="0"/>
                <w:szCs w:val="21"/>
              </w:rPr>
            </w:pPr>
            <w:r>
              <w:rPr>
                <w:rFonts w:hint="eastAsia" w:ascii="仿宋" w:hAnsi="仿宋" w:eastAsia="仿宋" w:cs="仿宋"/>
                <w:kern w:val="0"/>
                <w:szCs w:val="21"/>
              </w:rPr>
              <w:t>5</w:t>
            </w:r>
          </w:p>
        </w:tc>
        <w:tc>
          <w:tcPr>
            <w:tcW w:w="877" w:type="dxa"/>
            <w:vAlign w:val="center"/>
          </w:tcPr>
          <w:p w14:paraId="7B68AE86">
            <w:pPr>
              <w:jc w:val="left"/>
              <w:rPr>
                <w:rFonts w:ascii="仿宋" w:hAnsi="仿宋" w:eastAsia="仿宋" w:cs="仿宋"/>
                <w:kern w:val="0"/>
                <w:szCs w:val="21"/>
              </w:rPr>
            </w:pPr>
            <w:r>
              <w:rPr>
                <w:rFonts w:hint="eastAsia" w:ascii="仿宋" w:hAnsi="仿宋" w:eastAsia="仿宋" w:cs="仿宋"/>
                <w:kern w:val="0"/>
                <w:szCs w:val="21"/>
              </w:rPr>
              <w:t>中间件</w:t>
            </w:r>
          </w:p>
        </w:tc>
        <w:tc>
          <w:tcPr>
            <w:tcW w:w="848" w:type="dxa"/>
            <w:vAlign w:val="center"/>
          </w:tcPr>
          <w:p w14:paraId="4D51D0C0">
            <w:pPr>
              <w:jc w:val="left"/>
              <w:rPr>
                <w:rFonts w:ascii="仿宋" w:hAnsi="仿宋" w:eastAsia="仿宋" w:cs="仿宋"/>
                <w:kern w:val="0"/>
                <w:szCs w:val="21"/>
              </w:rPr>
            </w:pPr>
          </w:p>
        </w:tc>
        <w:tc>
          <w:tcPr>
            <w:tcW w:w="3875" w:type="dxa"/>
            <w:vAlign w:val="center"/>
          </w:tcPr>
          <w:p w14:paraId="7EEA85B6">
            <w:pPr>
              <w:jc w:val="left"/>
              <w:rPr>
                <w:rFonts w:ascii="仿宋" w:hAnsi="仿宋" w:eastAsia="仿宋" w:cs="仿宋"/>
                <w:kern w:val="0"/>
                <w:szCs w:val="21"/>
              </w:rPr>
            </w:pPr>
            <w:r>
              <w:rPr>
                <w:rFonts w:hint="eastAsia" w:ascii="仿宋" w:hAnsi="仿宋" w:eastAsia="仿宋" w:cs="仿宋"/>
                <w:kern w:val="0"/>
                <w:szCs w:val="21"/>
              </w:rPr>
              <w:t>1遵循国际标准，必须通过Java EE 5、6、7、8四个标准规范的官方兼容认证</w:t>
            </w:r>
            <w:r>
              <w:rPr>
                <w:rFonts w:ascii="仿宋" w:hAnsi="仿宋" w:eastAsia="仿宋" w:cs="仿宋"/>
                <w:kern w:val="0"/>
                <w:szCs w:val="21"/>
              </w:rPr>
              <w:t>，</w:t>
            </w:r>
            <w:r>
              <w:rPr>
                <w:rFonts w:hint="eastAsia" w:ascii="仿宋" w:hAnsi="仿宋" w:eastAsia="仿宋" w:cs="仿宋"/>
                <w:kern w:val="0"/>
                <w:szCs w:val="21"/>
              </w:rPr>
              <w:t>分别提供Java EE官方对上述四个标准认证的查询网址及网页截图。</w:t>
            </w:r>
          </w:p>
          <w:p w14:paraId="000F17A9">
            <w:pPr>
              <w:jc w:val="left"/>
              <w:rPr>
                <w:rFonts w:ascii="仿宋" w:hAnsi="仿宋" w:eastAsia="仿宋" w:cs="仿宋"/>
                <w:kern w:val="0"/>
                <w:szCs w:val="21"/>
              </w:rPr>
            </w:pPr>
            <w:r>
              <w:rPr>
                <w:rFonts w:hint="eastAsia" w:ascii="仿宋" w:hAnsi="仿宋" w:eastAsia="仿宋" w:cs="仿宋"/>
                <w:kern w:val="0"/>
                <w:szCs w:val="21"/>
              </w:rPr>
              <w:t>2 Java EE应用服务器厂商具有良好的技术规划和先进性，参与 Java EE 6标准（JSR316）、Java EE 7标准（JSR342）制定，提供查询网址和截图。</w:t>
            </w:r>
          </w:p>
          <w:p w14:paraId="45087B67">
            <w:pPr>
              <w:jc w:val="left"/>
              <w:rPr>
                <w:rFonts w:ascii="仿宋" w:hAnsi="仿宋" w:eastAsia="仿宋" w:cs="仿宋"/>
                <w:kern w:val="0"/>
                <w:szCs w:val="21"/>
              </w:rPr>
            </w:pPr>
            <w:r>
              <w:rPr>
                <w:rFonts w:hint="eastAsia" w:ascii="仿宋" w:hAnsi="仿宋" w:eastAsia="仿宋" w:cs="仿宋"/>
                <w:kern w:val="0"/>
                <w:szCs w:val="21"/>
              </w:rPr>
              <w:t>3 应用服务器支持应用回收站功能，卸载的应用将移到回收站里。</w:t>
            </w:r>
          </w:p>
          <w:p w14:paraId="4C343B8A">
            <w:pPr>
              <w:jc w:val="left"/>
              <w:rPr>
                <w:rFonts w:ascii="仿宋" w:hAnsi="仿宋" w:eastAsia="仿宋" w:cs="仿宋"/>
                <w:kern w:val="0"/>
                <w:szCs w:val="21"/>
              </w:rPr>
            </w:pPr>
            <w:r>
              <w:rPr>
                <w:rFonts w:hint="eastAsia" w:ascii="仿宋" w:hAnsi="仿宋" w:eastAsia="仿宋" w:cs="仿宋"/>
                <w:kern w:val="0"/>
                <w:szCs w:val="21"/>
              </w:rPr>
              <w:t>4 支持采用双因子认证鉴别技术对用户身份进行鉴别。</w:t>
            </w:r>
          </w:p>
          <w:p w14:paraId="019DD06C">
            <w:pPr>
              <w:jc w:val="left"/>
              <w:rPr>
                <w:rFonts w:ascii="仿宋" w:hAnsi="仿宋" w:eastAsia="仿宋" w:cs="仿宋"/>
                <w:kern w:val="0"/>
                <w:szCs w:val="21"/>
              </w:rPr>
            </w:pPr>
            <w:r>
              <w:rPr>
                <w:rFonts w:hint="eastAsia" w:ascii="仿宋" w:hAnsi="仿宋" w:eastAsia="仿宋" w:cs="仿宋"/>
                <w:kern w:val="0"/>
                <w:szCs w:val="21"/>
              </w:rPr>
              <w:t>5支持集群部署，提供集群管理工具，具备自动配置Java EE应用集群的装置和方法的相关专利方法。</w:t>
            </w:r>
          </w:p>
          <w:p w14:paraId="1EA178C9">
            <w:pPr>
              <w:jc w:val="left"/>
              <w:rPr>
                <w:rFonts w:ascii="仿宋" w:hAnsi="仿宋" w:eastAsia="仿宋" w:cs="仿宋"/>
                <w:kern w:val="0"/>
                <w:szCs w:val="21"/>
              </w:rPr>
            </w:pPr>
            <w:r>
              <w:rPr>
                <w:rFonts w:hint="eastAsia" w:ascii="仿宋" w:hAnsi="仿宋" w:eastAsia="仿宋" w:cs="仿宋"/>
                <w:kern w:val="0"/>
                <w:szCs w:val="21"/>
              </w:rPr>
              <w:t>6</w:t>
            </w:r>
            <w:r>
              <w:tab/>
            </w:r>
            <w:r>
              <w:rPr>
                <w:rFonts w:hint="eastAsia" w:ascii="仿宋" w:hAnsi="仿宋" w:eastAsia="仿宋" w:cs="仿宋"/>
                <w:kern w:val="0"/>
                <w:szCs w:val="21"/>
              </w:rPr>
              <w:t>为保证系统稳定运行，对中间件负载能力要求较高，产品须满足在全国产环境下至少五十万在线用户的大并发访问能力，并且长时间运行稳定，90%平均响应时间低于400毫秒，</w:t>
            </w:r>
          </w:p>
          <w:p w14:paraId="667BF697">
            <w:pPr>
              <w:jc w:val="left"/>
              <w:rPr>
                <w:rFonts w:ascii="仿宋" w:hAnsi="仿宋" w:eastAsia="仿宋" w:cs="仿宋"/>
                <w:kern w:val="0"/>
                <w:szCs w:val="21"/>
              </w:rPr>
            </w:pPr>
            <w:r>
              <w:rPr>
                <w:rFonts w:hint="eastAsia" w:ascii="仿宋" w:hAnsi="仿宋" w:eastAsia="仿宋" w:cs="仿宋"/>
                <w:kern w:val="0"/>
                <w:szCs w:val="21"/>
              </w:rPr>
              <w:t>7产品提供快照功能，在实现能够对服务器及应用程序的运行时信息进行捕获的基础上，也同时需要提供独特的、具备专利水平的应用服务器快照分析系统。</w:t>
            </w:r>
          </w:p>
          <w:p w14:paraId="18E8AFBD">
            <w:pPr>
              <w:jc w:val="left"/>
              <w:rPr>
                <w:rFonts w:ascii="仿宋" w:hAnsi="仿宋" w:eastAsia="仿宋" w:cs="仿宋"/>
                <w:kern w:val="0"/>
                <w:szCs w:val="21"/>
              </w:rPr>
            </w:pPr>
            <w:r>
              <w:rPr>
                <w:rFonts w:hint="eastAsia" w:ascii="仿宋" w:hAnsi="仿宋" w:eastAsia="仿宋" w:cs="仿宋"/>
                <w:kern w:val="0"/>
                <w:szCs w:val="21"/>
              </w:rPr>
              <w:t>8、</w:t>
            </w:r>
            <w:r>
              <w:tab/>
            </w:r>
            <w:r>
              <w:rPr>
                <w:rFonts w:hint="eastAsia" w:ascii="仿宋" w:hAnsi="仿宋" w:eastAsia="仿宋" w:cs="仿宋"/>
                <w:kern w:val="0"/>
                <w:szCs w:val="21"/>
              </w:rPr>
              <w:t>内置类加载冲突检测工具，可以检测出应用部署和运行过程中哪些类存在类加载冲突问题，并给出检测报告，方便快速定位和解决应用类加载问题。</w:t>
            </w:r>
          </w:p>
          <w:p w14:paraId="4EF4B492">
            <w:pPr>
              <w:jc w:val="left"/>
              <w:rPr>
                <w:rFonts w:ascii="仿宋" w:hAnsi="仿宋" w:eastAsia="仿宋" w:cs="仿宋"/>
                <w:kern w:val="0"/>
                <w:szCs w:val="21"/>
              </w:rPr>
            </w:pPr>
            <w:r>
              <w:rPr>
                <w:rFonts w:hint="eastAsia" w:ascii="仿宋" w:hAnsi="仿宋" w:eastAsia="仿宋" w:cs="仿宋"/>
                <w:kern w:val="0"/>
                <w:szCs w:val="21"/>
              </w:rPr>
              <w:t>9、提供调用链分析功能，能够对应用的调用流程进行监控，并展示其执行时间、时长和调用参数。</w:t>
            </w:r>
          </w:p>
          <w:p w14:paraId="23C1821D">
            <w:pPr>
              <w:jc w:val="left"/>
              <w:rPr>
                <w:rFonts w:ascii="仿宋" w:hAnsi="仿宋" w:eastAsia="仿宋" w:cs="仿宋"/>
                <w:kern w:val="0"/>
                <w:szCs w:val="21"/>
              </w:rPr>
            </w:pPr>
            <w:r>
              <w:rPr>
                <w:rFonts w:hint="eastAsia" w:ascii="仿宋" w:hAnsi="仿宋" w:eastAsia="仿宋" w:cs="仿宋"/>
                <w:kern w:val="0"/>
                <w:szCs w:val="21"/>
              </w:rPr>
              <w:t>10、提供实时统计功能，能够监控方法的最大耗时，最小耗时，成功请求次数，总请求次数。</w:t>
            </w:r>
          </w:p>
          <w:p w14:paraId="18DECD20">
            <w:pPr>
              <w:jc w:val="left"/>
              <w:rPr>
                <w:rFonts w:ascii="仿宋" w:hAnsi="仿宋" w:eastAsia="仿宋" w:cs="仿宋"/>
                <w:kern w:val="0"/>
                <w:szCs w:val="21"/>
              </w:rPr>
            </w:pPr>
            <w:r>
              <w:rPr>
                <w:rFonts w:hint="eastAsia" w:ascii="仿宋" w:hAnsi="仿宋" w:eastAsia="仿宋" w:cs="仿宋"/>
                <w:kern w:val="0"/>
                <w:szCs w:val="21"/>
              </w:rPr>
              <w:t>11、监控服务可以选择监视信息的回放时间段，方便运维人员了解过去某段时间的系统和应用的监控情况。</w:t>
            </w:r>
          </w:p>
        </w:tc>
        <w:tc>
          <w:tcPr>
            <w:tcW w:w="0" w:type="auto"/>
            <w:vAlign w:val="center"/>
          </w:tcPr>
          <w:p w14:paraId="3628E336">
            <w:pPr>
              <w:widowControl/>
              <w:jc w:val="center"/>
              <w:rPr>
                <w:rFonts w:ascii="仿宋" w:hAnsi="仿宋" w:eastAsia="仿宋" w:cs="仿宋"/>
                <w:kern w:val="0"/>
                <w:szCs w:val="21"/>
              </w:rPr>
            </w:pPr>
            <w:r>
              <w:rPr>
                <w:rFonts w:hint="eastAsia" w:ascii="仿宋" w:hAnsi="仿宋" w:eastAsia="仿宋" w:cs="仿宋"/>
                <w:kern w:val="0"/>
                <w:szCs w:val="21"/>
              </w:rPr>
              <w:t>1</w:t>
            </w:r>
          </w:p>
        </w:tc>
        <w:tc>
          <w:tcPr>
            <w:tcW w:w="0" w:type="auto"/>
            <w:vAlign w:val="center"/>
          </w:tcPr>
          <w:p w14:paraId="28B3CB38">
            <w:pPr>
              <w:widowControl/>
              <w:jc w:val="center"/>
              <w:rPr>
                <w:rFonts w:ascii="仿宋" w:hAnsi="仿宋" w:eastAsia="仿宋" w:cs="仿宋"/>
                <w:kern w:val="0"/>
                <w:szCs w:val="21"/>
              </w:rPr>
            </w:pPr>
            <w:r>
              <w:rPr>
                <w:rFonts w:hint="eastAsia" w:ascii="仿宋" w:hAnsi="仿宋" w:eastAsia="仿宋" w:cs="仿宋"/>
                <w:kern w:val="0"/>
                <w:szCs w:val="21"/>
              </w:rPr>
              <w:t>套</w:t>
            </w:r>
          </w:p>
        </w:tc>
        <w:tc>
          <w:tcPr>
            <w:tcW w:w="0" w:type="auto"/>
          </w:tcPr>
          <w:p w14:paraId="04F150CC">
            <w:pPr>
              <w:widowControl/>
              <w:jc w:val="center"/>
              <w:rPr>
                <w:rFonts w:ascii="仿宋" w:hAnsi="仿宋" w:eastAsia="仿宋" w:cs="仿宋"/>
                <w:kern w:val="0"/>
                <w:szCs w:val="21"/>
              </w:rPr>
            </w:pPr>
          </w:p>
        </w:tc>
        <w:tc>
          <w:tcPr>
            <w:tcW w:w="0" w:type="auto"/>
          </w:tcPr>
          <w:p w14:paraId="3CB77508">
            <w:pPr>
              <w:widowControl/>
              <w:jc w:val="center"/>
              <w:rPr>
                <w:rFonts w:ascii="仿宋" w:hAnsi="仿宋" w:eastAsia="仿宋" w:cs="仿宋"/>
                <w:kern w:val="0"/>
                <w:szCs w:val="21"/>
              </w:rPr>
            </w:pPr>
          </w:p>
        </w:tc>
      </w:tr>
      <w:tr w14:paraId="4C4654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jc w:val="center"/>
        </w:trPr>
        <w:tc>
          <w:tcPr>
            <w:tcW w:w="0" w:type="auto"/>
            <w:vAlign w:val="center"/>
          </w:tcPr>
          <w:p w14:paraId="7412886C">
            <w:pPr>
              <w:jc w:val="left"/>
              <w:rPr>
                <w:rFonts w:ascii="仿宋" w:hAnsi="仿宋" w:eastAsia="仿宋" w:cs="仿宋"/>
                <w:kern w:val="0"/>
                <w:szCs w:val="21"/>
              </w:rPr>
            </w:pPr>
            <w:r>
              <w:rPr>
                <w:rFonts w:hint="eastAsia" w:ascii="仿宋" w:hAnsi="仿宋" w:eastAsia="仿宋" w:cs="仿宋"/>
                <w:kern w:val="0"/>
                <w:szCs w:val="21"/>
              </w:rPr>
              <w:t>6</w:t>
            </w:r>
          </w:p>
        </w:tc>
        <w:tc>
          <w:tcPr>
            <w:tcW w:w="877" w:type="dxa"/>
            <w:vAlign w:val="center"/>
          </w:tcPr>
          <w:p w14:paraId="5736BD32">
            <w:pPr>
              <w:jc w:val="left"/>
              <w:rPr>
                <w:rFonts w:ascii="仿宋" w:hAnsi="仿宋" w:eastAsia="仿宋" w:cs="仿宋"/>
                <w:kern w:val="0"/>
                <w:szCs w:val="21"/>
              </w:rPr>
            </w:pPr>
            <w:r>
              <w:rPr>
                <w:rFonts w:ascii="仿宋" w:hAnsi="仿宋" w:eastAsia="仿宋" w:cs="仿宋"/>
                <w:kern w:val="0"/>
                <w:szCs w:val="21"/>
              </w:rPr>
              <w:t>机顶盒</w:t>
            </w:r>
          </w:p>
        </w:tc>
        <w:tc>
          <w:tcPr>
            <w:tcW w:w="848" w:type="dxa"/>
            <w:vAlign w:val="center"/>
          </w:tcPr>
          <w:p w14:paraId="3C02DAF4">
            <w:pPr>
              <w:jc w:val="left"/>
              <w:rPr>
                <w:rFonts w:ascii="仿宋" w:hAnsi="仿宋" w:eastAsia="仿宋" w:cs="仿宋"/>
                <w:kern w:val="0"/>
                <w:szCs w:val="21"/>
              </w:rPr>
            </w:pPr>
          </w:p>
        </w:tc>
        <w:tc>
          <w:tcPr>
            <w:tcW w:w="3875" w:type="dxa"/>
            <w:vAlign w:val="center"/>
          </w:tcPr>
          <w:p w14:paraId="6C445E88">
            <w:pPr>
              <w:jc w:val="left"/>
              <w:rPr>
                <w:rFonts w:ascii="仿宋" w:hAnsi="仿宋" w:eastAsia="仿宋" w:cs="仿宋"/>
                <w:kern w:val="0"/>
                <w:szCs w:val="21"/>
              </w:rPr>
            </w:pPr>
            <w:r>
              <w:rPr>
                <w:rFonts w:hint="eastAsia" w:ascii="仿宋" w:hAnsi="仿宋" w:eastAsia="仿宋" w:cs="仿宋"/>
                <w:kern w:val="0"/>
                <w:szCs w:val="21"/>
              </w:rPr>
              <w:t>电教系统机顶盒</w:t>
            </w:r>
          </w:p>
        </w:tc>
        <w:tc>
          <w:tcPr>
            <w:tcW w:w="0" w:type="auto"/>
            <w:vAlign w:val="center"/>
          </w:tcPr>
          <w:p w14:paraId="40F85149">
            <w:pPr>
              <w:widowControl/>
              <w:jc w:val="center"/>
              <w:rPr>
                <w:rFonts w:ascii="仿宋" w:hAnsi="仿宋" w:eastAsia="仿宋" w:cs="仿宋"/>
                <w:kern w:val="0"/>
                <w:szCs w:val="21"/>
              </w:rPr>
            </w:pPr>
            <w:r>
              <w:rPr>
                <w:rFonts w:hint="eastAsia" w:ascii="仿宋" w:hAnsi="仿宋" w:eastAsia="仿宋" w:cs="仿宋"/>
                <w:kern w:val="0"/>
                <w:szCs w:val="21"/>
              </w:rPr>
              <w:t>20</w:t>
            </w:r>
          </w:p>
        </w:tc>
        <w:tc>
          <w:tcPr>
            <w:tcW w:w="0" w:type="auto"/>
            <w:vAlign w:val="center"/>
          </w:tcPr>
          <w:p w14:paraId="4FDAA2BF">
            <w:pPr>
              <w:widowControl/>
              <w:jc w:val="center"/>
              <w:rPr>
                <w:rFonts w:ascii="仿宋" w:hAnsi="仿宋" w:eastAsia="仿宋" w:cs="仿宋"/>
                <w:kern w:val="0"/>
                <w:szCs w:val="21"/>
              </w:rPr>
            </w:pPr>
            <w:r>
              <w:rPr>
                <w:rFonts w:hint="eastAsia" w:ascii="仿宋" w:hAnsi="仿宋" w:eastAsia="仿宋" w:cs="仿宋"/>
                <w:kern w:val="0"/>
                <w:szCs w:val="21"/>
              </w:rPr>
              <w:t>套</w:t>
            </w:r>
          </w:p>
        </w:tc>
        <w:tc>
          <w:tcPr>
            <w:tcW w:w="0" w:type="auto"/>
          </w:tcPr>
          <w:p w14:paraId="4D18C3D2">
            <w:pPr>
              <w:widowControl/>
              <w:jc w:val="center"/>
              <w:rPr>
                <w:rFonts w:ascii="仿宋" w:hAnsi="仿宋" w:eastAsia="仿宋" w:cs="仿宋"/>
                <w:kern w:val="0"/>
                <w:szCs w:val="21"/>
              </w:rPr>
            </w:pPr>
          </w:p>
        </w:tc>
        <w:tc>
          <w:tcPr>
            <w:tcW w:w="0" w:type="auto"/>
          </w:tcPr>
          <w:p w14:paraId="5C60EBBC">
            <w:pPr>
              <w:widowControl/>
              <w:jc w:val="center"/>
              <w:rPr>
                <w:rFonts w:ascii="仿宋" w:hAnsi="仿宋" w:eastAsia="仿宋" w:cs="仿宋"/>
                <w:kern w:val="0"/>
                <w:szCs w:val="21"/>
              </w:rPr>
            </w:pPr>
          </w:p>
        </w:tc>
      </w:tr>
      <w:tr w14:paraId="41EF1D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jc w:val="center"/>
        </w:trPr>
        <w:tc>
          <w:tcPr>
            <w:tcW w:w="0" w:type="auto"/>
            <w:vAlign w:val="center"/>
          </w:tcPr>
          <w:p w14:paraId="7954A017">
            <w:pPr>
              <w:jc w:val="left"/>
              <w:rPr>
                <w:rFonts w:ascii="仿宋" w:hAnsi="仿宋" w:eastAsia="仿宋" w:cs="仿宋"/>
                <w:kern w:val="0"/>
                <w:szCs w:val="21"/>
              </w:rPr>
            </w:pPr>
            <w:r>
              <w:rPr>
                <w:rFonts w:hint="eastAsia" w:ascii="仿宋" w:hAnsi="仿宋" w:eastAsia="仿宋" w:cs="仿宋"/>
                <w:kern w:val="0"/>
                <w:szCs w:val="21"/>
              </w:rPr>
              <w:t>7</w:t>
            </w:r>
          </w:p>
        </w:tc>
        <w:tc>
          <w:tcPr>
            <w:tcW w:w="877" w:type="dxa"/>
            <w:vAlign w:val="center"/>
          </w:tcPr>
          <w:p w14:paraId="38F74A77">
            <w:pPr>
              <w:jc w:val="left"/>
              <w:rPr>
                <w:rFonts w:ascii="仿宋" w:hAnsi="仿宋" w:eastAsia="仿宋" w:cs="仿宋"/>
                <w:kern w:val="0"/>
                <w:szCs w:val="21"/>
              </w:rPr>
            </w:pPr>
            <w:r>
              <w:rPr>
                <w:rFonts w:hint="eastAsia" w:ascii="仿宋" w:hAnsi="仿宋" w:eastAsia="仿宋" w:cs="仿宋"/>
                <w:kern w:val="0"/>
                <w:szCs w:val="21"/>
              </w:rPr>
              <w:t>配置合计：</w:t>
            </w:r>
          </w:p>
        </w:tc>
        <w:tc>
          <w:tcPr>
            <w:tcW w:w="848" w:type="dxa"/>
            <w:vAlign w:val="center"/>
          </w:tcPr>
          <w:p w14:paraId="12C2325C">
            <w:pPr>
              <w:jc w:val="left"/>
              <w:rPr>
                <w:rFonts w:ascii="仿宋" w:hAnsi="仿宋" w:eastAsia="仿宋" w:cs="仿宋"/>
                <w:kern w:val="0"/>
                <w:szCs w:val="21"/>
              </w:rPr>
            </w:pPr>
          </w:p>
        </w:tc>
        <w:tc>
          <w:tcPr>
            <w:tcW w:w="3875" w:type="dxa"/>
            <w:vAlign w:val="center"/>
          </w:tcPr>
          <w:p w14:paraId="2028DFF9">
            <w:pPr>
              <w:jc w:val="left"/>
              <w:rPr>
                <w:rFonts w:ascii="仿宋" w:hAnsi="仿宋" w:eastAsia="仿宋" w:cs="仿宋"/>
                <w:kern w:val="0"/>
                <w:szCs w:val="21"/>
              </w:rPr>
            </w:pPr>
            <w:r>
              <w:rPr>
                <w:rFonts w:hint="eastAsia" w:ascii="仿宋" w:hAnsi="仿宋" w:eastAsia="仿宋" w:cs="仿宋"/>
                <w:kern w:val="0"/>
                <w:szCs w:val="21"/>
              </w:rPr>
              <w:t>（大写）叁拾万元整</w:t>
            </w:r>
          </w:p>
        </w:tc>
        <w:tc>
          <w:tcPr>
            <w:tcW w:w="0" w:type="auto"/>
            <w:vAlign w:val="center"/>
          </w:tcPr>
          <w:p w14:paraId="20E8C8BD">
            <w:pPr>
              <w:widowControl/>
              <w:jc w:val="center"/>
              <w:rPr>
                <w:rFonts w:ascii="仿宋" w:hAnsi="仿宋" w:eastAsia="仿宋" w:cs="仿宋"/>
                <w:kern w:val="0"/>
                <w:szCs w:val="21"/>
              </w:rPr>
            </w:pPr>
          </w:p>
        </w:tc>
        <w:tc>
          <w:tcPr>
            <w:tcW w:w="0" w:type="auto"/>
            <w:vAlign w:val="center"/>
          </w:tcPr>
          <w:p w14:paraId="1E251C35">
            <w:pPr>
              <w:widowControl/>
              <w:jc w:val="center"/>
              <w:rPr>
                <w:rFonts w:ascii="仿宋" w:hAnsi="仿宋" w:eastAsia="仿宋" w:cs="仿宋"/>
                <w:kern w:val="0"/>
                <w:szCs w:val="21"/>
              </w:rPr>
            </w:pPr>
          </w:p>
        </w:tc>
        <w:tc>
          <w:tcPr>
            <w:tcW w:w="0" w:type="auto"/>
          </w:tcPr>
          <w:p w14:paraId="3F6BE2FA">
            <w:pPr>
              <w:widowControl/>
              <w:jc w:val="center"/>
              <w:rPr>
                <w:rFonts w:ascii="仿宋" w:hAnsi="仿宋" w:eastAsia="仿宋" w:cs="仿宋"/>
                <w:kern w:val="0"/>
                <w:szCs w:val="21"/>
              </w:rPr>
            </w:pPr>
          </w:p>
        </w:tc>
        <w:tc>
          <w:tcPr>
            <w:tcW w:w="0" w:type="auto"/>
          </w:tcPr>
          <w:p w14:paraId="5D787BD3">
            <w:pPr>
              <w:widowControl/>
              <w:jc w:val="center"/>
              <w:rPr>
                <w:rFonts w:ascii="仿宋" w:hAnsi="仿宋" w:eastAsia="仿宋" w:cs="仿宋"/>
                <w:kern w:val="0"/>
                <w:szCs w:val="21"/>
              </w:rPr>
            </w:pPr>
          </w:p>
        </w:tc>
      </w:tr>
    </w:tbl>
    <w:p w14:paraId="31653692">
      <w:pPr>
        <w:widowControl/>
        <w:rPr>
          <w:rFonts w:ascii="仿宋" w:hAnsi="仿宋" w:eastAsia="仿宋" w:cs="仿宋"/>
          <w:kern w:val="0"/>
          <w:szCs w:val="21"/>
        </w:rPr>
      </w:pPr>
      <w:r>
        <w:rPr>
          <w:rFonts w:hint="eastAsia" w:ascii="仿宋" w:hAnsi="仿宋" w:eastAsia="仿宋" w:cs="仿宋"/>
          <w:kern w:val="0"/>
          <w:szCs w:val="21"/>
        </w:rPr>
        <w:t>注：为保证客户正常使用，供应商须</w:t>
      </w:r>
      <w:r>
        <w:rPr>
          <w:rFonts w:ascii="仿宋" w:hAnsi="仿宋" w:eastAsia="仿宋" w:cs="仿宋"/>
          <w:kern w:val="0"/>
          <w:szCs w:val="21"/>
        </w:rPr>
        <w:t xml:space="preserve"> 提供与清鹤电教系统兼容性证明文件，不提供视为不相应招标文件。</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C332C"/>
    <w:rsid w:val="00016831"/>
    <w:rsid w:val="00061E79"/>
    <w:rsid w:val="000B6A60"/>
    <w:rsid w:val="000D1C63"/>
    <w:rsid w:val="00120C43"/>
    <w:rsid w:val="0016207D"/>
    <w:rsid w:val="0022299C"/>
    <w:rsid w:val="002612D0"/>
    <w:rsid w:val="00292B2F"/>
    <w:rsid w:val="002E237E"/>
    <w:rsid w:val="003A4D49"/>
    <w:rsid w:val="003A781B"/>
    <w:rsid w:val="00406EC4"/>
    <w:rsid w:val="004476B8"/>
    <w:rsid w:val="004A3B9D"/>
    <w:rsid w:val="004D0DB6"/>
    <w:rsid w:val="005551C5"/>
    <w:rsid w:val="005A4EE4"/>
    <w:rsid w:val="006E775B"/>
    <w:rsid w:val="0074597E"/>
    <w:rsid w:val="00756F4A"/>
    <w:rsid w:val="00842418"/>
    <w:rsid w:val="00853AF9"/>
    <w:rsid w:val="00855041"/>
    <w:rsid w:val="009052B8"/>
    <w:rsid w:val="00943561"/>
    <w:rsid w:val="009638A6"/>
    <w:rsid w:val="00A027F8"/>
    <w:rsid w:val="00B52203"/>
    <w:rsid w:val="00BF4451"/>
    <w:rsid w:val="00C827B7"/>
    <w:rsid w:val="00CA66B4"/>
    <w:rsid w:val="00E450D1"/>
    <w:rsid w:val="00E50097"/>
    <w:rsid w:val="00E86672"/>
    <w:rsid w:val="00F42F12"/>
    <w:rsid w:val="00FC332C"/>
    <w:rsid w:val="1CDC51B2"/>
    <w:rsid w:val="420460B1"/>
    <w:rsid w:val="4C5F3228"/>
    <w:rsid w:val="4E691FA1"/>
    <w:rsid w:val="560B1CAC"/>
    <w:rsid w:val="74A45BD3"/>
  </w:rsids>
  <m:mathPr>
    <m:mathFont m:val="Cambria Math"/>
    <m:brkBin m:val="before"/>
    <m:brkBinSub m:val="--"/>
    <m:smallFrac m:val="1"/>
    <m:dispDef/>
    <m:lMargin m:val="1440"/>
    <m:rMargin m:val="144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unhideWhenUsed="0" w:uiPriority="99" w:semiHidden="0" w:name="heading 1"/>
    <w:lsdException w:uiPriority="99" w:name="heading 2"/>
    <w:lsdException w:uiPriority="99" w:name="heading 3"/>
    <w:lsdException w:uiPriority="99" w:name="heading 4"/>
    <w:lsdException w:uiPriority="99" w:name="heading 5"/>
    <w:lsdException w:uiPriority="99" w:name="heading 6"/>
    <w:lsdException w:uiPriority="99" w:name="heading 7"/>
    <w:lsdException w:uiPriority="99" w:name="heading 8"/>
    <w:lsdException w:uiPriority="9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99" w:name="toc 1"/>
    <w:lsdException w:uiPriority="99" w:name="toc 2"/>
    <w:lsdException w:uiPriority="99" w:name="toc 3"/>
    <w:lsdException w:uiPriority="99" w:name="toc 4"/>
    <w:lsdException w:uiPriority="99" w:name="toc 5"/>
    <w:lsdException w:uiPriority="99" w:name="toc 6"/>
    <w:lsdException w:uiPriority="99" w:name="toc 7"/>
    <w:lsdException w:uiPriority="99" w:name="toc 8"/>
    <w:lsdException w:uiPriority="99" w:name="toc 9"/>
    <w:lsdException w:uiPriority="99" w:name="Normal Indent"/>
    <w:lsdException w:uiPriority="99" w:name="footnote text"/>
    <w:lsdException w:uiPriority="99" w:name="annotation text"/>
    <w:lsdException w:qFormat="1" w:uiPriority="99" w:name="header"/>
    <w:lsdException w:qFormat="1" w:uiPriority="99" w:semiHidden="0" w:name="footer"/>
    <w:lsdException w:uiPriority="99" w:name="index heading"/>
    <w:lsdException w:uiPriority="99"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unhideWhenUsed="0" w:uiPriority="99"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unhideWhenUsed="0" w:uiPriority="99"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unhideWhenUsed="0" w:uiPriority="99" w:semiHidden="0" w:name="Strong"/>
    <w:lsdException w:unhideWhenUsed="0" w:uiPriority="99"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3">
    <w:name w:val="header"/>
    <w:basedOn w:val="1"/>
    <w:link w:val="6"/>
    <w:semiHidden/>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customStyle="1" w:styleId="6">
    <w:name w:val="页眉 Char"/>
    <w:basedOn w:val="5"/>
    <w:link w:val="3"/>
    <w:semiHidden/>
    <w:qFormat/>
    <w:uiPriority w:val="99"/>
    <w:rPr>
      <w:sz w:val="18"/>
      <w:szCs w:val="18"/>
    </w:rPr>
  </w:style>
  <w:style w:type="character" w:customStyle="1" w:styleId="7">
    <w:name w:val="页脚 Char"/>
    <w:basedOn w:val="5"/>
    <w:link w:val="2"/>
    <w:qFormat/>
    <w:uiPriority w:val="99"/>
    <w:rPr>
      <w:sz w:val="18"/>
      <w:szCs w:val="18"/>
    </w:rPr>
  </w:style>
  <w:style w:type="paragraph" w:styleId="8">
    <w:name w:val="List Paragraph"/>
    <w:basedOn w:val="1"/>
    <w:qFormat/>
    <w:uiPriority w:val="0"/>
    <w:pPr>
      <w:ind w:firstLine="420" w:firstLineChars="2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satMod val="300000"/>
                <a:tint val="50000"/>
              </a:schemeClr>
            </a:gs>
            <a:gs pos="35000">
              <a:schemeClr val="phClr">
                <a:satMod val="300000"/>
                <a:tint val="37000"/>
              </a:schemeClr>
            </a:gs>
            <a:gs pos="100000">
              <a:schemeClr val="phClr">
                <a:satMod val="350000"/>
                <a:tint val="15000"/>
              </a:schemeClr>
            </a:gs>
          </a:gsLst>
          <a:lin ang="16200000" scaled="1"/>
        </a:gradFill>
        <a:gradFill rotWithShape="1">
          <a:gsLst>
            <a:gs pos="0">
              <a:schemeClr val="phClr">
                <a:satMod val="130000"/>
                <a:shade val="51000"/>
              </a:schemeClr>
            </a:gs>
            <a:gs pos="80000">
              <a:schemeClr val="phClr">
                <a:satMod val="130000"/>
                <a:shade val="93000"/>
              </a:schemeClr>
            </a:gs>
            <a:gs pos="100000">
              <a:schemeClr val="phClr">
                <a:satMod val="135000"/>
                <a:shade val="94000"/>
              </a:schemeClr>
            </a:gs>
          </a:gsLst>
          <a:lin ang="16200000" scaled="0"/>
        </a:gradFill>
      </a:fillStyleLst>
      <a:lnStyleLst>
        <a:ln w="9525" cap="flat" cmpd="sng" algn="ctr">
          <a:solidFill>
            <a:schemeClr val="phClr">
              <a:satMod val="105000"/>
              <a:shade val="9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satMod val="350000"/>
                <a:tint val="40000"/>
              </a:schemeClr>
            </a:gs>
            <a:gs pos="40000">
              <a:schemeClr val="phClr">
                <a:satMod val="350000"/>
                <a:shade val="99000"/>
                <a:tint val="45000"/>
              </a:schemeClr>
            </a:gs>
            <a:gs pos="100000">
              <a:schemeClr val="phClr">
                <a:satMod val="255000"/>
                <a:shade val="20000"/>
              </a:schemeClr>
            </a:gs>
          </a:gsLst>
          <a:path path="circle">
            <a:fillToRect l="50000" t="-80000" r="50000" b="180000"/>
          </a:path>
        </a:gradFill>
        <a:gradFill rotWithShape="1">
          <a:gsLst>
            <a:gs pos="0">
              <a:schemeClr val="phClr">
                <a:satMod val="300000"/>
                <a:tint val="80000"/>
              </a:schemeClr>
            </a:gs>
            <a:gs pos="100000">
              <a:schemeClr val="phClr">
                <a:satMod val="200000"/>
                <a:shade val="3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3252</Words>
  <Characters>3548</Characters>
  <Lines>26</Lines>
  <Paragraphs>7</Paragraphs>
  <TotalTime>35</TotalTime>
  <ScaleCrop>false</ScaleCrop>
  <LinksUpToDate>false</LinksUpToDate>
  <CharactersWithSpaces>3625</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2025-02-27T03:57:00Z</dcterms:created>
  <dc:creator>heavenbird</dc:creator>
  <cp:lastModifiedBy>晴天</cp:lastModifiedBy>
  <dcterms:modified xsi:type="dcterms:W3CDTF">2025-04-22T03:24:29Z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eyJoZGlkIjoiMzg4OWJmYjA4ZjdlY2U5NzYyM2Q5M2M4YWIyZDgwZmYiLCJ1c2VySWQiOiI0OTE0Mjg2ODUifQ==</vt:lpwstr>
  </property>
  <property fmtid="{D5CDD505-2E9C-101B-9397-08002B2CF9AE}" pid="3" name="KSOProductBuildVer">
    <vt:lpwstr>2052-12.1.0.20784</vt:lpwstr>
  </property>
  <property fmtid="{D5CDD505-2E9C-101B-9397-08002B2CF9AE}" pid="4" name="ICV">
    <vt:lpwstr>AEF52AB350ED477DAE62F2B89937E128_13</vt:lpwstr>
  </property>
</Properties>
</file>