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鸡蛋</w:t>
      </w:r>
      <w:r>
        <w:rPr>
          <w:rFonts w:hint="eastAsia" w:ascii="华文中宋" w:hAnsi="华文中宋" w:eastAsia="华文中宋" w:cs="华文中宋"/>
          <w:sz w:val="44"/>
          <w:szCs w:val="44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为食堂所需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鸡蛋</w:t>
      </w:r>
      <w:r>
        <w:rPr>
          <w:rFonts w:hint="eastAsia" w:ascii="仿宋" w:hAnsi="仿宋" w:eastAsia="仿宋" w:cs="仿宋"/>
          <w:sz w:val="32"/>
          <w:szCs w:val="32"/>
        </w:rPr>
        <w:t>采购，要求物资供应满足标准，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需要</w:t>
      </w:r>
      <w:r>
        <w:rPr>
          <w:rFonts w:hint="eastAsia" w:ascii="仿宋" w:hAnsi="仿宋" w:eastAsia="仿宋" w:cs="仿宋"/>
          <w:sz w:val="32"/>
          <w:szCs w:val="32"/>
        </w:rPr>
        <w:t>按采购人要求完成配送。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1、鸡蛋等级一级，存放期不得超过 7 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2、鸡蛋质量分级要求符合下表中的标准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tbl>
      <w:tblPr>
        <w:tblStyle w:val="3"/>
        <w:tblW w:w="8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66"/>
        <w:gridCol w:w="2128"/>
        <w:gridCol w:w="597"/>
        <w:gridCol w:w="1163"/>
        <w:gridCol w:w="1026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参数及相关标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预算单价（单价最高限价）（元）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GB/T39438-2020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公斤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9.47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2500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23675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鸡蛋质量分级要求</w:t>
      </w:r>
    </w:p>
    <w:tbl>
      <w:tblPr>
        <w:tblStyle w:val="3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495"/>
        <w:gridCol w:w="2175"/>
        <w:gridCol w:w="2490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指标</w:t>
            </w:r>
          </w:p>
        </w:tc>
        <w:tc>
          <w:tcPr>
            <w:tcW w:w="7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特级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一级</w:t>
            </w:r>
          </w:p>
        </w:tc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外观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蛋壳质量</w:t>
            </w:r>
          </w:p>
        </w:tc>
        <w:tc>
          <w:tcPr>
            <w:tcW w:w="7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具有本品类蛋壳固有的色泽，蛋壳完整无被损，不得出现明显斑点、沙皮、畸形蛋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蛋壳清洁度</w:t>
            </w:r>
          </w:p>
        </w:tc>
        <w:tc>
          <w:tcPr>
            <w:tcW w:w="4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蛋壳外表无肉眼可见的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污渍</w:t>
            </w:r>
          </w:p>
        </w:tc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蛋壳外表有肉眼可见的污法，单个不洁物面积应&lt;4mm，且不洁面总面积&lt;8mm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内容物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蛋黄</w:t>
            </w:r>
          </w:p>
        </w:tc>
        <w:tc>
          <w:tcPr>
            <w:tcW w:w="7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完整，未出现散黄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哈氏单位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&gt;72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&gt;60</w:t>
            </w:r>
          </w:p>
        </w:tc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&gt;55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蛋白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黏稠、透明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浓蛋白、稀蛋白清晰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可辨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较黏稠、透明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浓蛋白、稀蛋白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清晰可辨</w:t>
            </w:r>
          </w:p>
        </w:tc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较黏稠、透明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胚盘</w:t>
            </w:r>
          </w:p>
        </w:tc>
        <w:tc>
          <w:tcPr>
            <w:tcW w:w="7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未见明显发育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异物</w:t>
            </w:r>
          </w:p>
        </w:tc>
        <w:tc>
          <w:tcPr>
            <w:tcW w:w="7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允许有直径小于2mm的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血斑、肉斑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，无其他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异物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保质期一般不得少于产品明示保质期总期的二分之一以上，杜绝临期及过期产品。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供应商必须严格参照采购清单向采购人供应，不得擅自更换食材，不得以次充好，具体供货数量以采购人实际要求为准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OGY3MGZkMWU1YzYyNTEyYWUxNTdiN2U0NjYyMWYifQ=="/>
  </w:docVars>
  <w:rsids>
    <w:rsidRoot w:val="00000000"/>
    <w:rsid w:val="29BA7B02"/>
    <w:rsid w:val="36114458"/>
    <w:rsid w:val="417267C6"/>
    <w:rsid w:val="4F511846"/>
    <w:rsid w:val="5EA164EB"/>
    <w:rsid w:val="608D7208"/>
    <w:rsid w:val="67301FB1"/>
    <w:rsid w:val="75C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2024-12-07T03:14:00Z</dcterms:created>
  <dc:creator>HUAWEI</dc:creator>
  <cp:lastModifiedBy>大毛</cp:lastModifiedBy>
  <dcterms:modified xsi:type="dcterms:W3CDTF">2025-02-26T03:29:45Z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17C470145681431F8E7CE272687E8D74_12</vt:lpwstr>
  </property>
</Properties>
</file>