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01535">
      <w:pPr>
        <w:jc w:val="center"/>
        <w:rPr>
          <w:rFonts w:hint="eastAsia" w:ascii="宋体" w:hAnsi="宋体" w:eastAsia="宋体" w:cs="宋体"/>
          <w:sz w:val="44"/>
          <w:szCs w:val="44"/>
        </w:rPr>
      </w:pPr>
    </w:p>
    <w:p w14:paraId="1CA3118D">
      <w:pPr>
        <w:jc w:val="center"/>
        <w:rPr>
          <w:rFonts w:ascii="宋体" w:hAnsi="宋体" w:eastAsia="宋体" w:cs="宋体"/>
          <w:sz w:val="44"/>
          <w:szCs w:val="44"/>
        </w:rPr>
      </w:pPr>
      <w:r>
        <w:rPr>
          <w:rFonts w:hint="eastAsia" w:ascii="宋体" w:hAnsi="宋体" w:eastAsia="宋体" w:cs="宋体"/>
          <w:sz w:val="44"/>
          <w:szCs w:val="44"/>
        </w:rPr>
        <w:t>采购需求书</w:t>
      </w:r>
    </w:p>
    <w:p w14:paraId="30F4BEC8">
      <w:pPr>
        <w:jc w:val="center"/>
        <w:rPr>
          <w:rFonts w:ascii="宋体" w:hAnsi="宋体" w:eastAsia="宋体" w:cs="宋体"/>
          <w:sz w:val="44"/>
          <w:szCs w:val="44"/>
        </w:rPr>
      </w:pPr>
    </w:p>
    <w:p w14:paraId="2AF3728C">
      <w:pPr>
        <w:spacing w:line="560" w:lineRule="exact"/>
        <w:rPr>
          <w:rFonts w:ascii="黑体" w:hAnsi="黑体" w:eastAsia="黑体" w:cs="黑体"/>
          <w:sz w:val="32"/>
          <w:szCs w:val="32"/>
        </w:rPr>
      </w:pPr>
      <w:r>
        <w:rPr>
          <w:rFonts w:hint="eastAsia" w:ascii="黑体" w:hAnsi="黑体" w:eastAsia="黑体" w:cs="黑体"/>
          <w:sz w:val="32"/>
          <w:szCs w:val="32"/>
        </w:rPr>
        <w:t>一、项目概况</w:t>
      </w:r>
    </w:p>
    <w:p w14:paraId="0D819D0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车辆中心因工作需要需</w:t>
      </w:r>
      <w:r>
        <w:rPr>
          <w:rFonts w:hint="eastAsia" w:ascii="仿宋_GB2312" w:hAnsi="仿宋_GB2312" w:eastAsia="仿宋_GB2312" w:cs="仿宋_GB2312"/>
          <w:sz w:val="32"/>
          <w:szCs w:val="32"/>
        </w:rPr>
        <w:t>购置排气量（9.5）升、价格（45）万元以下大型客车1辆。</w:t>
      </w:r>
    </w:p>
    <w:p w14:paraId="59097385">
      <w:pPr>
        <w:spacing w:line="560" w:lineRule="exact"/>
        <w:rPr>
          <w:rFonts w:ascii="黑体" w:hAnsi="黑体" w:eastAsia="黑体" w:cs="黑体"/>
          <w:sz w:val="32"/>
          <w:szCs w:val="32"/>
        </w:rPr>
      </w:pPr>
      <w:r>
        <w:rPr>
          <w:rFonts w:hint="eastAsia" w:ascii="黑体" w:hAnsi="黑体" w:eastAsia="黑体" w:cs="黑体"/>
          <w:sz w:val="32"/>
          <w:szCs w:val="32"/>
        </w:rPr>
        <w:t>二、商务需求</w:t>
      </w:r>
    </w:p>
    <w:p w14:paraId="36B5230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（1）验收标准：供应商需提供出厂合格证、车辆一致性证书；车辆技术参数需完全符合本需求书要求，并通过现场功能测试及第三方检测机构认证。</w:t>
      </w:r>
    </w:p>
    <w:p w14:paraId="399244D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（2）质保期：整车质保期不低于3年或1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万公里（以先到者为准）。</w:t>
      </w:r>
    </w:p>
    <w:p w14:paraId="54455D88">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质保期内出现非人为损坏的质量问题，免费保修或对损坏零件包换，</w:t>
      </w:r>
      <w:r>
        <w:rPr>
          <w:rFonts w:hint="eastAsia" w:ascii="仿宋_GB2312" w:hAnsi="仿宋_GB2312" w:eastAsia="仿宋_GB2312" w:cs="仿宋_GB2312"/>
          <w:sz w:val="32"/>
          <w:szCs w:val="32"/>
          <w:lang w:val="en-US" w:eastAsia="zh-CN"/>
        </w:rPr>
        <w:t>更换时效不得长于3个工作日，</w:t>
      </w:r>
      <w:r>
        <w:rPr>
          <w:rFonts w:hint="eastAsia" w:ascii="仿宋_GB2312" w:hAnsi="仿宋_GB2312" w:eastAsia="仿宋_GB2312" w:cs="仿宋_GB2312"/>
          <w:sz w:val="32"/>
          <w:szCs w:val="32"/>
        </w:rPr>
        <w:t>质保期后以制造商售后标准执行。</w:t>
      </w:r>
    </w:p>
    <w:p w14:paraId="78E66D7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供应商需明确质保范围、保修流程及全国联保服务网点信息。</w:t>
      </w:r>
    </w:p>
    <w:p w14:paraId="13D2927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（3）售后服务：供应商需在石河子市或周边合理距离内设有授权服务站，提供及时的维修、保养及技术支持服务。</w:t>
      </w:r>
    </w:p>
    <w:p w14:paraId="5B3EFFB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提供免费的首保服务（按厂家标准）。</w:t>
      </w:r>
    </w:p>
    <w:p w14:paraId="41E1854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定期提供车辆维护保养提醒服务。</w:t>
      </w:r>
    </w:p>
    <w:p w14:paraId="0ADC371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提供必要的技术培训（驾驶员基础操作、日常维护等）。</w:t>
      </w:r>
    </w:p>
    <w:p w14:paraId="7FB53A5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（4）付款方式：校方通过政采云平台进行采购，发起订单并收到发票后30个工作日内完成订单支付。车辆运抵指定交货地点，经校方验收合格并签署《车辆验收单》后15个工作日内，支付合同总金额的100%。</w:t>
      </w:r>
    </w:p>
    <w:p w14:paraId="44EF474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（5）交货期：合同签订后</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天内完成车辆交付。</w:t>
      </w:r>
    </w:p>
    <w:p w14:paraId="36278A3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（6）交货地点：石河子大学北区家属院后勤服务中心车辆中心。</w:t>
      </w:r>
    </w:p>
    <w:p w14:paraId="6B4C4508">
      <w:pPr>
        <w:spacing w:line="560" w:lineRule="exact"/>
        <w:rPr>
          <w:rFonts w:ascii="黑体" w:hAnsi="黑体" w:eastAsia="黑体" w:cs="黑体"/>
          <w:sz w:val="32"/>
          <w:szCs w:val="32"/>
        </w:rPr>
      </w:pPr>
      <w:r>
        <w:rPr>
          <w:rFonts w:hint="eastAsia" w:ascii="黑体" w:hAnsi="黑体" w:eastAsia="黑体" w:cs="黑体"/>
          <w:sz w:val="32"/>
          <w:szCs w:val="32"/>
        </w:rPr>
        <w:t>三、技术需求</w:t>
      </w:r>
    </w:p>
    <w:p w14:paraId="60F993DC">
      <w:pPr>
        <w:snapToGrid w:val="0"/>
        <w:spacing w:line="440" w:lineRule="exact"/>
        <w:rPr>
          <w:rFonts w:ascii="仿宋_GB2312" w:hAnsi="仿宋_GB2312" w:eastAsia="仿宋_GB2312" w:cs="仿宋_GB2312"/>
          <w:sz w:val="32"/>
          <w:szCs w:val="32"/>
          <w:lang w:val="zh-TW"/>
        </w:rPr>
      </w:pPr>
      <w:r>
        <w:rPr>
          <w:rFonts w:hint="eastAsia" w:ascii="仿宋" w:hAnsi="仿宋" w:eastAsia="仿宋"/>
          <w:sz w:val="28"/>
          <w:szCs w:val="28"/>
        </w:rPr>
        <w:t>1.</w:t>
      </w:r>
      <w:r>
        <w:rPr>
          <w:rFonts w:hint="eastAsia" w:ascii="仿宋" w:hAnsi="仿宋" w:eastAsia="仿宋"/>
          <w:sz w:val="28"/>
          <w:szCs w:val="28"/>
          <w:lang w:val="zh-TW"/>
        </w:rPr>
        <w:t>釆购明细名称、数量</w:t>
      </w:r>
    </w:p>
    <w:p w14:paraId="1E24CCE0">
      <w:pPr>
        <w:snapToGrid w:val="0"/>
        <w:spacing w:line="440" w:lineRule="exact"/>
        <w:ind w:firstLine="640" w:firstLineChars="200"/>
        <w:rPr>
          <w:rFonts w:ascii="仿宋" w:hAnsi="仿宋" w:eastAsia="仿宋"/>
          <w:sz w:val="28"/>
          <w:szCs w:val="28"/>
          <w:lang w:val="zh-TW"/>
        </w:rPr>
      </w:pPr>
      <w:r>
        <w:rPr>
          <w:rFonts w:hint="eastAsia" w:ascii="仿宋_GB2312" w:hAnsi="仿宋_GB2312" w:eastAsia="仿宋_GB2312" w:cs="仿宋_GB2312"/>
          <w:sz w:val="32"/>
          <w:szCs w:val="32"/>
        </w:rPr>
        <w:t>全新、符合国六B排放标准</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lang w:val="en-US" w:eastAsia="zh-CN"/>
        </w:rPr>
        <w:t>排气量</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lang w:val="en-US" w:eastAsia="zh-CN"/>
        </w:rPr>
        <w:t>.5L</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49+1</w:t>
      </w:r>
      <w:r>
        <w:rPr>
          <w:rFonts w:hint="eastAsia" w:ascii="仿宋_GB2312" w:hAnsi="仿宋_GB2312" w:eastAsia="仿宋_GB2312" w:cs="仿宋_GB2312"/>
          <w:sz w:val="32"/>
          <w:szCs w:val="32"/>
          <w:lang w:val="zh-TW"/>
        </w:rPr>
        <w:t>座柴油动力大型客车</w:t>
      </w:r>
      <w:r>
        <w:rPr>
          <w:rFonts w:hint="eastAsia" w:ascii="仿宋_GB2312" w:hAnsi="仿宋_GB2312" w:eastAsia="仿宋_GB2312" w:cs="仿宋_GB2312"/>
          <w:sz w:val="32"/>
          <w:szCs w:val="32"/>
        </w:rPr>
        <w:t>1辆，</w:t>
      </w:r>
      <w:r>
        <w:rPr>
          <w:rFonts w:hint="eastAsia" w:ascii="仿宋_GB2312" w:hAnsi="仿宋_GB2312" w:eastAsia="仿宋_GB2312" w:cs="仿宋_GB2312"/>
          <w:sz w:val="32"/>
          <w:szCs w:val="32"/>
          <w:lang w:val="en-US" w:eastAsia="zh-CN"/>
        </w:rPr>
        <w:t>白色，</w:t>
      </w:r>
      <w:bookmarkStart w:id="0" w:name="_GoBack"/>
      <w:bookmarkEnd w:id="0"/>
      <w:r>
        <w:rPr>
          <w:rFonts w:hint="eastAsia" w:ascii="仿宋_GB2312" w:hAnsi="仿宋_GB2312" w:eastAsia="仿宋_GB2312" w:cs="仿宋_GB2312"/>
          <w:sz w:val="32"/>
          <w:szCs w:val="32"/>
          <w:lang w:val="zh-TW"/>
        </w:rPr>
        <w:t>符合高一级客车标准。</w:t>
      </w:r>
    </w:p>
    <w:p w14:paraId="7554AEEF">
      <w:pPr>
        <w:snapToGrid w:val="0"/>
        <w:spacing w:line="440" w:lineRule="exact"/>
        <w:rPr>
          <w:rFonts w:ascii="仿宋" w:hAnsi="仿宋" w:eastAsia="仿宋"/>
          <w:b/>
          <w:bCs/>
          <w:sz w:val="28"/>
          <w:szCs w:val="28"/>
          <w:lang w:val="zh-TW"/>
        </w:rPr>
      </w:pPr>
      <w:r>
        <w:rPr>
          <w:rFonts w:hint="eastAsia" w:ascii="仿宋" w:hAnsi="仿宋" w:eastAsia="仿宋"/>
          <w:sz w:val="28"/>
          <w:szCs w:val="28"/>
          <w:lang w:val="zh-TW"/>
        </w:rPr>
        <w:t>2.技术参数说明</w:t>
      </w:r>
      <w:r>
        <w:rPr>
          <w:rFonts w:hint="eastAsia" w:ascii="仿宋" w:hAnsi="仿宋" w:eastAsia="仿宋"/>
          <w:sz w:val="28"/>
          <w:szCs w:val="28"/>
          <w:lang w:val="zh-TW"/>
        </w:rPr>
        <w:br w:type="textWrapping"/>
      </w:r>
      <w:r>
        <w:rPr>
          <w:rFonts w:hint="eastAsia" w:ascii="仿宋" w:hAnsi="仿宋" w:eastAsia="仿宋"/>
          <w:b/>
          <w:bCs/>
          <w:sz w:val="28"/>
          <w:szCs w:val="28"/>
          <w:lang w:val="zh-TW"/>
        </w:rPr>
        <w:t>核心配置要求：</w:t>
      </w:r>
    </w:p>
    <w:p w14:paraId="10DFD9FD">
      <w:pPr>
        <w:snapToGrid w:val="0"/>
        <w:spacing w:line="440" w:lineRule="exact"/>
        <w:ind w:firstLine="562" w:firstLineChars="200"/>
        <w:rPr>
          <w:rFonts w:ascii="仿宋" w:hAnsi="仿宋" w:eastAsia="仿宋"/>
          <w:sz w:val="28"/>
          <w:szCs w:val="28"/>
          <w:lang w:val="zh-TW"/>
        </w:rPr>
      </w:pPr>
      <w:r>
        <w:rPr>
          <w:rFonts w:hint="eastAsia" w:ascii="仿宋" w:hAnsi="仿宋" w:eastAsia="仿宋"/>
          <w:b/>
          <w:bCs/>
          <w:sz w:val="28"/>
          <w:szCs w:val="28"/>
          <w:lang w:val="zh-TW"/>
        </w:rPr>
        <w:t>动力系统</w:t>
      </w:r>
    </w:p>
    <w:p w14:paraId="17D1CCE6">
      <w:pPr>
        <w:snapToGrid w:val="0"/>
        <w:spacing w:line="440" w:lineRule="exact"/>
        <w:ind w:firstLine="560" w:firstLineChars="200"/>
        <w:rPr>
          <w:rFonts w:ascii="仿宋" w:hAnsi="仿宋" w:eastAsia="仿宋"/>
          <w:sz w:val="28"/>
          <w:szCs w:val="28"/>
          <w:lang w:val="zh-TW"/>
        </w:rPr>
      </w:pPr>
      <w:r>
        <w:rPr>
          <w:rFonts w:hint="eastAsia" w:ascii="仿宋" w:hAnsi="仿宋" w:eastAsia="仿宋"/>
          <w:sz w:val="28"/>
          <w:szCs w:val="28"/>
          <w:lang w:val="zh-TW"/>
        </w:rPr>
        <w:t>发动机：国六排放标准，直列六缸柴油机，功率≥265kW</w:t>
      </w:r>
      <w:r>
        <w:rPr>
          <w:rFonts w:hint="eastAsia" w:ascii="仿宋" w:hAnsi="仿宋" w:eastAsia="仿宋"/>
          <w:sz w:val="28"/>
          <w:szCs w:val="28"/>
          <w:lang w:val="zh-TW" w:eastAsia="zh-CN"/>
        </w:rPr>
        <w:t>；</w:t>
      </w:r>
      <w:r>
        <w:rPr>
          <w:rFonts w:hint="eastAsia" w:ascii="仿宋" w:hAnsi="仿宋" w:eastAsia="仿宋"/>
          <w:sz w:val="28"/>
          <w:szCs w:val="28"/>
          <w:lang w:val="zh-TW"/>
        </w:rPr>
        <w:t xml:space="preserve"> </w:t>
      </w:r>
    </w:p>
    <w:p w14:paraId="6F225EEB">
      <w:pPr>
        <w:snapToGrid w:val="0"/>
        <w:spacing w:line="440" w:lineRule="exact"/>
        <w:ind w:firstLine="560" w:firstLineChars="200"/>
        <w:rPr>
          <w:rFonts w:hint="eastAsia" w:ascii="仿宋" w:hAnsi="仿宋" w:eastAsia="仿宋"/>
          <w:sz w:val="28"/>
          <w:szCs w:val="28"/>
          <w:lang w:val="zh-TW" w:eastAsia="zh-CN"/>
        </w:rPr>
      </w:pPr>
      <w:r>
        <w:rPr>
          <w:rFonts w:hint="eastAsia" w:ascii="仿宋" w:hAnsi="仿宋" w:eastAsia="仿宋"/>
          <w:sz w:val="28"/>
          <w:szCs w:val="28"/>
          <w:lang w:val="zh-TW"/>
        </w:rPr>
        <w:t>变速器：6速手动变速器，带气助力操纵</w:t>
      </w:r>
      <w:r>
        <w:rPr>
          <w:rFonts w:hint="eastAsia" w:ascii="仿宋" w:hAnsi="仿宋" w:eastAsia="仿宋"/>
          <w:sz w:val="28"/>
          <w:szCs w:val="28"/>
          <w:lang w:val="zh-TW" w:eastAsia="zh-CN"/>
        </w:rPr>
        <w:t>，</w:t>
      </w:r>
      <w:r>
        <w:rPr>
          <w:rFonts w:hint="eastAsia" w:ascii="仿宋" w:hAnsi="仿宋" w:eastAsia="仿宋"/>
          <w:sz w:val="28"/>
          <w:szCs w:val="28"/>
          <w:lang w:val="en-US" w:eastAsia="zh-CN"/>
        </w:rPr>
        <w:t>参考型号：</w:t>
      </w:r>
      <w:r>
        <w:rPr>
          <w:rFonts w:hint="eastAsia" w:ascii="仿宋" w:hAnsi="仿宋" w:eastAsia="仿宋"/>
          <w:sz w:val="28"/>
          <w:szCs w:val="28"/>
          <w:lang w:val="zh-TW"/>
        </w:rPr>
        <w:t>法士特6DS-148</w:t>
      </w:r>
      <w:r>
        <w:rPr>
          <w:rFonts w:hint="eastAsia" w:ascii="仿宋" w:hAnsi="仿宋" w:eastAsia="仿宋"/>
          <w:sz w:val="28"/>
          <w:szCs w:val="28"/>
          <w:lang w:val="zh-TW" w:eastAsia="zh-CN"/>
        </w:rPr>
        <w:t>；</w:t>
      </w:r>
    </w:p>
    <w:p w14:paraId="3D2F590A">
      <w:pPr>
        <w:snapToGrid w:val="0"/>
        <w:spacing w:line="440" w:lineRule="exact"/>
        <w:ind w:firstLine="560" w:firstLineChars="200"/>
        <w:rPr>
          <w:rFonts w:hint="eastAsia" w:ascii="仿宋" w:hAnsi="仿宋" w:eastAsia="仿宋"/>
          <w:sz w:val="28"/>
          <w:szCs w:val="28"/>
          <w:lang w:val="zh-TW" w:eastAsia="zh-CN"/>
        </w:rPr>
      </w:pPr>
      <w:r>
        <w:rPr>
          <w:rFonts w:hint="eastAsia" w:ascii="仿宋" w:hAnsi="仿宋" w:eastAsia="仿宋"/>
          <w:sz w:val="28"/>
          <w:szCs w:val="28"/>
          <w:lang w:val="zh-TW" w:eastAsia="zh-TW"/>
        </w:rPr>
        <w:t>离合器：拉式离合器</w:t>
      </w:r>
      <w:r>
        <w:rPr>
          <w:rFonts w:hint="eastAsia" w:ascii="仿宋" w:hAnsi="仿宋" w:eastAsia="仿宋"/>
          <w:sz w:val="28"/>
          <w:szCs w:val="28"/>
          <w:lang w:val="zh-TW" w:eastAsia="zh-CN"/>
        </w:rPr>
        <w:t>；</w:t>
      </w:r>
    </w:p>
    <w:p w14:paraId="185024D9">
      <w:pPr>
        <w:snapToGrid w:val="0"/>
        <w:spacing w:line="440" w:lineRule="exact"/>
        <w:ind w:firstLine="560" w:firstLineChars="200"/>
        <w:rPr>
          <w:rFonts w:hint="eastAsia" w:ascii="仿宋" w:hAnsi="仿宋" w:eastAsia="仿宋"/>
          <w:sz w:val="28"/>
          <w:szCs w:val="28"/>
          <w:lang w:val="zh-TW" w:eastAsia="zh-CN"/>
        </w:rPr>
      </w:pPr>
      <w:r>
        <w:rPr>
          <w:rFonts w:hint="eastAsia" w:ascii="仿宋" w:hAnsi="仿宋" w:eastAsia="仿宋"/>
          <w:sz w:val="28"/>
          <w:szCs w:val="28"/>
          <w:lang w:val="zh-TW"/>
        </w:rPr>
        <w:t>后  桥：免维护后桥</w:t>
      </w:r>
      <w:r>
        <w:rPr>
          <w:rFonts w:hint="eastAsia" w:ascii="仿宋" w:hAnsi="仿宋" w:eastAsia="仿宋"/>
          <w:sz w:val="28"/>
          <w:szCs w:val="28"/>
          <w:lang w:val="zh-TW" w:eastAsia="zh-CN"/>
        </w:rPr>
        <w:t>；</w:t>
      </w:r>
    </w:p>
    <w:p w14:paraId="6E3FC0A9">
      <w:pPr>
        <w:snapToGrid w:val="0"/>
        <w:spacing w:line="440" w:lineRule="exact"/>
        <w:ind w:firstLine="562" w:firstLineChars="200"/>
        <w:rPr>
          <w:rFonts w:ascii="仿宋" w:hAnsi="仿宋" w:eastAsia="仿宋"/>
          <w:b/>
          <w:bCs/>
          <w:sz w:val="28"/>
          <w:szCs w:val="28"/>
          <w:lang w:val="zh-TW" w:eastAsia="zh-TW"/>
        </w:rPr>
      </w:pPr>
      <w:r>
        <w:rPr>
          <w:rFonts w:hint="eastAsia" w:ascii="仿宋" w:hAnsi="仿宋" w:eastAsia="仿宋"/>
          <w:b/>
          <w:bCs/>
          <w:sz w:val="28"/>
          <w:szCs w:val="28"/>
          <w:lang w:val="zh-TW" w:eastAsia="zh-TW"/>
        </w:rPr>
        <w:t>安全配置</w:t>
      </w:r>
    </w:p>
    <w:p w14:paraId="1957CC8A">
      <w:pPr>
        <w:snapToGrid w:val="0"/>
        <w:spacing w:line="440" w:lineRule="exact"/>
        <w:ind w:firstLine="560" w:firstLineChars="200"/>
        <w:rPr>
          <w:rFonts w:ascii="仿宋" w:hAnsi="仿宋" w:eastAsia="仿宋"/>
          <w:sz w:val="28"/>
          <w:szCs w:val="28"/>
          <w:lang w:val="zh-TW"/>
        </w:rPr>
      </w:pPr>
      <w:r>
        <w:rPr>
          <w:rFonts w:hint="eastAsia" w:ascii="仿宋" w:hAnsi="仿宋" w:eastAsia="仿宋"/>
          <w:sz w:val="28"/>
          <w:szCs w:val="28"/>
          <w:lang w:val="zh-TW"/>
        </w:rPr>
        <w:t xml:space="preserve">应急设施：左侧应急门、后风挡自动破玻装置、发动机舱自动灭火弹  </w:t>
      </w:r>
    </w:p>
    <w:p w14:paraId="2E01243B">
      <w:pPr>
        <w:snapToGrid w:val="0"/>
        <w:spacing w:line="440" w:lineRule="exact"/>
        <w:ind w:firstLine="562" w:firstLineChars="200"/>
        <w:rPr>
          <w:rFonts w:ascii="仿宋" w:hAnsi="仿宋" w:eastAsia="仿宋"/>
          <w:b/>
          <w:bCs/>
          <w:sz w:val="28"/>
          <w:szCs w:val="28"/>
          <w:lang w:val="zh-TW"/>
        </w:rPr>
      </w:pPr>
      <w:r>
        <w:rPr>
          <w:rFonts w:hint="eastAsia" w:ascii="仿宋" w:hAnsi="仿宋" w:eastAsia="仿宋"/>
          <w:b/>
          <w:bCs/>
          <w:sz w:val="28"/>
          <w:szCs w:val="28"/>
          <w:lang w:val="zh-TW"/>
        </w:rPr>
        <w:t>车身结构</w:t>
      </w:r>
    </w:p>
    <w:p w14:paraId="2B47AEC6">
      <w:pPr>
        <w:snapToGrid w:val="0"/>
        <w:spacing w:line="440" w:lineRule="exact"/>
        <w:ind w:firstLine="560" w:firstLineChars="200"/>
        <w:rPr>
          <w:rFonts w:ascii="仿宋" w:hAnsi="仿宋" w:eastAsia="仿宋"/>
          <w:sz w:val="28"/>
          <w:szCs w:val="28"/>
          <w:lang w:val="zh-TW"/>
        </w:rPr>
      </w:pPr>
      <w:r>
        <w:rPr>
          <w:rFonts w:hint="eastAsia" w:ascii="仿宋" w:hAnsi="仿宋" w:eastAsia="仿宋"/>
          <w:sz w:val="28"/>
          <w:szCs w:val="28"/>
          <w:lang w:val="zh-TW"/>
        </w:rPr>
        <w:t xml:space="preserve">双前档 尺寸：车长≥12,000mm，车宽≥2,550mm，车高≥3,585mm  </w:t>
      </w:r>
    </w:p>
    <w:p w14:paraId="176770A8">
      <w:pPr>
        <w:snapToGrid w:val="0"/>
        <w:spacing w:line="440" w:lineRule="exact"/>
        <w:ind w:firstLine="560" w:firstLineChars="200"/>
        <w:rPr>
          <w:rFonts w:ascii="仿宋" w:hAnsi="仿宋" w:eastAsia="仿宋"/>
          <w:sz w:val="28"/>
          <w:szCs w:val="28"/>
          <w:lang w:val="zh-TW"/>
        </w:rPr>
      </w:pPr>
      <w:r>
        <w:rPr>
          <w:rFonts w:hint="eastAsia" w:ascii="仿宋" w:hAnsi="仿宋" w:eastAsia="仿宋"/>
          <w:sz w:val="28"/>
          <w:szCs w:val="28"/>
          <w:lang w:val="zh-TW"/>
        </w:rPr>
        <w:t>布局：2+2座椅排布，凹地板结构；</w:t>
      </w:r>
    </w:p>
    <w:p w14:paraId="62053320">
      <w:pPr>
        <w:snapToGrid w:val="0"/>
        <w:spacing w:line="440" w:lineRule="exact"/>
        <w:ind w:firstLine="562" w:firstLineChars="200"/>
        <w:rPr>
          <w:rFonts w:ascii="仿宋" w:hAnsi="仿宋" w:eastAsia="仿宋"/>
          <w:b/>
          <w:bCs/>
          <w:sz w:val="28"/>
          <w:szCs w:val="28"/>
          <w:lang w:val="zh-TW"/>
        </w:rPr>
      </w:pPr>
      <w:r>
        <w:rPr>
          <w:rFonts w:hint="eastAsia" w:ascii="仿宋" w:hAnsi="仿宋" w:eastAsia="仿宋"/>
          <w:b/>
          <w:bCs/>
          <w:sz w:val="28"/>
          <w:szCs w:val="28"/>
          <w:lang w:val="zh-TW"/>
        </w:rPr>
        <w:t>舒适性配置</w:t>
      </w:r>
    </w:p>
    <w:p w14:paraId="7E70F257">
      <w:pPr>
        <w:snapToGrid w:val="0"/>
        <w:spacing w:line="440" w:lineRule="exact"/>
        <w:ind w:left="837" w:leftChars="271" w:hanging="268" w:hangingChars="96"/>
        <w:rPr>
          <w:rFonts w:hint="eastAsia" w:ascii="仿宋" w:hAnsi="仿宋" w:eastAsia="仿宋"/>
          <w:sz w:val="28"/>
          <w:szCs w:val="28"/>
          <w:lang w:val="zh-TW" w:eastAsia="zh-CN"/>
        </w:rPr>
      </w:pPr>
      <w:r>
        <w:rPr>
          <w:rFonts w:hint="eastAsia" w:ascii="仿宋" w:hAnsi="仿宋" w:eastAsia="仿宋"/>
          <w:sz w:val="28"/>
          <w:szCs w:val="28"/>
          <w:lang w:val="zh-TW"/>
        </w:rPr>
        <w:t>座椅：49+1座，全车三点式安全带，司机椅带通风/加热功能</w:t>
      </w:r>
      <w:r>
        <w:rPr>
          <w:rFonts w:hint="eastAsia" w:ascii="仿宋" w:hAnsi="仿宋" w:eastAsia="仿宋"/>
          <w:sz w:val="28"/>
          <w:szCs w:val="28"/>
          <w:lang w:val="zh-TW" w:eastAsia="zh-CN"/>
        </w:rPr>
        <w:t>；</w:t>
      </w:r>
    </w:p>
    <w:p w14:paraId="0D8F9EB2">
      <w:pPr>
        <w:snapToGrid w:val="0"/>
        <w:spacing w:line="440" w:lineRule="exact"/>
        <w:rPr>
          <w:rFonts w:ascii="仿宋" w:hAnsi="仿宋" w:eastAsia="仿宋"/>
          <w:sz w:val="28"/>
          <w:szCs w:val="28"/>
          <w:lang w:val="zh-TW"/>
        </w:rPr>
      </w:pPr>
      <w:r>
        <w:rPr>
          <w:rFonts w:hint="eastAsia" w:ascii="仿宋" w:hAnsi="仿宋" w:eastAsia="仿宋"/>
          <w:sz w:val="28"/>
          <w:szCs w:val="28"/>
        </w:rPr>
        <w:t>3.</w:t>
      </w:r>
      <w:r>
        <w:rPr>
          <w:rFonts w:hint="eastAsia" w:ascii="仿宋" w:hAnsi="仿宋" w:eastAsia="仿宋"/>
          <w:sz w:val="28"/>
          <w:szCs w:val="28"/>
          <w:lang w:val="zh-TW"/>
        </w:rPr>
        <w:t>拟购仪器设备类明细表</w:t>
      </w:r>
    </w:p>
    <w:tbl>
      <w:tblPr>
        <w:tblStyle w:val="2"/>
        <w:tblW w:w="8986" w:type="dxa"/>
        <w:tblInd w:w="-313" w:type="dxa"/>
        <w:shd w:val="clear" w:color="auto" w:fill="FFFFFF"/>
        <w:tblLayout w:type="autofit"/>
        <w:tblCellMar>
          <w:top w:w="15" w:type="dxa"/>
          <w:left w:w="15" w:type="dxa"/>
          <w:bottom w:w="15" w:type="dxa"/>
          <w:right w:w="15" w:type="dxa"/>
        </w:tblCellMar>
      </w:tblPr>
      <w:tblGrid>
        <w:gridCol w:w="1841"/>
        <w:gridCol w:w="1609"/>
        <w:gridCol w:w="5536"/>
      </w:tblGrid>
      <w:tr w14:paraId="344985AC">
        <w:tblPrEx>
          <w:shd w:val="clear" w:color="auto" w:fill="FFFFFF"/>
          <w:tblCellMar>
            <w:top w:w="15" w:type="dxa"/>
            <w:left w:w="15" w:type="dxa"/>
            <w:bottom w:w="15" w:type="dxa"/>
            <w:right w:w="15" w:type="dxa"/>
          </w:tblCellMar>
        </w:tblPrEx>
        <w:trPr>
          <w:tblHeader/>
        </w:trPr>
        <w:tc>
          <w:tcPr>
            <w:tcW w:w="1841" w:type="dxa"/>
            <w:tcBorders>
              <w:top w:val="single" w:color="auto" w:sz="4" w:space="0"/>
              <w:left w:val="single" w:color="auto" w:sz="4" w:space="0"/>
              <w:bottom w:val="single" w:color="auto" w:sz="4" w:space="0"/>
              <w:right w:val="single" w:color="auto" w:sz="4" w:space="0"/>
            </w:tcBorders>
            <w:shd w:val="clear" w:color="auto" w:fill="FFFFFF"/>
            <w:tcMar>
              <w:top w:w="150" w:type="dxa"/>
              <w:left w:w="0" w:type="dxa"/>
              <w:bottom w:w="150" w:type="dxa"/>
              <w:right w:w="150" w:type="dxa"/>
            </w:tcMar>
            <w:vAlign w:val="center"/>
          </w:tcPr>
          <w:p w14:paraId="6C6219D0">
            <w:pPr>
              <w:widowControl/>
              <w:spacing w:line="26" w:lineRule="atLeast"/>
              <w:jc w:val="center"/>
              <w:rPr>
                <w:rFonts w:ascii="仿宋_GB2312" w:hAnsi="仿宋_GB2312" w:eastAsia="仿宋_GB2312" w:cs="仿宋_GB2312"/>
                <w:b/>
                <w:bCs/>
                <w:color w:val="404040"/>
                <w:sz w:val="32"/>
                <w:szCs w:val="32"/>
              </w:rPr>
            </w:pPr>
            <w:r>
              <w:rPr>
                <w:rFonts w:hint="eastAsia" w:ascii="仿宋_GB2312" w:hAnsi="仿宋_GB2312" w:eastAsia="仿宋_GB2312" w:cs="仿宋_GB2312"/>
                <w:b/>
                <w:bCs/>
                <w:color w:val="404040"/>
                <w:kern w:val="0"/>
                <w:sz w:val="32"/>
                <w:szCs w:val="32"/>
                <w:lang w:bidi="ar"/>
              </w:rPr>
              <w:t>系统分类</w:t>
            </w:r>
          </w:p>
        </w:tc>
        <w:tc>
          <w:tcPr>
            <w:tcW w:w="1609" w:type="dxa"/>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14:paraId="0361CF72">
            <w:pPr>
              <w:widowControl/>
              <w:spacing w:line="26" w:lineRule="atLeast"/>
              <w:jc w:val="center"/>
              <w:rPr>
                <w:rFonts w:ascii="仿宋_GB2312" w:hAnsi="仿宋_GB2312" w:eastAsia="仿宋_GB2312" w:cs="仿宋_GB2312"/>
                <w:b/>
                <w:bCs/>
                <w:color w:val="404040"/>
                <w:sz w:val="32"/>
                <w:szCs w:val="32"/>
              </w:rPr>
            </w:pPr>
            <w:r>
              <w:rPr>
                <w:rFonts w:hint="eastAsia" w:ascii="仿宋_GB2312" w:hAnsi="仿宋_GB2312" w:eastAsia="仿宋_GB2312" w:cs="仿宋_GB2312"/>
                <w:b/>
                <w:bCs/>
                <w:color w:val="404040"/>
                <w:kern w:val="0"/>
                <w:sz w:val="32"/>
                <w:szCs w:val="32"/>
                <w:lang w:bidi="ar"/>
              </w:rPr>
              <w:t>配置项</w:t>
            </w:r>
          </w:p>
        </w:tc>
        <w:tc>
          <w:tcPr>
            <w:tcW w:w="5536" w:type="dxa"/>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14:paraId="349D5625">
            <w:pPr>
              <w:widowControl/>
              <w:spacing w:line="26" w:lineRule="atLeast"/>
              <w:jc w:val="center"/>
              <w:rPr>
                <w:rFonts w:ascii="仿宋_GB2312" w:hAnsi="仿宋_GB2312" w:eastAsia="仿宋_GB2312" w:cs="仿宋_GB2312"/>
                <w:b/>
                <w:bCs/>
                <w:color w:val="404040"/>
                <w:sz w:val="32"/>
                <w:szCs w:val="32"/>
              </w:rPr>
            </w:pPr>
            <w:r>
              <w:rPr>
                <w:rFonts w:hint="eastAsia" w:ascii="仿宋_GB2312" w:hAnsi="仿宋_GB2312" w:eastAsia="仿宋_GB2312" w:cs="仿宋_GB2312"/>
                <w:b/>
                <w:bCs/>
                <w:color w:val="404040"/>
                <w:kern w:val="0"/>
                <w:sz w:val="32"/>
                <w:szCs w:val="32"/>
                <w:lang w:bidi="ar"/>
              </w:rPr>
              <w:t>技术要求</w:t>
            </w:r>
          </w:p>
        </w:tc>
      </w:tr>
      <w:tr w14:paraId="33E53C08">
        <w:tblPrEx>
          <w:shd w:val="clear" w:color="auto" w:fill="FFFFFF"/>
          <w:tblCellMar>
            <w:top w:w="15" w:type="dxa"/>
            <w:left w:w="15" w:type="dxa"/>
            <w:bottom w:w="15" w:type="dxa"/>
            <w:right w:w="15" w:type="dxa"/>
          </w:tblCellMar>
        </w:tblPrEx>
        <w:tc>
          <w:tcPr>
            <w:tcW w:w="1841" w:type="dxa"/>
            <w:tcBorders>
              <w:top w:val="single" w:color="auto" w:sz="4" w:space="0"/>
              <w:left w:val="single" w:color="auto" w:sz="4" w:space="0"/>
              <w:bottom w:val="single" w:color="auto" w:sz="4" w:space="0"/>
              <w:right w:val="single" w:color="auto" w:sz="4" w:space="0"/>
            </w:tcBorders>
            <w:shd w:val="clear" w:color="auto" w:fill="FFFFFF"/>
            <w:tcMar>
              <w:top w:w="150" w:type="dxa"/>
              <w:left w:w="0" w:type="dxa"/>
              <w:bottom w:w="150" w:type="dxa"/>
              <w:right w:w="150" w:type="dxa"/>
            </w:tcMar>
            <w:vAlign w:val="center"/>
          </w:tcPr>
          <w:p w14:paraId="1A0EACED">
            <w:pPr>
              <w:widowControl/>
              <w:spacing w:line="26" w:lineRule="atLeast"/>
              <w:jc w:val="center"/>
              <w:rPr>
                <w:rFonts w:ascii="仿宋_GB2312" w:hAnsi="仿宋_GB2312" w:eastAsia="仿宋_GB2312" w:cs="仿宋_GB2312"/>
                <w:color w:val="404040"/>
                <w:sz w:val="32"/>
                <w:szCs w:val="32"/>
              </w:rPr>
            </w:pPr>
            <w:r>
              <w:rPr>
                <w:rStyle w:val="4"/>
                <w:rFonts w:hint="eastAsia" w:ascii="仿宋_GB2312" w:hAnsi="仿宋_GB2312" w:eastAsia="仿宋_GB2312" w:cs="仿宋_GB2312"/>
                <w:bCs/>
                <w:color w:val="404040"/>
                <w:kern w:val="0"/>
                <w:sz w:val="32"/>
                <w:szCs w:val="32"/>
                <w:lang w:bidi="ar"/>
              </w:rPr>
              <w:t>底盘系统</w:t>
            </w:r>
          </w:p>
        </w:tc>
        <w:tc>
          <w:tcPr>
            <w:tcW w:w="1609" w:type="dxa"/>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14:paraId="6A9CC180">
            <w:pPr>
              <w:widowControl/>
              <w:spacing w:line="26" w:lineRule="atLeast"/>
              <w:jc w:val="left"/>
              <w:rPr>
                <w:rFonts w:ascii="仿宋_GB2312" w:hAnsi="仿宋_GB2312" w:eastAsia="仿宋_GB2312" w:cs="仿宋_GB2312"/>
                <w:color w:val="404040"/>
                <w:sz w:val="32"/>
                <w:szCs w:val="32"/>
              </w:rPr>
            </w:pPr>
            <w:r>
              <w:rPr>
                <w:rFonts w:hint="eastAsia" w:ascii="仿宋_GB2312" w:hAnsi="仿宋_GB2312" w:eastAsia="仿宋_GB2312" w:cs="仿宋_GB2312"/>
                <w:color w:val="404040"/>
                <w:kern w:val="0"/>
                <w:sz w:val="32"/>
                <w:szCs w:val="32"/>
                <w:lang w:bidi="ar"/>
              </w:rPr>
              <w:t>悬架形式</w:t>
            </w:r>
          </w:p>
        </w:tc>
        <w:tc>
          <w:tcPr>
            <w:tcW w:w="5536" w:type="dxa"/>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14:paraId="3DC25A27">
            <w:pPr>
              <w:widowControl/>
              <w:spacing w:line="26" w:lineRule="atLeast"/>
              <w:jc w:val="left"/>
              <w:rPr>
                <w:rFonts w:ascii="仿宋_GB2312" w:hAnsi="仿宋_GB2312" w:eastAsia="仿宋_GB2312" w:cs="仿宋_GB2312"/>
                <w:color w:val="404040"/>
                <w:sz w:val="32"/>
                <w:szCs w:val="32"/>
              </w:rPr>
            </w:pPr>
            <w:r>
              <w:rPr>
                <w:rFonts w:hint="eastAsia" w:ascii="仿宋_GB2312" w:hAnsi="仿宋_GB2312" w:eastAsia="仿宋_GB2312" w:cs="仿宋_GB2312"/>
                <w:color w:val="404040"/>
                <w:kern w:val="0"/>
                <w:sz w:val="32"/>
                <w:szCs w:val="32"/>
                <w:lang w:bidi="ar"/>
              </w:rPr>
              <w:t>全气囊悬架</w:t>
            </w:r>
          </w:p>
        </w:tc>
      </w:tr>
      <w:tr w14:paraId="18F05A45">
        <w:tblPrEx>
          <w:shd w:val="clear" w:color="auto" w:fill="FFFFFF"/>
          <w:tblCellMar>
            <w:top w:w="15" w:type="dxa"/>
            <w:left w:w="15" w:type="dxa"/>
            <w:bottom w:w="15" w:type="dxa"/>
            <w:right w:w="15" w:type="dxa"/>
          </w:tblCellMar>
        </w:tblPrEx>
        <w:tc>
          <w:tcPr>
            <w:tcW w:w="1841" w:type="dxa"/>
            <w:tcBorders>
              <w:top w:val="single" w:color="auto" w:sz="4" w:space="0"/>
              <w:left w:val="single" w:color="auto" w:sz="4" w:space="0"/>
              <w:bottom w:val="single" w:color="auto" w:sz="4" w:space="0"/>
              <w:right w:val="single" w:color="auto" w:sz="4" w:space="0"/>
            </w:tcBorders>
            <w:shd w:val="clear" w:color="auto" w:fill="FFFFFF"/>
            <w:tcMar>
              <w:top w:w="150" w:type="dxa"/>
              <w:left w:w="0" w:type="dxa"/>
              <w:bottom w:w="150" w:type="dxa"/>
              <w:right w:w="150" w:type="dxa"/>
            </w:tcMar>
            <w:vAlign w:val="center"/>
          </w:tcPr>
          <w:p w14:paraId="48F75F2B">
            <w:pPr>
              <w:jc w:val="center"/>
              <w:rPr>
                <w:rFonts w:ascii="仿宋_GB2312" w:hAnsi="仿宋_GB2312" w:eastAsia="仿宋_GB2312" w:cs="仿宋_GB2312"/>
                <w:color w:val="404040"/>
                <w:sz w:val="32"/>
                <w:szCs w:val="32"/>
              </w:rPr>
            </w:pPr>
          </w:p>
        </w:tc>
        <w:tc>
          <w:tcPr>
            <w:tcW w:w="1609" w:type="dxa"/>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14:paraId="6E72CF51">
            <w:pPr>
              <w:widowControl/>
              <w:spacing w:line="26" w:lineRule="atLeast"/>
              <w:jc w:val="left"/>
              <w:rPr>
                <w:rFonts w:ascii="仿宋_GB2312" w:hAnsi="仿宋_GB2312" w:eastAsia="仿宋_GB2312" w:cs="仿宋_GB2312"/>
                <w:color w:val="404040"/>
                <w:sz w:val="32"/>
                <w:szCs w:val="32"/>
              </w:rPr>
            </w:pPr>
            <w:r>
              <w:rPr>
                <w:rFonts w:hint="eastAsia" w:ascii="仿宋_GB2312" w:hAnsi="仿宋_GB2312" w:eastAsia="仿宋_GB2312" w:cs="仿宋_GB2312"/>
                <w:color w:val="404040"/>
                <w:kern w:val="0"/>
                <w:sz w:val="32"/>
                <w:szCs w:val="32"/>
                <w:lang w:bidi="ar"/>
              </w:rPr>
              <w:t>后桥速比</w:t>
            </w:r>
          </w:p>
        </w:tc>
        <w:tc>
          <w:tcPr>
            <w:tcW w:w="5536" w:type="dxa"/>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14:paraId="6731D677">
            <w:pPr>
              <w:widowControl/>
              <w:spacing w:line="26" w:lineRule="atLeast"/>
              <w:jc w:val="left"/>
              <w:rPr>
                <w:rFonts w:ascii="仿宋_GB2312" w:hAnsi="仿宋_GB2312" w:eastAsia="仿宋_GB2312" w:cs="仿宋_GB2312"/>
                <w:color w:val="404040"/>
                <w:sz w:val="32"/>
                <w:szCs w:val="32"/>
              </w:rPr>
            </w:pPr>
            <w:r>
              <w:rPr>
                <w:rFonts w:hint="eastAsia" w:ascii="仿宋_GB2312" w:hAnsi="仿宋_GB2312" w:eastAsia="仿宋_GB2312" w:cs="仿宋_GB2312"/>
                <w:color w:val="404040"/>
                <w:kern w:val="0"/>
                <w:sz w:val="32"/>
                <w:szCs w:val="32"/>
                <w:lang w:bidi="ar"/>
              </w:rPr>
              <w:t>≈3.364</w:t>
            </w:r>
          </w:p>
        </w:tc>
      </w:tr>
      <w:tr w14:paraId="146F7284">
        <w:tblPrEx>
          <w:shd w:val="clear" w:color="auto" w:fill="FFFFFF"/>
          <w:tblCellMar>
            <w:top w:w="15" w:type="dxa"/>
            <w:left w:w="15" w:type="dxa"/>
            <w:bottom w:w="15" w:type="dxa"/>
            <w:right w:w="15" w:type="dxa"/>
          </w:tblCellMar>
        </w:tblPrEx>
        <w:tc>
          <w:tcPr>
            <w:tcW w:w="1841" w:type="dxa"/>
            <w:tcBorders>
              <w:top w:val="single" w:color="auto" w:sz="4" w:space="0"/>
              <w:left w:val="single" w:color="auto" w:sz="4" w:space="0"/>
              <w:bottom w:val="single" w:color="auto" w:sz="4" w:space="0"/>
              <w:right w:val="single" w:color="auto" w:sz="4" w:space="0"/>
            </w:tcBorders>
            <w:shd w:val="clear" w:color="auto" w:fill="FFFFFF"/>
            <w:tcMar>
              <w:top w:w="150" w:type="dxa"/>
              <w:left w:w="0" w:type="dxa"/>
              <w:bottom w:w="150" w:type="dxa"/>
              <w:right w:w="150" w:type="dxa"/>
            </w:tcMar>
            <w:vAlign w:val="center"/>
          </w:tcPr>
          <w:p w14:paraId="4A80A72D">
            <w:pPr>
              <w:widowControl/>
              <w:spacing w:line="26" w:lineRule="atLeast"/>
              <w:jc w:val="center"/>
              <w:rPr>
                <w:rFonts w:ascii="仿宋_GB2312" w:hAnsi="仿宋_GB2312" w:eastAsia="仿宋_GB2312" w:cs="仿宋_GB2312"/>
                <w:color w:val="404040"/>
                <w:sz w:val="32"/>
                <w:szCs w:val="32"/>
              </w:rPr>
            </w:pPr>
            <w:r>
              <w:rPr>
                <w:rStyle w:val="4"/>
                <w:rFonts w:hint="eastAsia" w:ascii="仿宋_GB2312" w:hAnsi="仿宋_GB2312" w:eastAsia="仿宋_GB2312" w:cs="仿宋_GB2312"/>
                <w:bCs/>
                <w:color w:val="404040"/>
                <w:kern w:val="0"/>
                <w:sz w:val="32"/>
                <w:szCs w:val="32"/>
                <w:lang w:bidi="ar"/>
              </w:rPr>
              <w:t>电子系统</w:t>
            </w:r>
          </w:p>
        </w:tc>
        <w:tc>
          <w:tcPr>
            <w:tcW w:w="1609" w:type="dxa"/>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14:paraId="7D967FA9">
            <w:pPr>
              <w:widowControl/>
              <w:spacing w:line="26" w:lineRule="atLeast"/>
              <w:jc w:val="left"/>
              <w:rPr>
                <w:rFonts w:ascii="仿宋_GB2312" w:hAnsi="仿宋_GB2312" w:eastAsia="仿宋_GB2312" w:cs="仿宋_GB2312"/>
                <w:color w:val="404040"/>
                <w:sz w:val="32"/>
                <w:szCs w:val="32"/>
              </w:rPr>
            </w:pPr>
            <w:r>
              <w:rPr>
                <w:rFonts w:hint="eastAsia" w:ascii="仿宋_GB2312" w:hAnsi="仿宋_GB2312" w:eastAsia="仿宋_GB2312" w:cs="仿宋_GB2312"/>
                <w:color w:val="404040"/>
                <w:kern w:val="0"/>
                <w:sz w:val="32"/>
                <w:szCs w:val="32"/>
                <w:lang w:bidi="ar"/>
              </w:rPr>
              <w:t>仪表盘</w:t>
            </w:r>
          </w:p>
        </w:tc>
        <w:tc>
          <w:tcPr>
            <w:tcW w:w="5536" w:type="dxa"/>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14:paraId="1517DA51">
            <w:pPr>
              <w:widowControl/>
              <w:spacing w:line="26" w:lineRule="atLeast"/>
              <w:jc w:val="left"/>
              <w:rPr>
                <w:rFonts w:ascii="仿宋_GB2312" w:hAnsi="仿宋_GB2312" w:eastAsia="仿宋_GB2312" w:cs="仿宋_GB2312"/>
                <w:color w:val="404040"/>
                <w:sz w:val="32"/>
                <w:szCs w:val="32"/>
              </w:rPr>
            </w:pPr>
            <w:r>
              <w:rPr>
                <w:rFonts w:hint="eastAsia" w:ascii="仿宋_GB2312" w:hAnsi="仿宋_GB2312" w:eastAsia="仿宋_GB2312" w:cs="仿宋_GB2312"/>
                <w:color w:val="404040"/>
                <w:kern w:val="0"/>
                <w:sz w:val="32"/>
                <w:szCs w:val="32"/>
                <w:lang w:bidi="ar"/>
              </w:rPr>
              <w:t>7英寸液晶仪表+7英寸中控触控屏</w:t>
            </w:r>
          </w:p>
        </w:tc>
      </w:tr>
      <w:tr w14:paraId="38122A05">
        <w:tblPrEx>
          <w:shd w:val="clear" w:color="auto" w:fill="FFFFFF"/>
          <w:tblCellMar>
            <w:top w:w="15" w:type="dxa"/>
            <w:left w:w="15" w:type="dxa"/>
            <w:bottom w:w="15" w:type="dxa"/>
            <w:right w:w="15" w:type="dxa"/>
          </w:tblCellMar>
        </w:tblPrEx>
        <w:tc>
          <w:tcPr>
            <w:tcW w:w="1841" w:type="dxa"/>
            <w:tcBorders>
              <w:top w:val="single" w:color="auto" w:sz="4" w:space="0"/>
              <w:left w:val="single" w:color="auto" w:sz="4" w:space="0"/>
              <w:bottom w:val="single" w:color="auto" w:sz="4" w:space="0"/>
              <w:right w:val="single" w:color="auto" w:sz="4" w:space="0"/>
            </w:tcBorders>
            <w:shd w:val="clear" w:color="auto" w:fill="FFFFFF"/>
            <w:tcMar>
              <w:top w:w="150" w:type="dxa"/>
              <w:left w:w="0" w:type="dxa"/>
              <w:bottom w:w="150" w:type="dxa"/>
              <w:right w:w="150" w:type="dxa"/>
            </w:tcMar>
            <w:vAlign w:val="center"/>
          </w:tcPr>
          <w:p w14:paraId="67D0847E">
            <w:pPr>
              <w:jc w:val="center"/>
              <w:rPr>
                <w:rFonts w:ascii="仿宋_GB2312" w:hAnsi="仿宋_GB2312" w:eastAsia="仿宋_GB2312" w:cs="仿宋_GB2312"/>
                <w:color w:val="404040"/>
                <w:sz w:val="32"/>
                <w:szCs w:val="32"/>
              </w:rPr>
            </w:pPr>
          </w:p>
        </w:tc>
        <w:tc>
          <w:tcPr>
            <w:tcW w:w="1609" w:type="dxa"/>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14:paraId="39FC5301">
            <w:pPr>
              <w:widowControl/>
              <w:spacing w:line="26" w:lineRule="atLeast"/>
              <w:jc w:val="left"/>
              <w:rPr>
                <w:rFonts w:ascii="仿宋_GB2312" w:hAnsi="仿宋_GB2312" w:eastAsia="仿宋_GB2312" w:cs="仿宋_GB2312"/>
                <w:color w:val="404040"/>
                <w:sz w:val="32"/>
                <w:szCs w:val="32"/>
              </w:rPr>
            </w:pPr>
            <w:r>
              <w:rPr>
                <w:rFonts w:hint="eastAsia" w:ascii="仿宋_GB2312" w:hAnsi="仿宋_GB2312" w:eastAsia="仿宋_GB2312" w:cs="仿宋_GB2312"/>
                <w:color w:val="404040"/>
                <w:kern w:val="0"/>
                <w:sz w:val="32"/>
                <w:szCs w:val="32"/>
                <w:lang w:bidi="ar"/>
              </w:rPr>
              <w:t>灯光</w:t>
            </w:r>
          </w:p>
        </w:tc>
        <w:tc>
          <w:tcPr>
            <w:tcW w:w="5536" w:type="dxa"/>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14:paraId="3BE485CF">
            <w:pPr>
              <w:widowControl/>
              <w:spacing w:line="26" w:lineRule="atLeast"/>
              <w:jc w:val="left"/>
              <w:rPr>
                <w:rFonts w:ascii="仿宋_GB2312" w:hAnsi="仿宋_GB2312" w:eastAsia="仿宋_GB2312" w:cs="仿宋_GB2312"/>
                <w:color w:val="404040"/>
                <w:sz w:val="32"/>
                <w:szCs w:val="32"/>
              </w:rPr>
            </w:pPr>
            <w:r>
              <w:rPr>
                <w:rFonts w:hint="eastAsia" w:ascii="仿宋_GB2312" w:hAnsi="仿宋_GB2312" w:eastAsia="仿宋_GB2312" w:cs="仿宋_GB2312"/>
                <w:color w:val="404040"/>
                <w:kern w:val="0"/>
                <w:sz w:val="32"/>
                <w:szCs w:val="32"/>
                <w:lang w:bidi="ar"/>
              </w:rPr>
              <w:t>卤素大灯+LED高位刹车灯+顶置厢灯</w:t>
            </w:r>
          </w:p>
        </w:tc>
      </w:tr>
      <w:tr w14:paraId="1A5EE2C6">
        <w:tblPrEx>
          <w:shd w:val="clear" w:color="auto" w:fill="FFFFFF"/>
          <w:tblCellMar>
            <w:top w:w="15" w:type="dxa"/>
            <w:left w:w="15" w:type="dxa"/>
            <w:bottom w:w="15" w:type="dxa"/>
            <w:right w:w="15" w:type="dxa"/>
          </w:tblCellMar>
        </w:tblPrEx>
        <w:tc>
          <w:tcPr>
            <w:tcW w:w="1841" w:type="dxa"/>
            <w:tcBorders>
              <w:top w:val="single" w:color="auto" w:sz="4" w:space="0"/>
              <w:left w:val="single" w:color="auto" w:sz="4" w:space="0"/>
              <w:bottom w:val="single" w:color="auto" w:sz="4" w:space="0"/>
              <w:right w:val="single" w:color="auto" w:sz="4" w:space="0"/>
            </w:tcBorders>
            <w:shd w:val="clear" w:color="auto" w:fill="FFFFFF"/>
            <w:tcMar>
              <w:top w:w="150" w:type="dxa"/>
              <w:left w:w="0" w:type="dxa"/>
              <w:bottom w:w="150" w:type="dxa"/>
              <w:right w:w="150" w:type="dxa"/>
            </w:tcMar>
            <w:vAlign w:val="center"/>
          </w:tcPr>
          <w:p w14:paraId="37A9E313">
            <w:pPr>
              <w:widowControl/>
              <w:spacing w:line="26" w:lineRule="atLeast"/>
              <w:jc w:val="center"/>
              <w:rPr>
                <w:rFonts w:ascii="仿宋_GB2312" w:hAnsi="仿宋_GB2312" w:eastAsia="仿宋_GB2312" w:cs="仿宋_GB2312"/>
                <w:color w:val="404040"/>
                <w:sz w:val="32"/>
                <w:szCs w:val="32"/>
              </w:rPr>
            </w:pPr>
            <w:r>
              <w:rPr>
                <w:rStyle w:val="4"/>
                <w:rFonts w:hint="eastAsia" w:ascii="仿宋_GB2312" w:hAnsi="仿宋_GB2312" w:eastAsia="仿宋_GB2312" w:cs="仿宋_GB2312"/>
                <w:bCs/>
                <w:color w:val="404040"/>
                <w:kern w:val="0"/>
                <w:sz w:val="32"/>
                <w:szCs w:val="32"/>
                <w:lang w:bidi="ar"/>
              </w:rPr>
              <w:t>车身配置</w:t>
            </w:r>
          </w:p>
        </w:tc>
        <w:tc>
          <w:tcPr>
            <w:tcW w:w="1609" w:type="dxa"/>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14:paraId="4AC4FFED">
            <w:pPr>
              <w:widowControl/>
              <w:spacing w:line="26" w:lineRule="atLeast"/>
              <w:jc w:val="left"/>
              <w:rPr>
                <w:rFonts w:ascii="仿宋_GB2312" w:hAnsi="仿宋_GB2312" w:eastAsia="仿宋_GB2312" w:cs="仿宋_GB2312"/>
                <w:color w:val="404040"/>
                <w:sz w:val="32"/>
                <w:szCs w:val="32"/>
              </w:rPr>
            </w:pPr>
            <w:r>
              <w:rPr>
                <w:rFonts w:hint="eastAsia" w:ascii="仿宋_GB2312" w:hAnsi="仿宋_GB2312" w:eastAsia="仿宋_GB2312" w:cs="仿宋_GB2312"/>
                <w:color w:val="404040"/>
                <w:kern w:val="0"/>
                <w:sz w:val="32"/>
                <w:szCs w:val="32"/>
                <w:lang w:bidi="ar"/>
              </w:rPr>
              <w:t>车窗</w:t>
            </w:r>
          </w:p>
        </w:tc>
        <w:tc>
          <w:tcPr>
            <w:tcW w:w="5536" w:type="dxa"/>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14:paraId="1C25918F">
            <w:pPr>
              <w:widowControl/>
              <w:spacing w:line="26" w:lineRule="atLeast"/>
              <w:jc w:val="left"/>
              <w:rPr>
                <w:rFonts w:ascii="仿宋_GB2312" w:hAnsi="仿宋_GB2312" w:eastAsia="仿宋_GB2312" w:cs="仿宋_GB2312"/>
                <w:color w:val="404040"/>
                <w:sz w:val="32"/>
                <w:szCs w:val="32"/>
              </w:rPr>
            </w:pPr>
            <w:r>
              <w:rPr>
                <w:rFonts w:hint="eastAsia" w:ascii="仿宋_GB2312" w:hAnsi="仿宋_GB2312" w:eastAsia="仿宋_GB2312" w:cs="仿宋_GB2312"/>
                <w:color w:val="404040"/>
                <w:kern w:val="0"/>
                <w:sz w:val="32"/>
                <w:szCs w:val="32"/>
                <w:lang w:bidi="ar"/>
              </w:rPr>
              <w:t>组合式侧窗（含外推应急窗+推拉窗）</w:t>
            </w:r>
          </w:p>
        </w:tc>
      </w:tr>
      <w:tr w14:paraId="7F8AF3A8">
        <w:tblPrEx>
          <w:shd w:val="clear" w:color="auto" w:fill="FFFFFF"/>
          <w:tblCellMar>
            <w:top w:w="15" w:type="dxa"/>
            <w:left w:w="15" w:type="dxa"/>
            <w:bottom w:w="15" w:type="dxa"/>
            <w:right w:w="15" w:type="dxa"/>
          </w:tblCellMar>
        </w:tblPrEx>
        <w:tc>
          <w:tcPr>
            <w:tcW w:w="1841" w:type="dxa"/>
            <w:tcBorders>
              <w:top w:val="single" w:color="auto" w:sz="4" w:space="0"/>
              <w:left w:val="single" w:color="auto" w:sz="4" w:space="0"/>
              <w:bottom w:val="single" w:color="auto" w:sz="4" w:space="0"/>
              <w:right w:val="single" w:color="auto" w:sz="4" w:space="0"/>
            </w:tcBorders>
            <w:shd w:val="clear" w:color="auto" w:fill="FFFFFF"/>
            <w:tcMar>
              <w:top w:w="150" w:type="dxa"/>
              <w:left w:w="0" w:type="dxa"/>
              <w:bottom w:w="150" w:type="dxa"/>
              <w:right w:w="150" w:type="dxa"/>
            </w:tcMar>
            <w:vAlign w:val="center"/>
          </w:tcPr>
          <w:p w14:paraId="42588B2A">
            <w:pPr>
              <w:jc w:val="center"/>
              <w:rPr>
                <w:rFonts w:ascii="仿宋_GB2312" w:hAnsi="仿宋_GB2312" w:eastAsia="仿宋_GB2312" w:cs="仿宋_GB2312"/>
                <w:color w:val="404040"/>
                <w:sz w:val="32"/>
                <w:szCs w:val="32"/>
              </w:rPr>
            </w:pPr>
          </w:p>
        </w:tc>
        <w:tc>
          <w:tcPr>
            <w:tcW w:w="1609" w:type="dxa"/>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14:paraId="2D1D064C">
            <w:pPr>
              <w:widowControl/>
              <w:spacing w:line="26" w:lineRule="atLeast"/>
              <w:jc w:val="left"/>
              <w:rPr>
                <w:rFonts w:ascii="仿宋_GB2312" w:hAnsi="仿宋_GB2312" w:eastAsia="仿宋_GB2312" w:cs="仿宋_GB2312"/>
                <w:color w:val="404040"/>
                <w:sz w:val="32"/>
                <w:szCs w:val="32"/>
              </w:rPr>
            </w:pPr>
            <w:r>
              <w:rPr>
                <w:rFonts w:hint="eastAsia" w:ascii="仿宋_GB2312" w:hAnsi="仿宋_GB2312" w:eastAsia="仿宋_GB2312" w:cs="仿宋_GB2312"/>
                <w:color w:val="404040"/>
                <w:kern w:val="0"/>
                <w:sz w:val="32"/>
                <w:szCs w:val="32"/>
                <w:lang w:bidi="ar"/>
              </w:rPr>
              <w:t>乘客门</w:t>
            </w:r>
          </w:p>
        </w:tc>
        <w:tc>
          <w:tcPr>
            <w:tcW w:w="5536" w:type="dxa"/>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14:paraId="70CF15EC">
            <w:pPr>
              <w:widowControl/>
              <w:spacing w:line="26" w:lineRule="atLeast"/>
              <w:jc w:val="left"/>
              <w:rPr>
                <w:rFonts w:ascii="仿宋_GB2312" w:hAnsi="仿宋_GB2312" w:eastAsia="仿宋_GB2312" w:cs="仿宋_GB2312"/>
                <w:color w:val="404040"/>
                <w:sz w:val="32"/>
                <w:szCs w:val="32"/>
              </w:rPr>
            </w:pPr>
            <w:r>
              <w:rPr>
                <w:rFonts w:hint="eastAsia" w:ascii="仿宋_GB2312" w:hAnsi="仿宋_GB2312" w:eastAsia="仿宋_GB2312" w:cs="仿宋_GB2312"/>
                <w:color w:val="404040"/>
                <w:kern w:val="0"/>
                <w:sz w:val="32"/>
                <w:szCs w:val="32"/>
                <w:lang w:bidi="ar"/>
              </w:rPr>
              <w:t>钢化玻璃外摆门</w:t>
            </w:r>
          </w:p>
        </w:tc>
      </w:tr>
      <w:tr w14:paraId="3ADFBEAE">
        <w:tblPrEx>
          <w:shd w:val="clear" w:color="auto" w:fill="FFFFFF"/>
          <w:tblCellMar>
            <w:top w:w="15" w:type="dxa"/>
            <w:left w:w="15" w:type="dxa"/>
            <w:bottom w:w="15" w:type="dxa"/>
            <w:right w:w="15" w:type="dxa"/>
          </w:tblCellMar>
        </w:tblPrEx>
        <w:tc>
          <w:tcPr>
            <w:tcW w:w="1841" w:type="dxa"/>
            <w:tcBorders>
              <w:top w:val="single" w:color="auto" w:sz="4" w:space="0"/>
              <w:left w:val="single" w:color="auto" w:sz="4" w:space="0"/>
              <w:bottom w:val="single" w:color="auto" w:sz="4" w:space="0"/>
              <w:right w:val="single" w:color="auto" w:sz="4" w:space="0"/>
            </w:tcBorders>
            <w:shd w:val="clear" w:color="auto" w:fill="FFFFFF"/>
            <w:tcMar>
              <w:top w:w="150" w:type="dxa"/>
              <w:left w:w="0" w:type="dxa"/>
              <w:bottom w:w="150" w:type="dxa"/>
              <w:right w:w="150" w:type="dxa"/>
            </w:tcMar>
            <w:vAlign w:val="center"/>
          </w:tcPr>
          <w:p w14:paraId="49789BBE">
            <w:pPr>
              <w:widowControl/>
              <w:spacing w:line="26" w:lineRule="atLeast"/>
              <w:jc w:val="center"/>
              <w:rPr>
                <w:rFonts w:ascii="仿宋_GB2312" w:hAnsi="仿宋_GB2312" w:eastAsia="仿宋_GB2312" w:cs="仿宋_GB2312"/>
                <w:color w:val="404040"/>
                <w:sz w:val="32"/>
                <w:szCs w:val="32"/>
              </w:rPr>
            </w:pPr>
            <w:r>
              <w:rPr>
                <w:rStyle w:val="4"/>
                <w:rFonts w:hint="eastAsia" w:ascii="仿宋_GB2312" w:hAnsi="仿宋_GB2312" w:eastAsia="仿宋_GB2312" w:cs="仿宋_GB2312"/>
                <w:bCs/>
                <w:color w:val="404040"/>
                <w:kern w:val="0"/>
                <w:sz w:val="32"/>
                <w:szCs w:val="32"/>
                <w:lang w:bidi="ar"/>
              </w:rPr>
              <w:t>适应性配置</w:t>
            </w:r>
          </w:p>
        </w:tc>
        <w:tc>
          <w:tcPr>
            <w:tcW w:w="1609" w:type="dxa"/>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14:paraId="641DB43C">
            <w:pPr>
              <w:widowControl/>
              <w:spacing w:line="26" w:lineRule="atLeast"/>
              <w:jc w:val="left"/>
              <w:rPr>
                <w:rFonts w:ascii="仿宋_GB2312" w:hAnsi="仿宋_GB2312" w:eastAsia="仿宋_GB2312" w:cs="仿宋_GB2312"/>
                <w:color w:val="404040"/>
                <w:sz w:val="32"/>
                <w:szCs w:val="32"/>
              </w:rPr>
            </w:pPr>
            <w:r>
              <w:rPr>
                <w:rFonts w:hint="eastAsia" w:ascii="仿宋_GB2312" w:hAnsi="仿宋_GB2312" w:eastAsia="仿宋_GB2312" w:cs="仿宋_GB2312"/>
                <w:color w:val="404040"/>
                <w:kern w:val="0"/>
                <w:sz w:val="32"/>
                <w:szCs w:val="32"/>
                <w:lang w:bidi="ar"/>
              </w:rPr>
              <w:t>燃油系统</w:t>
            </w:r>
          </w:p>
        </w:tc>
        <w:tc>
          <w:tcPr>
            <w:tcW w:w="5536" w:type="dxa"/>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14:paraId="4EB84541">
            <w:pPr>
              <w:widowControl/>
              <w:spacing w:line="26" w:lineRule="atLeast"/>
              <w:jc w:val="left"/>
              <w:rPr>
                <w:rFonts w:ascii="仿宋_GB2312" w:hAnsi="仿宋_GB2312" w:eastAsia="仿宋_GB2312" w:cs="仿宋_GB2312"/>
                <w:color w:val="404040"/>
                <w:sz w:val="32"/>
                <w:szCs w:val="32"/>
              </w:rPr>
            </w:pPr>
            <w:r>
              <w:rPr>
                <w:rFonts w:hint="eastAsia" w:ascii="仿宋_GB2312" w:hAnsi="仿宋_GB2312" w:eastAsia="仿宋_GB2312" w:cs="仿宋_GB2312"/>
                <w:color w:val="404040"/>
                <w:kern w:val="0"/>
                <w:sz w:val="32"/>
                <w:szCs w:val="32"/>
                <w:lang w:bidi="ar"/>
              </w:rPr>
              <w:t>260L油箱，-45#防冻液，燃油加热系统</w:t>
            </w:r>
          </w:p>
        </w:tc>
      </w:tr>
      <w:tr w14:paraId="5DE37A2A">
        <w:tblPrEx>
          <w:shd w:val="clear" w:color="auto" w:fill="FFFFFF"/>
          <w:tblCellMar>
            <w:top w:w="15" w:type="dxa"/>
            <w:left w:w="15" w:type="dxa"/>
            <w:bottom w:w="15" w:type="dxa"/>
            <w:right w:w="15" w:type="dxa"/>
          </w:tblCellMar>
        </w:tblPrEx>
        <w:tc>
          <w:tcPr>
            <w:tcW w:w="1841" w:type="dxa"/>
            <w:tcBorders>
              <w:top w:val="single" w:color="auto" w:sz="4" w:space="0"/>
              <w:left w:val="single" w:color="auto" w:sz="4" w:space="0"/>
              <w:bottom w:val="single" w:color="auto" w:sz="4" w:space="0"/>
              <w:right w:val="single" w:color="auto" w:sz="4" w:space="0"/>
            </w:tcBorders>
            <w:shd w:val="clear" w:color="auto" w:fill="FFFFFF"/>
            <w:tcMar>
              <w:top w:w="150" w:type="dxa"/>
              <w:left w:w="0" w:type="dxa"/>
              <w:bottom w:w="150" w:type="dxa"/>
              <w:right w:w="150" w:type="dxa"/>
            </w:tcMar>
            <w:vAlign w:val="center"/>
          </w:tcPr>
          <w:p w14:paraId="1F0EB618">
            <w:pPr>
              <w:jc w:val="center"/>
              <w:rPr>
                <w:rFonts w:ascii="仿宋_GB2312" w:hAnsi="仿宋_GB2312" w:eastAsia="仿宋_GB2312" w:cs="仿宋_GB2312"/>
                <w:color w:val="404040"/>
                <w:sz w:val="32"/>
                <w:szCs w:val="32"/>
              </w:rPr>
            </w:pPr>
          </w:p>
        </w:tc>
        <w:tc>
          <w:tcPr>
            <w:tcW w:w="1609" w:type="dxa"/>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14:paraId="5EB2FAB7">
            <w:pPr>
              <w:widowControl/>
              <w:spacing w:line="26" w:lineRule="atLeast"/>
              <w:jc w:val="left"/>
              <w:rPr>
                <w:rFonts w:ascii="仿宋_GB2312" w:hAnsi="仿宋_GB2312" w:eastAsia="仿宋_GB2312" w:cs="仿宋_GB2312"/>
                <w:color w:val="404040"/>
                <w:sz w:val="32"/>
                <w:szCs w:val="32"/>
              </w:rPr>
            </w:pPr>
            <w:r>
              <w:rPr>
                <w:rFonts w:hint="eastAsia" w:ascii="仿宋_GB2312" w:hAnsi="仿宋_GB2312" w:eastAsia="仿宋_GB2312" w:cs="仿宋_GB2312"/>
                <w:color w:val="404040"/>
                <w:kern w:val="0"/>
                <w:sz w:val="32"/>
                <w:szCs w:val="32"/>
                <w:lang w:bidi="ar"/>
              </w:rPr>
              <w:t>轮胎</w:t>
            </w:r>
          </w:p>
        </w:tc>
        <w:tc>
          <w:tcPr>
            <w:tcW w:w="5536" w:type="dxa"/>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14:paraId="06C89C4D">
            <w:pPr>
              <w:widowControl/>
              <w:spacing w:line="26" w:lineRule="atLeast"/>
              <w:jc w:val="left"/>
              <w:rPr>
                <w:rFonts w:ascii="仿宋_GB2312" w:hAnsi="仿宋_GB2312" w:eastAsia="仿宋_GB2312" w:cs="仿宋_GB2312"/>
                <w:color w:val="404040"/>
                <w:sz w:val="32"/>
                <w:szCs w:val="32"/>
              </w:rPr>
            </w:pPr>
            <w:r>
              <w:rPr>
                <w:rFonts w:hint="eastAsia" w:ascii="仿宋_GB2312" w:hAnsi="仿宋_GB2312" w:eastAsia="仿宋_GB2312" w:cs="仿宋_GB2312"/>
                <w:color w:val="404040"/>
                <w:kern w:val="0"/>
                <w:sz w:val="32"/>
                <w:szCs w:val="32"/>
                <w:lang w:bidi="ar"/>
              </w:rPr>
              <w:t>295/80R22.5 真空胎，全尺寸备胎</w:t>
            </w:r>
          </w:p>
        </w:tc>
      </w:tr>
    </w:tbl>
    <w:p w14:paraId="2D77A043">
      <w:pPr>
        <w:spacing w:line="560" w:lineRule="exact"/>
        <w:rPr>
          <w:rFonts w:ascii="黑体" w:hAnsi="黑体" w:eastAsia="黑体" w:cs="黑体"/>
          <w:sz w:val="32"/>
          <w:szCs w:val="32"/>
        </w:rPr>
      </w:pPr>
      <w:r>
        <w:rPr>
          <w:rFonts w:hint="eastAsia" w:ascii="黑体" w:hAnsi="黑体" w:eastAsia="黑体" w:cs="黑体"/>
          <w:sz w:val="32"/>
          <w:szCs w:val="32"/>
        </w:rPr>
        <w:t>四、其他需求</w:t>
      </w:r>
    </w:p>
    <w:p w14:paraId="17478328">
      <w:pPr>
        <w:rPr>
          <w:rFonts w:ascii="仿宋_GB2312" w:hAnsi="仿宋_GB2312" w:eastAsia="仿宋_GB2312" w:cs="仿宋_GB2312"/>
          <w:sz w:val="32"/>
          <w:szCs w:val="32"/>
        </w:rPr>
      </w:pPr>
      <w:r>
        <w:rPr>
          <w:rFonts w:hint="eastAsia" w:ascii="仿宋_GB2312" w:hAnsi="仿宋_GB2312" w:eastAsia="仿宋_GB2312" w:cs="仿宋_GB2312"/>
          <w:sz w:val="32"/>
          <w:szCs w:val="32"/>
        </w:rPr>
        <w:t>(1)供应商资格条件</w:t>
      </w:r>
    </w:p>
    <w:p w14:paraId="6B1CC9E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具有独立承担民事责任能力的法人资格，持有有效的营业执照（经营范围须包含汽车销售）。</w:t>
      </w:r>
    </w:p>
    <w:p w14:paraId="64E2CAB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具备所投品牌客车制造厂商针对本项目的有效授权书或销售代理资质证明。</w:t>
      </w:r>
    </w:p>
    <w:p w14:paraId="53D9591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近三年（2022年1月1日至今）在经营活动中无重大违法记录，无重大质量、安全责任事故，无重大保险服务纠纷或行政处罚记录（需提供声明或相关证明）。</w:t>
      </w:r>
    </w:p>
    <w:p w14:paraId="07882E5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供应商信用记录良好，未被列入失信被执行人、重大税收违法案件当事人、政府采购严重违法失信行为记录名单（提供“信用中国”网站查询截图）。</w:t>
      </w:r>
    </w:p>
    <w:p w14:paraId="646E27A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为所投品牌客车在新疆或兵团区域内的授权服务站。</w:t>
      </w:r>
    </w:p>
    <w:p w14:paraId="1A1DE733">
      <w:pPr>
        <w:ind w:firstLine="640" w:firstLineChars="200"/>
        <w:rPr>
          <w:rFonts w:hint="eastAsia" w:ascii="仿宋_GB2312" w:hAnsi="仿宋_GB2312" w:eastAsia="仿宋_GB2312" w:cs="仿宋_GB2312"/>
          <w:sz w:val="32"/>
          <w:szCs w:val="32"/>
        </w:rPr>
      </w:pPr>
    </w:p>
    <w:p w14:paraId="497D4E51">
      <w:pPr>
        <w:ind w:firstLine="640" w:firstLineChars="200"/>
        <w:rPr>
          <w:rFonts w:hint="eastAsia" w:ascii="仿宋_GB2312" w:hAnsi="仿宋_GB2312" w:eastAsia="仿宋_GB2312" w:cs="仿宋_GB2312"/>
          <w:sz w:val="32"/>
          <w:szCs w:val="32"/>
        </w:rPr>
      </w:pPr>
    </w:p>
    <w:p w14:paraId="15A1EDC8">
      <w:pPr>
        <w:rPr>
          <w:rFonts w:ascii="仿宋_GB2312" w:hAnsi="仿宋_GB2312" w:eastAsia="仿宋_GB2312" w:cs="仿宋_GB2312"/>
          <w:sz w:val="32"/>
          <w:szCs w:val="32"/>
        </w:rPr>
      </w:pPr>
      <w:r>
        <w:rPr>
          <w:rFonts w:hint="eastAsia" w:ascii="仿宋_GB2312" w:hAnsi="仿宋_GB2312" w:eastAsia="仿宋_GB2312" w:cs="仿宋_GB2312"/>
          <w:sz w:val="32"/>
          <w:szCs w:val="32"/>
        </w:rPr>
        <w:t>填报人：       （单位盖章）  报日期：2025年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p>
    <w:p w14:paraId="39F8F3D7"/>
    <w:p w14:paraId="4AAA97A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4E0741"/>
    <w:rsid w:val="00785B40"/>
    <w:rsid w:val="00CA7EC4"/>
    <w:rsid w:val="0BD034A2"/>
    <w:rsid w:val="1DD450B5"/>
    <w:rsid w:val="23680A25"/>
    <w:rsid w:val="409311AF"/>
    <w:rsid w:val="694E0741"/>
    <w:rsid w:val="6F595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qe</Company>
  <Pages>4</Pages>
  <Words>1154</Words>
  <Characters>1240</Characters>
  <Lines>10</Lines>
  <Paragraphs>3</Paragraphs>
  <TotalTime>35</TotalTime>
  <ScaleCrop>false</ScaleCrop>
  <LinksUpToDate>false</LinksUpToDate>
  <CharactersWithSpaces>1258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2025-06-23T08:23:00Z</dcterms:created>
  <dc:creator>刘磊</dc:creator>
  <cp:lastModifiedBy>唐古拉窜天猴</cp:lastModifiedBy>
  <dcterms:modified xsi:type="dcterms:W3CDTF">2025-07-10T05:45:05Z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EEB2A75079D444D483E527E3B4C17EA3_13</vt:lpwstr>
  </property>
  <property fmtid="{D5CDD505-2E9C-101B-9397-08002B2CF9AE}" pid="4" name="KSOTemplateDocerSaveRecord">
    <vt:lpwstr>eyJoZGlkIjoiNTNmYjcxZGQyYjM1YjQ5YWQwNTU0NTA4YzBmZmJmMWUiLCJ1c2VySWQiOiI2MjA4MTIzMTAifQ==</vt:lpwstr>
  </property>
</Properties>
</file>