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14:paraId="90E7ED81">
      <w:pPr>
        <w:pStyle w:val="style0"/>
        <w:rPr>
          <w:rFonts w:eastAsia="宋体" w:hint="eastAsia"/>
          <w:vertAlign w:val="baseline"/>
          <w:lang w:val="en-US" w:eastAsia="zh-CN"/>
        </w:rPr>
      </w:pPr>
      <w:r>
        <w:rPr>
          <w:rFonts w:hint="eastAsia"/>
          <w:lang w:val="en-US" w:eastAsia="zh-CN"/>
        </w:rPr>
        <w:t>真空压缩封口包装机技术参数：</w:t>
      </w:r>
    </w:p>
    <w:tbl>
      <w:tblPr>
        <w:tblStyle w:val="style154"/>
        <w:tblW w:w="71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311"/>
        <w:gridCol w:w="4664"/>
        <w:gridCol w:w="1150"/>
      </w:tblGrid>
      <w:tr w14:paraId="8D5F2C67">
        <w:trPr>
          <w:wAfter w:w="0" w:type="auto"/>
          <w:trHeight w:val="389" w:hRule="atLeast"/>
        </w:trPr>
        <w:tc>
          <w:tcPr>
            <w:tcW w:w="1311" w:type="dxa"/>
            <w:tcBorders/>
          </w:tcPr>
          <w:p w14:paraId="30831834">
            <w:pPr>
              <w:pStyle w:val="style0"/>
              <w:keepNext w:val="false"/>
              <w:keepLines w:val="false"/>
              <w:widowControl/>
              <w:suppressLineNumbers w:val="false"/>
              <w:jc w:val="center"/>
              <w:rPr>
                <w:rFonts w:ascii="宋体" w:cs="宋体" w:eastAsia="宋体" w:hAnsi="宋体" w:hint="default"/>
                <w:color w:val="000000"/>
                <w:kern w:val="0"/>
                <w:sz w:val="24"/>
                <w:szCs w:val="24"/>
                <w:lang w:val="en-US" w:eastAsia="zh-CN"/>
              </w:rPr>
            </w:pPr>
            <w:r>
              <w:rPr>
                <w:rFonts w:ascii="宋体" w:cs="宋体" w:eastAsia="宋体" w:hAnsi="宋体" w:hint="eastAsia"/>
                <w:color w:val="000000"/>
                <w:kern w:val="0"/>
                <w:sz w:val="24"/>
                <w:szCs w:val="24"/>
                <w:lang w:val="en-US" w:eastAsia="zh-CN"/>
              </w:rPr>
              <w:t>产品名称</w:t>
            </w:r>
          </w:p>
        </w:tc>
        <w:tc>
          <w:tcPr>
            <w:tcW w:w="4664" w:type="dxa"/>
            <w:tcBorders/>
          </w:tcPr>
          <w:p w14:paraId="E9011AA8">
            <w:pPr>
              <w:pStyle w:val="style0"/>
              <w:keepNext w:val="false"/>
              <w:keepLines w:val="false"/>
              <w:widowControl/>
              <w:suppressLineNumbers w:val="false"/>
              <w:jc w:val="center"/>
              <w:rPr>
                <w:rFonts w:eastAsia="宋体" w:hint="default"/>
                <w:vertAlign w:val="baseline"/>
                <w:lang w:val="en-US" w:eastAsia="zh-CN"/>
              </w:rPr>
            </w:pPr>
            <w:r>
              <w:rPr>
                <w:rFonts w:ascii="宋体" w:cs="宋体" w:eastAsia="宋体" w:hAnsi="宋体" w:hint="eastAsia"/>
                <w:color w:val="000000"/>
                <w:kern w:val="0"/>
                <w:sz w:val="24"/>
                <w:szCs w:val="24"/>
                <w:lang w:val="en-US" w:eastAsia="zh-CN"/>
              </w:rPr>
              <w:t>详细要求</w:t>
            </w:r>
          </w:p>
        </w:tc>
        <w:tc>
          <w:tcPr>
            <w:tcW w:w="1150" w:type="dxa"/>
            <w:tcBorders/>
          </w:tcPr>
          <w:p w14:paraId="BA7ED9BD">
            <w:pPr>
              <w:pStyle w:val="style0"/>
              <w:jc w:val="center"/>
              <w:rPr>
                <w:rFonts w:hint="eastAsia"/>
                <w:vertAlign w:val="baseline"/>
                <w:lang w:val="en-US" w:eastAsia="zh-CN"/>
              </w:rPr>
            </w:pPr>
            <w:r>
              <w:rPr>
                <w:rFonts w:hint="eastAsia"/>
                <w:vertAlign w:val="baseline"/>
                <w:lang w:val="en-US" w:eastAsia="zh-CN"/>
              </w:rPr>
              <w:t>参考品牌</w:t>
            </w:r>
          </w:p>
        </w:tc>
      </w:tr>
      <w:tr w14:paraId="AD2217E0">
        <w:tblPrEx/>
        <w:trPr>
          <w:wAfter w:w="0" w:type="auto"/>
          <w:trHeight w:val="1493" w:hRule="atLeast"/>
        </w:trPr>
        <w:tc>
          <w:tcPr>
            <w:tcW w:w="1311" w:type="dxa"/>
            <w:tcBorders/>
          </w:tcPr>
          <w:p w14:paraId="4E9802C7">
            <w:pPr>
              <w:pStyle w:val="style0"/>
              <w:rPr>
                <w:rFonts w:eastAsia="宋体" w:hint="eastAsia"/>
                <w:vertAlign w:val="baseline"/>
                <w:lang w:val="en-US" w:eastAsia="zh-CN"/>
              </w:rPr>
            </w:pPr>
            <w:r>
              <w:rPr>
                <w:rFonts w:hint="eastAsia"/>
                <w:lang w:val="en-US" w:eastAsia="zh-CN"/>
              </w:rPr>
              <w:t>真空压缩封口包装机</w:t>
            </w:r>
          </w:p>
        </w:tc>
        <w:tc>
          <w:tcPr>
            <w:tcW w:w="4664" w:type="dxa"/>
            <w:tcBorders/>
          </w:tcPr>
          <w:p w14:paraId="0B3A1213">
            <w:pPr>
              <w:pStyle w:val="style0"/>
              <w:rPr>
                <w:rFonts w:hint="eastAsia"/>
                <w:lang w:val="en-US" w:eastAsia="zh-CN"/>
              </w:rPr>
            </w:pPr>
            <w:r>
              <w:rPr>
                <w:rFonts w:hint="eastAsia"/>
                <w:lang w:val="en-US" w:eastAsia="zh-CN"/>
              </w:rPr>
              <w:t>真空压缩封口包装机参数要求：</w:t>
            </w:r>
          </w:p>
          <w:p w14:paraId="896373AF">
            <w:pPr>
              <w:pStyle w:val="style0"/>
              <w:rPr>
                <w:rFonts w:hint="eastAsia"/>
              </w:rPr>
            </w:pPr>
            <w:r>
              <w:rPr>
                <w:rFonts w:hint="eastAsia"/>
                <w:lang w:val="en-US" w:eastAsia="zh-CN"/>
              </w:rPr>
              <w:t>1、</w:t>
            </w:r>
            <w:r>
              <w:rPr>
                <w:rFonts w:hint="eastAsia"/>
              </w:rPr>
              <w:t>产品优势：PLC控制面板全新升级操作便捷智能压缩，气缸70小时高效运行350万次机械寿命80°耐高温。双气缸8mm加宽封口升降限位模式。4mm加厚钣金外观简洁经久耐用持久压缩不变形。压缩真空封口一步到位。压缩1∶5有效压缩节省更多空间</w:t>
            </w:r>
            <w:r>
              <w:rPr>
                <w:rFonts w:hint="eastAsia"/>
                <w:lang w:eastAsia="zh-CN"/>
              </w:rPr>
              <w:t>。</w:t>
            </w:r>
          </w:p>
          <w:p w14:paraId="6A2010E1">
            <w:pPr>
              <w:pStyle w:val="style0"/>
              <w:rPr>
                <w:rFonts w:hint="eastAsia"/>
                <w:lang w:val="en-US" w:eastAsia="zh-CN"/>
              </w:rPr>
            </w:pPr>
            <w:r>
              <w:rPr>
                <w:rFonts w:hint="eastAsia"/>
                <w:lang w:val="en-US" w:eastAsia="zh-CN"/>
              </w:rPr>
              <w:t>参数：1、整机尺寸：900*850*1860mm</w:t>
            </w:r>
          </w:p>
          <w:p w14:paraId="E2767467">
            <w:pPr>
              <w:pStyle w:val="style0"/>
              <w:rPr>
                <w:rFonts w:hint="eastAsia"/>
                <w:lang w:val="en-US" w:eastAsia="zh-CN"/>
              </w:rPr>
            </w:pPr>
            <w:r>
              <w:rPr>
                <w:rFonts w:hint="eastAsia"/>
                <w:lang w:val="en-US" w:eastAsia="zh-CN"/>
              </w:rPr>
              <w:t>2、封条尺寸：80cm</w:t>
            </w:r>
          </w:p>
          <w:p w14:paraId="AB766414">
            <w:pPr>
              <w:pStyle w:val="style0"/>
              <w:rPr>
                <w:rFonts w:hint="eastAsia"/>
                <w:lang w:val="en-US" w:eastAsia="zh-CN"/>
              </w:rPr>
            </w:pPr>
            <w:r>
              <w:rPr>
                <w:rFonts w:hint="eastAsia"/>
                <w:lang w:val="en-US" w:eastAsia="zh-CN"/>
              </w:rPr>
              <w:t>3、工作效率：3-5包/次</w:t>
            </w:r>
          </w:p>
          <w:p w14:paraId="0A58259E">
            <w:pPr>
              <w:pStyle w:val="style0"/>
              <w:rPr>
                <w:rFonts w:hint="eastAsia"/>
                <w:lang w:val="en-US" w:eastAsia="zh-CN"/>
              </w:rPr>
            </w:pPr>
            <w:r>
              <w:rPr>
                <w:rFonts w:hint="eastAsia"/>
                <w:lang w:val="en-US" w:eastAsia="zh-CN"/>
              </w:rPr>
              <w:t>4、气缸量：125*35cm2根</w:t>
            </w:r>
          </w:p>
          <w:p w14:paraId="053A49CF">
            <w:pPr>
              <w:pStyle w:val="style0"/>
              <w:rPr>
                <w:rFonts w:hint="eastAsia"/>
                <w:lang w:val="en-US" w:eastAsia="zh-CN"/>
              </w:rPr>
            </w:pPr>
            <w:r>
              <w:rPr>
                <w:rFonts w:hint="eastAsia"/>
                <w:lang w:val="en-US" w:eastAsia="zh-CN"/>
              </w:rPr>
              <w:t>5、重量体积：1.5方</w:t>
            </w:r>
          </w:p>
          <w:p w14:paraId="A86A48F1">
            <w:pPr>
              <w:pStyle w:val="style0"/>
              <w:rPr>
                <w:rFonts w:hint="eastAsia"/>
                <w:lang w:val="en-US" w:eastAsia="zh-CN"/>
              </w:rPr>
            </w:pPr>
            <w:r>
              <w:rPr>
                <w:rFonts w:hint="eastAsia"/>
                <w:lang w:val="en-US" w:eastAsia="zh-CN"/>
              </w:rPr>
              <w:t>6、适用范围：枕头、棉被、衣服、羽绒品、海绵等</w:t>
            </w:r>
          </w:p>
          <w:p w14:paraId="D520B2E2">
            <w:pPr>
              <w:pStyle w:val="style0"/>
              <w:rPr>
                <w:rFonts w:hint="eastAsia"/>
                <w:lang w:val="en-US" w:eastAsia="zh-CN"/>
              </w:rPr>
            </w:pPr>
            <w:r>
              <w:rPr>
                <w:rFonts w:hint="eastAsia"/>
                <w:lang w:val="en-US" w:eastAsia="zh-CN"/>
              </w:rPr>
              <w:t>7、机器功率：1200W</w:t>
            </w:r>
          </w:p>
          <w:p w14:paraId="266CC1E4">
            <w:pPr>
              <w:pStyle w:val="style0"/>
              <w:rPr>
                <w:rFonts w:hint="eastAsia"/>
                <w:lang w:val="en-US" w:eastAsia="zh-CN"/>
              </w:rPr>
            </w:pPr>
            <w:r>
              <w:rPr>
                <w:rFonts w:hint="eastAsia"/>
                <w:lang w:val="en-US" w:eastAsia="zh-CN"/>
              </w:rPr>
              <w:t>8、额定电压：220V/50HZ(可定制)</w:t>
            </w:r>
          </w:p>
          <w:p w14:paraId="74785501">
            <w:pPr>
              <w:pStyle w:val="style0"/>
              <w:rPr>
                <w:rFonts w:hint="eastAsia"/>
                <w:lang w:val="en-US" w:eastAsia="zh-CN"/>
              </w:rPr>
            </w:pPr>
            <w:r>
              <w:rPr>
                <w:rFonts w:hint="eastAsia"/>
                <w:lang w:val="en-US" w:eastAsia="zh-CN"/>
              </w:rPr>
              <w:t>9、适用高度：10-350mm</w:t>
            </w:r>
          </w:p>
          <w:p w14:paraId="F1735D50">
            <w:pPr>
              <w:pStyle w:val="style0"/>
              <w:rPr>
                <w:rFonts w:hint="eastAsia"/>
                <w:lang w:val="en-US" w:eastAsia="zh-CN"/>
              </w:rPr>
            </w:pPr>
            <w:r>
              <w:rPr>
                <w:rFonts w:hint="eastAsia"/>
                <w:lang w:val="en-US" w:eastAsia="zh-CN"/>
              </w:rPr>
              <w:t>10、封口长度：800*8mm</w:t>
            </w:r>
          </w:p>
          <w:p w14:paraId="05A84838">
            <w:pPr>
              <w:pStyle w:val="style0"/>
              <w:rPr>
                <w:rFonts w:hint="eastAsia"/>
                <w:lang w:val="en-US" w:eastAsia="zh-CN"/>
              </w:rPr>
            </w:pPr>
            <w:r>
              <w:rPr>
                <w:rFonts w:hint="eastAsia"/>
                <w:lang w:val="en-US" w:eastAsia="zh-CN"/>
              </w:rPr>
              <w:t>11、产品净重：160KG</w:t>
            </w:r>
          </w:p>
          <w:p w14:paraId="E9BAF1C1">
            <w:pPr>
              <w:pStyle w:val="style0"/>
              <w:keepNext w:val="false"/>
              <w:keepLines w:val="false"/>
              <w:widowControl/>
              <w:suppressLineNumbers w:val="false"/>
              <w:jc w:val="left"/>
              <w:textAlignment w:val="top"/>
              <w:rPr>
                <w:rFonts w:ascii="宋体" w:cs="宋体" w:eastAsia="宋体" w:hAnsi="宋体" w:hint="eastAsia"/>
                <w:i w:val="false"/>
                <w:iCs w:val="false"/>
                <w:color w:val="000000"/>
                <w:sz w:val="18"/>
                <w:szCs w:val="18"/>
                <w:u w:val="none"/>
              </w:rPr>
            </w:pPr>
          </w:p>
          <w:p w14:paraId="183A005A">
            <w:pPr>
              <w:pStyle w:val="style0"/>
              <w:keepNext w:val="false"/>
              <w:keepLines w:val="false"/>
              <w:widowControl/>
              <w:suppressLineNumbers w:val="false"/>
              <w:jc w:val="left"/>
              <w:textAlignment w:val="top"/>
              <w:rPr>
                <w:rFonts w:hint="default"/>
                <w:lang w:val="en-US" w:eastAsia="zh-CN"/>
              </w:rPr>
            </w:pPr>
          </w:p>
        </w:tc>
        <w:tc>
          <w:tcPr>
            <w:tcW w:w="1150" w:type="dxa"/>
            <w:tcBorders/>
          </w:tcPr>
          <w:p w14:paraId="F9695C33">
            <w:pPr>
              <w:pStyle w:val="style0"/>
              <w:jc w:val="center"/>
              <w:rPr>
                <w:rFonts w:eastAsia="宋体" w:hint="eastAsia"/>
                <w:vertAlign w:val="baseline"/>
                <w:lang w:val="en-US" w:eastAsia="zh-CN"/>
              </w:rPr>
            </w:pPr>
          </w:p>
          <w:p w14:paraId="2186D094">
            <w:pPr>
              <w:pStyle w:val="style0"/>
              <w:jc w:val="center"/>
              <w:rPr>
                <w:rFonts w:eastAsia="宋体" w:hint="eastAsia"/>
                <w:vertAlign w:val="baseline"/>
                <w:lang w:val="en-US" w:eastAsia="zh-CN"/>
              </w:rPr>
            </w:pPr>
          </w:p>
          <w:p w14:paraId="0C2F5489">
            <w:pPr>
              <w:pStyle w:val="style0"/>
              <w:jc w:val="center"/>
              <w:rPr>
                <w:rFonts w:eastAsia="宋体" w:hint="eastAsia"/>
                <w:vertAlign w:val="baseline"/>
                <w:lang w:val="en-US" w:eastAsia="zh-CN"/>
              </w:rPr>
            </w:pPr>
          </w:p>
          <w:p w14:paraId="58F39C95">
            <w:pPr>
              <w:pStyle w:val="style0"/>
              <w:jc w:val="center"/>
              <w:rPr>
                <w:rFonts w:eastAsia="宋体" w:hint="eastAsia"/>
                <w:vertAlign w:val="baseline"/>
                <w:lang w:val="en-US" w:eastAsia="zh-CN"/>
              </w:rPr>
            </w:pPr>
          </w:p>
          <w:p w14:paraId="9C2F9813">
            <w:pPr>
              <w:pStyle w:val="style0"/>
              <w:jc w:val="center"/>
              <w:rPr>
                <w:rFonts w:eastAsia="宋体" w:hint="eastAsia"/>
                <w:vertAlign w:val="baseline"/>
                <w:lang w:val="en-US" w:eastAsia="zh-CN"/>
              </w:rPr>
            </w:pPr>
          </w:p>
          <w:p w14:paraId="A7DECBA0">
            <w:pPr>
              <w:pStyle w:val="style0"/>
              <w:jc w:val="center"/>
              <w:rPr>
                <w:rFonts w:eastAsia="宋体" w:hint="eastAsia"/>
                <w:vertAlign w:val="baseline"/>
                <w:lang w:val="en-US" w:eastAsia="zh-CN"/>
              </w:rPr>
            </w:pPr>
          </w:p>
          <w:p w14:paraId="2E3BC6CD">
            <w:pPr>
              <w:pStyle w:val="style0"/>
              <w:jc w:val="center"/>
              <w:rPr>
                <w:rFonts w:eastAsia="宋体" w:hint="eastAsia"/>
                <w:vertAlign w:val="baseline"/>
                <w:lang w:val="en-US" w:eastAsia="zh-CN"/>
              </w:rPr>
            </w:pPr>
          </w:p>
          <w:p w14:paraId="537C6B86">
            <w:pPr>
              <w:pStyle w:val="style0"/>
              <w:jc w:val="center"/>
              <w:rPr>
                <w:rFonts w:eastAsia="宋体" w:hint="eastAsia"/>
                <w:vertAlign w:val="baseline"/>
                <w:lang w:val="en-US" w:eastAsia="zh-CN"/>
              </w:rPr>
            </w:pPr>
          </w:p>
          <w:p w14:paraId="9F34C0A1">
            <w:pPr>
              <w:pStyle w:val="style0"/>
              <w:jc w:val="center"/>
              <w:rPr>
                <w:rFonts w:eastAsia="宋体" w:hint="eastAsia"/>
                <w:vertAlign w:val="baseline"/>
                <w:lang w:val="en-US" w:eastAsia="zh-CN"/>
              </w:rPr>
            </w:pPr>
            <w:r>
              <w:rPr>
                <w:rFonts w:eastAsia="宋体" w:hint="eastAsia"/>
                <w:vertAlign w:val="baseline"/>
                <w:lang w:val="en-US" w:eastAsia="zh-CN"/>
              </w:rPr>
              <w:t>禧莱尔</w:t>
            </w:r>
            <w:r>
              <w:rPr>
                <w:rFonts w:hint="eastAsia"/>
                <w:vertAlign w:val="baseline"/>
                <w:lang w:val="en-US" w:eastAsia="zh-CN"/>
              </w:rPr>
              <w:t>、</w:t>
            </w:r>
            <w:r>
              <w:rPr>
                <w:rFonts w:eastAsia="宋体" w:hint="eastAsia"/>
                <w:vertAlign w:val="baseline"/>
                <w:lang w:val="en-US" w:eastAsia="zh-CN"/>
              </w:rPr>
              <w:t>欧信、</w:t>
            </w:r>
          </w:p>
          <w:p w14:paraId="F943E609">
            <w:pPr>
              <w:pStyle w:val="style0"/>
              <w:ind w:firstLine="210" w:firstLineChars="100"/>
              <w:jc w:val="both"/>
              <w:rPr>
                <w:rFonts w:eastAsia="宋体" w:hint="eastAsia"/>
                <w:vertAlign w:val="baseline"/>
                <w:lang w:val="en-US" w:eastAsia="zh-CN"/>
              </w:rPr>
            </w:pPr>
            <w:r>
              <w:rPr>
                <w:rFonts w:eastAsia="宋体" w:hint="eastAsia"/>
                <w:vertAlign w:val="baseline"/>
                <w:lang w:val="en-US" w:eastAsia="zh-CN"/>
              </w:rPr>
              <w:t>悦</w:t>
            </w:r>
            <w:r>
              <w:rPr>
                <w:rFonts w:hint="eastAsia"/>
                <w:vertAlign w:val="baseline"/>
                <w:lang w:val="en-US" w:eastAsia="zh-CN"/>
              </w:rPr>
              <w:t xml:space="preserve"> </w:t>
            </w:r>
            <w:r>
              <w:rPr>
                <w:rFonts w:eastAsia="宋体" w:hint="eastAsia"/>
                <w:vertAlign w:val="baseline"/>
                <w:lang w:val="en-US" w:eastAsia="zh-CN"/>
              </w:rPr>
              <w:t>沣</w:t>
            </w:r>
            <w:r>
              <w:rPr>
                <w:rFonts w:hint="eastAsia"/>
                <w:vertAlign w:val="baseline"/>
                <w:lang w:val="en-US" w:eastAsia="zh-CN"/>
              </w:rPr>
              <w:t>、</w:t>
            </w:r>
          </w:p>
        </w:tc>
      </w:tr>
      <w:tr w14:paraId="D56B6575">
        <w:tblPrEx/>
        <w:trPr>
          <w:wAfter w:w="0" w:type="auto"/>
          <w:trHeight w:val="428" w:hRule="atLeast"/>
        </w:trPr>
        <w:tc>
          <w:tcPr>
            <w:tcW w:w="1311" w:type="dxa"/>
            <w:tcBorders/>
          </w:tcPr>
          <w:p w14:paraId="67EB515B">
            <w:pPr>
              <w:pStyle w:val="style0"/>
              <w:rPr>
                <w:rFonts w:hint="default"/>
                <w:lang w:val="en-US" w:eastAsia="zh-CN"/>
              </w:rPr>
            </w:pPr>
            <w:r>
              <w:rPr>
                <w:rFonts w:hint="eastAsia"/>
                <w:lang w:val="en-US" w:eastAsia="zh-CN"/>
              </w:rPr>
              <w:t>真空压缩袋</w:t>
            </w:r>
          </w:p>
        </w:tc>
        <w:tc>
          <w:tcPr>
            <w:tcW w:w="4664" w:type="dxa"/>
            <w:tcBorders/>
          </w:tcPr>
          <w:p w14:paraId="28587C43">
            <w:pPr>
              <w:pStyle w:val="style0"/>
              <w:rPr>
                <w:rFonts w:hint="eastAsia"/>
                <w:lang w:val="en-US" w:eastAsia="zh-CN"/>
              </w:rPr>
            </w:pPr>
            <w:r>
              <w:rPr>
                <w:rFonts w:hint="eastAsia"/>
                <w:lang w:val="en-US" w:eastAsia="zh-CN"/>
              </w:rPr>
              <w:t>高压平口袋居家收纳产品包装，透明度高防尘防潮，韧性好。60*70CM</w:t>
            </w:r>
          </w:p>
        </w:tc>
        <w:tc>
          <w:tcPr>
            <w:tcW w:w="1150" w:type="dxa"/>
            <w:tcBorders/>
          </w:tcPr>
          <w:p w14:paraId="86CB3422">
            <w:pPr>
              <w:pStyle w:val="style0"/>
              <w:ind w:firstLine="210" w:firstLineChars="100"/>
              <w:jc w:val="both"/>
              <w:rPr>
                <w:rFonts w:eastAsia="宋体" w:hint="eastAsia"/>
                <w:vertAlign w:val="baseline"/>
                <w:lang w:val="en-US" w:eastAsia="zh-CN"/>
              </w:rPr>
            </w:pPr>
          </w:p>
        </w:tc>
      </w:tr>
      <w:bookmarkStart w:id="0" w:name="_GoBack"/>
      <w:bookmarkEnd w:id="0"/>
      <w:tr w14:paraId="4DC85269">
        <w:tblPrEx/>
        <w:trPr>
          <w:trHeight w:val="1183" w:hRule="atLeast"/>
        </w:trPr>
        <w:tc>
          <w:tcPr>
            <w:tcW w:w="7125" w:type="dxa"/>
            <w:gridSpan w:val="3"/>
            <w:tcBorders/>
          </w:tcPr>
          <w:p w14:paraId="42FE4B9C">
            <w:pPr>
              <w:pStyle w:val="style0"/>
              <w:rPr>
                <w:rFonts w:ascii="宋体" w:cs="宋体" w:eastAsia="宋体" w:hAnsi="宋体" w:hint="eastAsia"/>
                <w:color w:val="000000"/>
                <w:kern w:val="0"/>
                <w:sz w:val="24"/>
                <w:szCs w:val="24"/>
                <w:lang w:val="en-US" w:eastAsia="zh-CN"/>
              </w:rPr>
            </w:pPr>
            <w:r>
              <w:rPr>
                <w:rFonts w:ascii="宋体" w:cs="宋体" w:eastAsia="宋体" w:hAnsi="宋体" w:hint="eastAsia"/>
                <w:color w:val="000000"/>
                <w:kern w:val="0"/>
                <w:sz w:val="24"/>
                <w:szCs w:val="24"/>
                <w:lang w:val="en-US" w:eastAsia="zh-CN"/>
              </w:rPr>
              <w:t>▲</w:t>
            </w:r>
            <w:r>
              <w:rPr>
                <w:rFonts w:hint="eastAsia"/>
                <w:vertAlign w:val="baseline"/>
                <w:lang w:val="en-US" w:eastAsia="zh-CN"/>
              </w:rPr>
              <w:t>商务要求：企业投标前需致电、采购单位进行参数符合后单位进行产品确认后方可报价、投标单位须提供以上品牌原厂授权及售后服务承诺函后方可报价否则视为不满足采购需求。</w:t>
            </w:r>
          </w:p>
        </w:tc>
      </w:tr>
    </w:tbl>
    <w:p w14:paraId="4FD5BECE">
      <w:pPr>
        <w:pStyle w:val="style0"/>
        <w:rPr>
          <w:rFonts w:eastAsia="宋体" w:hint="eastAsia"/>
          <w:lang w:val="en-US" w:eastAsia="zh-CN"/>
        </w:rPr>
      </w:pPr>
    </w:p>
    <w:sectPr>
      <w:pgSz w:w="11906" w:h="16838" w:orient="portrait"/>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00"/>
    <w:family w:val="roman"/>
    <w:pitch w:val="variable"/>
    <w:sig w:usb0="20007A87" w:usb1="80000000" w:usb2="00000008" w:usb3="00000000" w:csb0="000001FF" w:csb1="00000000"/>
  </w:font>
  <w:font w:name="宋体">
    <w:altName w:val="宋体"/>
    <w:panose1 w:val="02010600030001010101"/>
    <w:charset w:val="86"/>
    <w:family w:val="auto"/>
    <w:pitch w:val="default"/>
    <w:sig w:usb0="00000203" w:usb1="288F0000" w:usb2="00000006" w:usb3="00000000" w:csb0="00040001" w:csb1="00000000"/>
  </w:font>
  <w:font w:name="Wingdings">
    <w:altName w:val="Wingdings"/>
    <w:panose1 w:val="05000000000000000000"/>
    <w:charset w:val="02"/>
    <w:family w:val="auto"/>
    <w:pitch w:val="default"/>
    <w:sig w:usb0="00000000" w:usb1="00000000" w:usb2="00000000" w:usb3="00000000" w:csb0="80000000" w:csb1="00000000"/>
  </w:font>
  <w:font w:name="Arial">
    <w:altName w:val="Arial"/>
    <w:panose1 w:val="020b0604020002020204"/>
    <w:charset w:val="01"/>
    <w:family w:val="swiss"/>
    <w:pitch w:val="default"/>
    <w:sig w:usb0="E0002EFF" w:usb1="C000785B" w:usb2="00000009" w:usb3="00000000" w:csb0="400001FF" w:csb1="FFFF0000"/>
  </w:font>
  <w:font w:name="黑体">
    <w:altName w:val="黑体"/>
    <w:panose1 w:val="02010609060001010101"/>
    <w:charset w:val="86"/>
    <w:family w:val="auto"/>
    <w:pitch w:val="default"/>
    <w:sig w:usb0="800002BF" w:usb1="38CF7CFA" w:usb2="00000016" w:usb3="00000000" w:csb0="00040001" w:csb1="00000000"/>
  </w:font>
  <w:font w:name="Courier New">
    <w:altName w:val="Courier New"/>
    <w:panose1 w:val="02070309020002020404"/>
    <w:charset w:val="01"/>
    <w:family w:val="modern"/>
    <w:pitch w:val="default"/>
    <w:sig w:usb0="E0002EFF" w:usb1="C0007843" w:usb2="00000009" w:usb3="00000000" w:csb0="400001FF" w:csb1="FFFF0000"/>
  </w:font>
  <w:font w:name="Symbol">
    <w:altName w:val="Symbol"/>
    <w:panose1 w:val="05050102010007020507"/>
    <w:charset w:val="02"/>
    <w:family w:val="roman"/>
    <w:pitch w:val="default"/>
    <w:sig w:usb0="00000000" w:usb1="00000000" w:usb2="00000000" w:usb3="00000000" w:csb0="80000000" w:csb1="00000000"/>
  </w:font>
  <w:font w:name="Calibri">
    <w:altName w:val="Calibri"/>
    <w:panose1 w:val="020f0502020002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zoom w:percent="130"/>
  <w:embedSystemFonts/>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420"/>
  <w:drawingGridVerticalSpacing w:val="156"/>
  <w:displayHorizontalDrawingGridEvery w:val="1"/>
  <w:displayVerticalDrawingGridEvery w:val="1"/>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Times New Roman" w:cs="Times New Roman" w:eastAsia="宋体" w:hAnsi="Times New Roman"/>
      </w:rPr>
    </w:rPrDefault>
    <w:pPrDefault>
      <w:pPr/>
    </w:pPrDefault>
  </w:docDefaults>
  <w:style w:type="paragraph" w:default="1" w:styleId="style0">
    <w:name w:val="Normal"/>
    <w:next w:val="style0"/>
    <w:qFormat/>
    <w:uiPriority w:val="0"/>
    <w:pPr>
      <w:widowControl w:val="false"/>
      <w:jc w:val="both"/>
    </w:pPr>
    <w:rPr>
      <w:rFonts w:ascii="Calibri" w:cs="宋体" w:eastAsia="宋体" w:hAnsi="Calibri"/>
      <w:kern w:val="2"/>
      <w:sz w:val="21"/>
      <w:szCs w:val="24"/>
      <w:lang w:val="en-US" w:bidi="ar-SA" w:eastAsia="zh-CN"/>
    </w:rPr>
  </w:style>
  <w:style w:type="character" w:default="1" w:styleId="style65">
    <w:name w:val="Default Paragraph Font"/>
    <w:next w:val="style65"/>
    <w:uiPriority w:val="0"/>
  </w:style>
  <w:style w:type="table" w:default="1" w:styleId="style105">
    <w:name w:val="Normal Table"/>
    <w:next w:val="style105"/>
    <w:qFormat/>
    <w:uiPriority w:val="0"/>
    <w:pPr/>
    <w:rPr/>
    <w:tblPr>
      <w:tblCellMar>
        <w:top w:w="0" w:type="dxa"/>
        <w:left w:w="108" w:type="dxa"/>
        <w:bottom w:w="0" w:type="dxa"/>
        <w:right w:w="108" w:type="dxa"/>
      </w:tblCellMar>
    </w:tblPr>
    <w:tcPr>
      <w:tcBorders/>
    </w:tcPr>
  </w:style>
  <w:style w:type="table" w:styleId="style154">
    <w:name w:val="Table Grid"/>
    <w:basedOn w:val="style105"/>
    <w:next w:val="style154"/>
    <w:qFormat/>
    <w:uiPriority w:val="0"/>
    <w:pPr>
      <w:widowControl w:val="false"/>
      <w:jc w:val="both"/>
    </w:pP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Borders/>
    </w:tcPr>
  </w:style>
  <w:style w:type="character" w:customStyle="1" w:styleId="style4097">
    <w:name w:val="font21"/>
    <w:basedOn w:val="style65"/>
    <w:next w:val="style4097"/>
    <w:uiPriority w:val="0"/>
    <w:rPr>
      <w:rFonts w:ascii="Times New Roman" w:cs="Times New Roman" w:hAnsi="Times New Roman" w:hint="default"/>
      <w:color w:val="000000"/>
      <w:sz w:val="18"/>
      <w:szCs w:val="18"/>
      <w:u w:val="none"/>
    </w:rPr>
  </w:style>
  <w:style w:type="character" w:customStyle="1" w:styleId="style4098">
    <w:name w:val="font11"/>
    <w:basedOn w:val="style65"/>
    <w:next w:val="style4098"/>
    <w:qFormat/>
    <w:uiPriority w:val="0"/>
    <w:rPr>
      <w:rFonts w:ascii="宋体" w:cs="宋体" w:eastAsia="宋体" w:hAnsi="宋体" w:hint="eastAsia"/>
      <w:color w:val="000000"/>
      <w:sz w:val="18"/>
      <w:szCs w:val="18"/>
      <w:u w:val="none"/>
    </w:r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Words>396</Words>
  <Pages>2</Pages>
  <Characters>472</Characters>
  <Application>WPS Office</Application>
  <DocSecurity>0</DocSecurity>
  <Paragraphs>39</Paragraphs>
  <ScaleCrop>false</ScaleCrop>
  <LinksUpToDate>false</LinksUpToDate>
  <CharactersWithSpaces>473</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2024-07-17T09:32:00Z</dcterms:created>
  <dc:creator>A郭氏鑫晟安检设备安保器材批发</dc:creator>
  <lastModifiedBy>SM-W9023</lastModifiedBy>
  <dcterms:modified xsi:type="dcterms:W3CDTF">2025-03-28T10:11:19Z</dcterms:modified>
  <revision>1</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2052-12.1.0.16910</vt:lpwstr>
  </property>
  <property fmtid="{D5CDD505-2E9C-101B-9397-08002B2CF9AE}" pid="3" name="ICV">
    <vt:lpwstr>a9f57bd844ff447da01dd551b5980ea0_23</vt:lpwstr>
  </property>
</Properties>
</file>