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《兽医综合实验技术》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研究生</w:t>
      </w:r>
      <w:r>
        <w:rPr>
          <w:rFonts w:hint="eastAsia" w:ascii="黑体" w:hAnsi="黑体" w:eastAsia="黑体"/>
          <w:b/>
          <w:sz w:val="32"/>
          <w:szCs w:val="32"/>
        </w:rPr>
        <w:t>课程购置试剂清单</w:t>
      </w:r>
    </w:p>
    <w:tbl>
      <w:tblPr>
        <w:tblStyle w:val="5"/>
        <w:tblpPr w:leftFromText="180" w:rightFromText="180" w:vertAnchor="page" w:horzAnchor="page" w:tblpX="1951" w:tblpY="3303"/>
        <w:tblW w:w="8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1433"/>
        <w:gridCol w:w="1254"/>
        <w:gridCol w:w="1522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Arial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Arial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Arial"/>
                <w:b/>
                <w:bCs/>
                <w:kern w:val="0"/>
                <w:sz w:val="20"/>
                <w:szCs w:val="20"/>
              </w:rPr>
              <w:t>单价</w:t>
            </w:r>
            <w:r>
              <w:rPr>
                <w:rFonts w:hint="eastAsia" w:hAnsi="Arial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hAnsi="Arial"/>
                <w:b/>
                <w:bCs/>
                <w:kern w:val="0"/>
                <w:sz w:val="20"/>
                <w:szCs w:val="20"/>
                <w:lang w:val="en-US" w:eastAsia="zh-CN"/>
              </w:rPr>
              <w:t>元）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default" w:eastAsia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Arial"/>
                <w:b/>
                <w:bCs/>
                <w:kern w:val="0"/>
                <w:sz w:val="20"/>
                <w:szCs w:val="20"/>
              </w:rPr>
              <w:t>价格</w:t>
            </w:r>
            <w:r>
              <w:rPr>
                <w:rFonts w:hint="eastAsia" w:hAnsi="Arial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hAnsi="Arial"/>
                <w:b/>
                <w:bCs/>
                <w:kern w:val="0"/>
                <w:sz w:val="20"/>
                <w:szCs w:val="20"/>
                <w:lang w:val="en-US" w:eastAsia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大肠杆菌感受态细胞</w:t>
            </w:r>
          </w:p>
        </w:tc>
        <w:tc>
          <w:tcPr>
            <w:tcW w:w="1433" w:type="dxa"/>
            <w:noWrap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1254" w:type="dxa"/>
            <w:noWrap/>
            <w:vAlign w:val="top"/>
          </w:tcPr>
          <w:p>
            <w:pPr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2" w:type="dxa"/>
            <w:noWrap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1531" w:type="dxa"/>
            <w:noWrap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T4 DNA连接酶</w:t>
            </w:r>
          </w:p>
        </w:tc>
        <w:tc>
          <w:tcPr>
            <w:tcW w:w="1433" w:type="dxa"/>
            <w:noWrap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1254" w:type="dxa"/>
            <w:noWrap/>
            <w:vAlign w:val="top"/>
          </w:tcPr>
          <w:p>
            <w:pPr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2" w:type="dxa"/>
            <w:noWrap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</w:p>
        </w:tc>
        <w:tc>
          <w:tcPr>
            <w:tcW w:w="1531" w:type="dxa"/>
            <w:noWrap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PCR mix</w:t>
            </w:r>
          </w:p>
        </w:tc>
        <w:tc>
          <w:tcPr>
            <w:tcW w:w="1433" w:type="dxa"/>
            <w:noWrap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1254" w:type="dxa"/>
            <w:noWrap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22" w:type="dxa"/>
            <w:noWrap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1531" w:type="dxa"/>
            <w:noWrap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质粒提取试剂盒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细菌DNA提取试剂盒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DNA回收试剂盒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反转录试剂盒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盒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default" w:hAnsi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引物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对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EcoR I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Hind III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Sal I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Not I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标准DNA marke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r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标准蛋白marker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琼脂糖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BHI培养基</w:t>
            </w: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瓶</w:t>
            </w: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17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noWrap/>
            <w:vAlign w:val="top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1531" w:type="dxa"/>
            <w:noWrap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/>
                <w:kern w:val="0"/>
                <w:sz w:val="20"/>
                <w:szCs w:val="20"/>
              </w:rPr>
              <w:instrText xml:space="preserve"> = sum(E2:E17) \* MERGEFORMAT </w:instrText>
            </w:r>
            <w:r>
              <w:rPr>
                <w:rFonts w:hint="eastAsia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/>
                <w:kern w:val="0"/>
                <w:sz w:val="20"/>
                <w:szCs w:val="20"/>
              </w:rPr>
              <w:t>3880</w:t>
            </w:r>
            <w:r>
              <w:rPr>
                <w:rFonts w:hint="eastAsia"/>
                <w:kern w:val="0"/>
                <w:sz w:val="20"/>
                <w:szCs w:val="20"/>
              </w:rPr>
              <w:fldChar w:fldCharType="end"/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20"/>
    <w:rsid w:val="00166439"/>
    <w:rsid w:val="00534CDA"/>
    <w:rsid w:val="006173C5"/>
    <w:rsid w:val="006555FC"/>
    <w:rsid w:val="0069662C"/>
    <w:rsid w:val="0077642C"/>
    <w:rsid w:val="00896827"/>
    <w:rsid w:val="008A52E0"/>
    <w:rsid w:val="00A21409"/>
    <w:rsid w:val="00B23EBE"/>
    <w:rsid w:val="00DD7020"/>
    <w:rsid w:val="00E669BD"/>
    <w:rsid w:val="00EA6C68"/>
    <w:rsid w:val="1A5B5889"/>
    <w:rsid w:val="20F754A1"/>
    <w:rsid w:val="2E3879E1"/>
    <w:rsid w:val="4738587B"/>
    <w:rsid w:val="68400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shzu</Company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2020-09-04T04:03:00Z</dcterms:created>
  <dc:creator>乔军</dc:creator>
  <cp:lastModifiedBy>pc</cp:lastModifiedBy>
  <dcterms:modified xsi:type="dcterms:W3CDTF">2024-03-08T04:07:08Z</dcterms:modified>
  <dc:title>品名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9FE5A81B67F54244B1FFF2A9ABFE7B2A</vt:lpwstr>
  </property>
</Properties>
</file>