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276" w:lineRule="auto"/>
        <w:jc w:val="center"/>
        <w:rPr>
          <w:rFonts w:hint="default" w:ascii="宋体" w:hAnsi="宋体" w:cs="仿宋_GB2312"/>
          <w:b/>
          <w:sz w:val="32"/>
          <w:szCs w:val="32"/>
          <w:lang w:val="en-US" w:eastAsia="zh-CN"/>
        </w:rPr>
      </w:pPr>
      <w:r>
        <w:rPr>
          <w:rFonts w:hint="eastAsia" w:ascii="宋体" w:hAnsi="宋体" w:cs="仿宋_GB2312"/>
          <w:b/>
          <w:sz w:val="32"/>
          <w:szCs w:val="32"/>
          <w:lang w:eastAsia="zh-CN"/>
        </w:rPr>
        <w:t>生命探测系统</w:t>
      </w:r>
      <w:r>
        <w:rPr>
          <w:rFonts w:hint="eastAsia" w:ascii="宋体" w:hAnsi="宋体" w:cs="仿宋_GB2312"/>
          <w:b/>
          <w:sz w:val="32"/>
          <w:szCs w:val="32"/>
          <w:lang w:val="en-US" w:eastAsia="zh-CN"/>
        </w:rPr>
        <w:t>参数</w:t>
      </w:r>
    </w:p>
    <w:tbl>
      <w:tblPr>
        <w:tblStyle w:val="6"/>
        <w:tblW w:w="57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756"/>
        <w:gridCol w:w="1099"/>
        <w:gridCol w:w="3606"/>
        <w:gridCol w:w="681"/>
        <w:gridCol w:w="99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000000" w:fill="FFFFFF" w:themeFill="background1"/>
            <w:vAlign w:val="center"/>
          </w:tcPr>
          <w:p>
            <w:pPr>
              <w:spacing w:before="156" w:line="276" w:lineRule="auto"/>
              <w:contextualSpacing/>
              <w:jc w:val="center"/>
              <w:rPr>
                <w:rFonts w:ascii="宋体" w:hAnsi="宋体" w:cs="仿宋_GB2312"/>
                <w:b/>
                <w:bCs/>
                <w:szCs w:val="24"/>
                <w:lang w:eastAsia="zh-CN"/>
              </w:rPr>
            </w:pPr>
            <w:r>
              <w:rPr>
                <w:rFonts w:hint="eastAsia" w:ascii="宋体" w:hAnsi="宋体" w:cs="仿宋_GB2312"/>
                <w:b/>
                <w:bCs/>
                <w:szCs w:val="24"/>
                <w:lang w:eastAsia="zh-CN"/>
              </w:rPr>
              <w:t>序号</w:t>
            </w:r>
          </w:p>
        </w:tc>
        <w:tc>
          <w:tcPr>
            <w:tcW w:w="895" w:type="pct"/>
            <w:shd w:val="clear" w:color="000000" w:fill="FFFFFF" w:themeFill="background1"/>
            <w:vAlign w:val="center"/>
          </w:tcPr>
          <w:p>
            <w:pPr>
              <w:spacing w:before="156" w:line="276" w:lineRule="auto"/>
              <w:contextualSpacing/>
              <w:jc w:val="center"/>
              <w:rPr>
                <w:rFonts w:ascii="宋体" w:hAnsi="宋体" w:cs="仿宋_GB2312"/>
                <w:b/>
                <w:bCs/>
                <w:szCs w:val="24"/>
                <w:lang w:eastAsia="zh-CN"/>
              </w:rPr>
            </w:pPr>
            <w:r>
              <w:rPr>
                <w:rFonts w:hint="eastAsia" w:ascii="宋体" w:hAnsi="宋体" w:cs="仿宋_GB2312"/>
                <w:b/>
                <w:bCs/>
                <w:szCs w:val="24"/>
                <w:lang w:eastAsia="zh-CN"/>
              </w:rPr>
              <w:t>型号品牌</w:t>
            </w:r>
          </w:p>
        </w:tc>
        <w:tc>
          <w:tcPr>
            <w:tcW w:w="560" w:type="pct"/>
            <w:shd w:val="clear" w:color="000000" w:fill="FFFFFF" w:themeFill="background1"/>
            <w:vAlign w:val="center"/>
          </w:tcPr>
          <w:p>
            <w:pPr>
              <w:spacing w:before="156" w:line="276" w:lineRule="auto"/>
              <w:contextualSpacing/>
              <w:jc w:val="center"/>
              <w:rPr>
                <w:rFonts w:ascii="宋体" w:hAnsi="宋体" w:cs="仿宋_GB2312"/>
                <w:b/>
                <w:bCs/>
                <w:szCs w:val="24"/>
                <w:lang w:eastAsia="zh-CN"/>
              </w:rPr>
            </w:pPr>
            <w:r>
              <w:rPr>
                <w:rFonts w:hint="eastAsia" w:ascii="宋体" w:hAnsi="宋体" w:cs="仿宋_GB2312"/>
                <w:b/>
                <w:bCs/>
                <w:szCs w:val="24"/>
                <w:lang w:eastAsia="zh-CN"/>
              </w:rPr>
              <w:t>设备名称</w:t>
            </w:r>
          </w:p>
        </w:tc>
        <w:tc>
          <w:tcPr>
            <w:tcW w:w="1838" w:type="pct"/>
            <w:shd w:val="clear" w:color="000000" w:fill="FFFFFF" w:themeFill="background1"/>
            <w:vAlign w:val="center"/>
          </w:tcPr>
          <w:p>
            <w:pPr>
              <w:spacing w:before="156" w:line="276" w:lineRule="auto"/>
              <w:contextualSpacing/>
              <w:jc w:val="center"/>
              <w:rPr>
                <w:rFonts w:ascii="宋体" w:hAnsi="宋体" w:cs="仿宋_GB2312"/>
                <w:b/>
                <w:bCs/>
                <w:szCs w:val="24"/>
                <w:lang w:eastAsia="zh-CN"/>
              </w:rPr>
            </w:pPr>
            <w:r>
              <w:rPr>
                <w:rFonts w:hint="eastAsia" w:ascii="宋体" w:hAnsi="宋体" w:cs="仿宋_GB2312"/>
                <w:b/>
                <w:bCs/>
                <w:szCs w:val="24"/>
                <w:lang w:eastAsia="zh-CN"/>
              </w:rPr>
              <w:t>技术参数</w:t>
            </w:r>
          </w:p>
        </w:tc>
        <w:tc>
          <w:tcPr>
            <w:tcW w:w="347" w:type="pct"/>
            <w:shd w:val="clear" w:color="000000" w:fill="FFFFFF" w:themeFill="background1"/>
            <w:vAlign w:val="center"/>
          </w:tcPr>
          <w:p>
            <w:pPr>
              <w:spacing w:before="156" w:line="276" w:lineRule="auto"/>
              <w:contextualSpacing/>
              <w:jc w:val="center"/>
              <w:rPr>
                <w:rFonts w:ascii="宋体" w:hAnsi="宋体" w:cs="仿宋_GB2312"/>
                <w:b/>
                <w:bCs/>
                <w:szCs w:val="24"/>
                <w:lang w:eastAsia="zh-CN"/>
              </w:rPr>
            </w:pPr>
            <w:r>
              <w:rPr>
                <w:rFonts w:hint="eastAsia" w:ascii="宋体" w:hAnsi="宋体" w:cs="仿宋_GB2312"/>
                <w:b/>
                <w:bCs/>
                <w:szCs w:val="24"/>
                <w:lang w:eastAsia="zh-CN"/>
              </w:rPr>
              <w:t>数量</w:t>
            </w:r>
          </w:p>
        </w:tc>
        <w:tc>
          <w:tcPr>
            <w:tcW w:w="506" w:type="pct"/>
            <w:shd w:val="clear" w:color="000000" w:fill="FFFFFF" w:themeFill="background1"/>
            <w:vAlign w:val="center"/>
          </w:tcPr>
          <w:p>
            <w:pPr>
              <w:spacing w:before="156" w:line="276" w:lineRule="auto"/>
              <w:contextualSpacing/>
              <w:jc w:val="center"/>
              <w:rPr>
                <w:rFonts w:ascii="宋体" w:hAnsi="宋体" w:cs="仿宋_GB2312"/>
                <w:b/>
                <w:bCs/>
                <w:szCs w:val="24"/>
                <w:lang w:eastAsia="zh-CN"/>
              </w:rPr>
            </w:pPr>
            <w:r>
              <w:rPr>
                <w:rFonts w:hint="eastAsia" w:ascii="宋体" w:hAnsi="宋体" w:cs="仿宋_GB2312"/>
                <w:b/>
                <w:bCs/>
                <w:szCs w:val="24"/>
                <w:lang w:eastAsia="zh-CN"/>
              </w:rPr>
              <w:t>单价（元）</w:t>
            </w:r>
          </w:p>
        </w:tc>
        <w:tc>
          <w:tcPr>
            <w:tcW w:w="498" w:type="pct"/>
            <w:shd w:val="clear" w:color="000000" w:fill="FFFFFF" w:themeFill="background1"/>
            <w:vAlign w:val="center"/>
          </w:tcPr>
          <w:p>
            <w:pPr>
              <w:spacing w:before="156" w:line="276" w:lineRule="auto"/>
              <w:contextualSpacing/>
              <w:jc w:val="center"/>
              <w:rPr>
                <w:rFonts w:ascii="宋体" w:hAnsi="宋体" w:cs="仿宋_GB2312"/>
                <w:b/>
                <w:bCs/>
                <w:szCs w:val="24"/>
                <w:lang w:eastAsia="zh-CN"/>
              </w:rPr>
            </w:pPr>
            <w:r>
              <w:rPr>
                <w:rFonts w:hint="eastAsia" w:ascii="宋体" w:hAnsi="宋体" w:cs="仿宋_GB2312"/>
                <w:b/>
                <w:bCs/>
                <w:szCs w:val="24"/>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1</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w:t>
            </w:r>
          </w:p>
        </w:tc>
        <w:tc>
          <w:tcPr>
            <w:tcW w:w="560"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微振动车辆安检主机</w:t>
            </w:r>
          </w:p>
        </w:tc>
        <w:tc>
          <w:tcPr>
            <w:tcW w:w="1838" w:type="pct"/>
            <w:vAlign w:val="center"/>
          </w:tcPr>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1、工业级嵌入式主机：硬盘：</w:t>
            </w:r>
            <w:r>
              <w:rPr>
                <w:rFonts w:ascii="宋体" w:hAnsi="宋体" w:cs="仿宋_GB2312"/>
                <w:sz w:val="22"/>
                <w:szCs w:val="22"/>
                <w:lang w:eastAsia="zh-CN"/>
              </w:rPr>
              <w:t>1</w:t>
            </w:r>
            <w:r>
              <w:rPr>
                <w:rFonts w:hint="eastAsia" w:ascii="宋体" w:hAnsi="宋体" w:cs="仿宋_GB2312"/>
                <w:sz w:val="22"/>
                <w:szCs w:val="22"/>
                <w:lang w:eastAsia="zh-CN"/>
              </w:rPr>
              <w:t>T；</w:t>
            </w:r>
          </w:p>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2、处理器：双核1.99GHz或以上；内存：</w:t>
            </w:r>
            <w:r>
              <w:rPr>
                <w:rFonts w:ascii="宋体" w:hAnsi="宋体" w:cs="仿宋_GB2312"/>
                <w:sz w:val="22"/>
                <w:szCs w:val="22"/>
                <w:lang w:eastAsia="zh-CN"/>
              </w:rPr>
              <w:t>8</w:t>
            </w:r>
            <w:r>
              <w:rPr>
                <w:rFonts w:hint="eastAsia" w:ascii="宋体" w:hAnsi="宋体" w:cs="仿宋_GB2312"/>
                <w:sz w:val="22"/>
                <w:szCs w:val="22"/>
                <w:lang w:eastAsia="zh-CN"/>
              </w:rPr>
              <w:t>G；</w:t>
            </w:r>
          </w:p>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3、接口：提供不少于4个USB接口，2个COM接口，TCP/IP接口，VGA接口；</w:t>
            </w:r>
          </w:p>
          <w:p>
            <w:pPr>
              <w:spacing w:before="156" w:line="276" w:lineRule="auto"/>
              <w:contextualSpacing/>
              <w:rPr>
                <w:rFonts w:hint="default" w:ascii="宋体" w:hAnsi="宋体" w:cs="仿宋_GB2312"/>
                <w:szCs w:val="24"/>
                <w:lang w:val="en-US" w:eastAsia="zh-CN"/>
              </w:rPr>
            </w:pPr>
            <w:r>
              <w:rPr>
                <w:rFonts w:hint="eastAsia" w:ascii="宋体" w:hAnsi="宋体" w:cs="仿宋_GB2312"/>
                <w:sz w:val="22"/>
                <w:szCs w:val="22"/>
                <w:lang w:eastAsia="zh-CN"/>
              </w:rPr>
              <w:t>4、触控显示屏：红外触摸屏，不小于</w:t>
            </w:r>
            <w:r>
              <w:rPr>
                <w:rFonts w:hint="eastAsia" w:ascii="宋体" w:hAnsi="宋体" w:cs="仿宋_GB2312"/>
                <w:sz w:val="22"/>
                <w:szCs w:val="22"/>
                <w:lang w:val="en-US" w:eastAsia="zh-CN"/>
              </w:rPr>
              <w:t>21</w:t>
            </w:r>
            <w:r>
              <w:rPr>
                <w:rFonts w:hint="eastAsia" w:ascii="宋体" w:hAnsi="宋体" w:cs="仿宋_GB2312"/>
                <w:sz w:val="22"/>
                <w:szCs w:val="22"/>
                <w:lang w:eastAsia="zh-CN"/>
              </w:rPr>
              <w:t>寸，分辨率不低于1280*1024。</w:t>
            </w:r>
            <w:r>
              <w:rPr>
                <w:rFonts w:hint="eastAsia" w:ascii="宋体" w:hAnsi="宋体" w:cs="仿宋_GB2312"/>
                <w:sz w:val="22"/>
                <w:szCs w:val="22"/>
                <w:lang w:val="en-US" w:eastAsia="zh-CN"/>
              </w:rPr>
              <w:t>5、软件运行顺畅、不卡顿。</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1套</w:t>
            </w:r>
          </w:p>
        </w:tc>
        <w:tc>
          <w:tcPr>
            <w:tcW w:w="506"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6</w:t>
            </w:r>
            <w:r>
              <w:rPr>
                <w:rFonts w:ascii="宋体" w:hAnsi="宋体" w:cs="仿宋_GB2312"/>
                <w:szCs w:val="24"/>
                <w:lang w:eastAsia="zh-CN"/>
              </w:rPr>
              <w:t>500</w:t>
            </w:r>
          </w:p>
        </w:tc>
        <w:tc>
          <w:tcPr>
            <w:tcW w:w="498"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6</w:t>
            </w:r>
            <w:r>
              <w:rPr>
                <w:rFonts w:ascii="宋体" w:hAnsi="宋体" w:cs="仿宋_GB2312"/>
                <w:szCs w:val="24"/>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2</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w:t>
            </w:r>
          </w:p>
        </w:tc>
        <w:tc>
          <w:tcPr>
            <w:tcW w:w="560"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微振动车辆安检分析软件</w:t>
            </w:r>
          </w:p>
        </w:tc>
        <w:tc>
          <w:tcPr>
            <w:tcW w:w="1838" w:type="pct"/>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分析软件应具备以下功能：</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▲1、入侵检测及报警功能：通过传感器对车辆据进行采集、分析，将测试结果用红灯\绿灯模式显示在显示器上。且报警音最大不小于</w:t>
            </w:r>
            <w:r>
              <w:rPr>
                <w:rFonts w:ascii="宋体" w:hAnsi="宋体" w:cs="仿宋_GB2312"/>
                <w:szCs w:val="24"/>
                <w:lang w:eastAsia="zh-CN"/>
              </w:rPr>
              <w:t>140</w:t>
            </w:r>
            <w:r>
              <w:rPr>
                <w:rFonts w:hint="eastAsia" w:ascii="宋体" w:hAnsi="宋体" w:cs="仿宋_GB2312"/>
                <w:szCs w:val="24"/>
                <w:lang w:eastAsia="zh-CN"/>
              </w:rPr>
              <w:t>dB（A）。</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2、传感器实时检测功能：当传感器连接状态出现故障，软件自动中断检测。</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3、环境分级功能：在每次测试后系统自动对环境进行分级，并在测试结果界面以数字或文字形式明确显示每次的环境等级信息。用户可以根据环境等级对测试结果进行有效判断。</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▲4、检测结果保存功能：系统可设置自动保存或弹窗保存两种方式。</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w:t>
            </w:r>
            <w:r>
              <w:rPr>
                <w:rFonts w:ascii="宋体" w:hAnsi="宋体" w:cs="仿宋_GB2312"/>
                <w:szCs w:val="24"/>
                <w:lang w:eastAsia="zh-CN"/>
              </w:rPr>
              <w:t>5</w:t>
            </w:r>
            <w:r>
              <w:rPr>
                <w:rFonts w:hint="eastAsia" w:ascii="宋体" w:hAnsi="宋体" w:cs="仿宋_GB2312"/>
                <w:szCs w:val="24"/>
                <w:lang w:eastAsia="zh-CN"/>
              </w:rPr>
              <w:t>、系统支持通过web浏览器远程访问方式，远程查询记录。</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w:t>
            </w:r>
            <w:r>
              <w:rPr>
                <w:rFonts w:ascii="宋体" w:hAnsi="宋体" w:cs="仿宋_GB2312"/>
                <w:szCs w:val="24"/>
                <w:lang w:eastAsia="zh-CN"/>
              </w:rPr>
              <w:t>6</w:t>
            </w:r>
            <w:r>
              <w:rPr>
                <w:rFonts w:hint="eastAsia" w:ascii="宋体" w:hAnsi="宋体" w:cs="仿宋_GB2312"/>
                <w:szCs w:val="24"/>
                <w:lang w:eastAsia="zh-CN"/>
              </w:rPr>
              <w:t>、系统支持通过web浏览器对多台设备根据设备类型、车牌、日期、检测结果、关键字等进行检索，可以报表方式显示。</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w:t>
            </w:r>
            <w:r>
              <w:rPr>
                <w:rFonts w:ascii="宋体" w:hAnsi="宋体" w:cs="仿宋_GB2312"/>
                <w:szCs w:val="24"/>
                <w:lang w:eastAsia="zh-CN"/>
              </w:rPr>
              <w:t>7</w:t>
            </w:r>
            <w:r>
              <w:rPr>
                <w:rFonts w:hint="eastAsia" w:ascii="宋体" w:hAnsi="宋体" w:cs="仿宋_GB2312"/>
                <w:szCs w:val="24"/>
                <w:lang w:eastAsia="zh-CN"/>
              </w:rPr>
              <w:t>、具有抗干扰能力，当风力不超过10米/秒时或噪声声级</w:t>
            </w:r>
            <w:r>
              <w:rPr>
                <w:rFonts w:ascii="宋体" w:hAnsi="宋体" w:cs="仿宋_GB2312"/>
                <w:szCs w:val="24"/>
                <w:lang w:eastAsia="zh-CN"/>
              </w:rPr>
              <w:t>80</w:t>
            </w:r>
            <w:r>
              <w:rPr>
                <w:rFonts w:hint="eastAsia" w:ascii="宋体" w:hAnsi="宋体" w:cs="仿宋_GB2312"/>
                <w:szCs w:val="24"/>
                <w:lang w:eastAsia="zh-CN"/>
              </w:rPr>
              <w:t>Db时，设备可正常工作。</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▲8、具有针对干扰的检测模式，可通过软件开启或关闭。</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▲9、设置功能：可设置服务器、网络继电器、微震参数设置，用户管理，车型设置，设备状态。</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w:t>
            </w:r>
            <w:r>
              <w:rPr>
                <w:rFonts w:ascii="宋体" w:hAnsi="宋体" w:cs="仿宋_GB2312"/>
                <w:szCs w:val="24"/>
                <w:lang w:eastAsia="zh-CN"/>
              </w:rPr>
              <w:t>0</w:t>
            </w:r>
            <w:r>
              <w:rPr>
                <w:rFonts w:hint="eastAsia" w:ascii="宋体" w:hAnsi="宋体" w:cs="仿宋_GB2312"/>
                <w:szCs w:val="24"/>
                <w:lang w:eastAsia="zh-CN"/>
              </w:rPr>
              <w:t>、检测结果上传功能：检测结果可上传，可设置不小于3个上传地址，上传后可通过平台进行审批。</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w:t>
            </w:r>
            <w:r>
              <w:rPr>
                <w:rFonts w:ascii="宋体" w:hAnsi="宋体" w:cs="仿宋_GB2312"/>
                <w:szCs w:val="24"/>
                <w:lang w:eastAsia="zh-CN"/>
              </w:rPr>
              <w:t>11</w:t>
            </w:r>
            <w:r>
              <w:rPr>
                <w:rFonts w:hint="eastAsia" w:ascii="宋体" w:hAnsi="宋体" w:cs="仿宋_GB2312"/>
                <w:szCs w:val="24"/>
                <w:lang w:eastAsia="zh-CN"/>
              </w:rPr>
              <w:t>、具有适配w</w:t>
            </w:r>
            <w:r>
              <w:rPr>
                <w:rFonts w:ascii="宋体" w:hAnsi="宋体" w:cs="仿宋_GB2312"/>
                <w:szCs w:val="24"/>
                <w:lang w:eastAsia="zh-CN"/>
              </w:rPr>
              <w:t>indows</w:t>
            </w:r>
            <w:r>
              <w:rPr>
                <w:rFonts w:hint="eastAsia" w:ascii="宋体" w:hAnsi="宋体" w:cs="仿宋_GB2312"/>
                <w:szCs w:val="24"/>
                <w:lang w:eastAsia="zh-CN"/>
              </w:rPr>
              <w:t>或国产麒麟操作系统两个版本。（本项目提供适配麒麟系统版本）</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（以上▲标项提供公安部下属产品质量监督检验中心出具的检测报告相关内容复印件加盖制造商公章，中标后提供原件核查。）</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1套</w:t>
            </w:r>
          </w:p>
        </w:tc>
        <w:tc>
          <w:tcPr>
            <w:tcW w:w="506" w:type="pct"/>
            <w:vAlign w:val="center"/>
          </w:tcPr>
          <w:p>
            <w:pPr>
              <w:spacing w:before="156" w:line="276" w:lineRule="auto"/>
              <w:contextualSpacing/>
              <w:jc w:val="center"/>
              <w:rPr>
                <w:rFonts w:ascii="宋体" w:hAnsi="宋体" w:cs="仿宋_GB2312"/>
                <w:szCs w:val="24"/>
                <w:lang w:eastAsia="zh-CN"/>
              </w:rPr>
            </w:pPr>
            <w:r>
              <w:rPr>
                <w:rFonts w:ascii="宋体" w:hAnsi="宋体" w:cs="仿宋_GB2312"/>
                <w:szCs w:val="24"/>
                <w:lang w:eastAsia="zh-CN"/>
              </w:rPr>
              <w:t>109000</w:t>
            </w:r>
          </w:p>
        </w:tc>
        <w:tc>
          <w:tcPr>
            <w:tcW w:w="498"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1</w:t>
            </w:r>
            <w:r>
              <w:rPr>
                <w:rFonts w:ascii="宋体" w:hAnsi="宋体" w:cs="仿宋_GB2312"/>
                <w:szCs w:val="24"/>
                <w:lang w:eastAsia="zh-CN"/>
              </w:rPr>
              <w:t>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3</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w:t>
            </w:r>
          </w:p>
        </w:tc>
        <w:tc>
          <w:tcPr>
            <w:tcW w:w="560"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车辆检测处理主机</w:t>
            </w:r>
          </w:p>
        </w:tc>
        <w:tc>
          <w:tcPr>
            <w:tcW w:w="1838" w:type="pct"/>
            <w:vAlign w:val="center"/>
          </w:tcPr>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1、工作原理：车辆内部藏匿有人时，藏匿者的心脏会产生有节律的跳动，此震动会传递到车辆的悬挂、车厢底部等位置，通过连接传感器和被测车辆，将此震动采集并通过数据线缆传递回数据分析设备，软件进行分析.分析软件运算范围精确集中在心脏跳动的频率范围内，以这种震动分析为基础，在显示终端上可明确显示是否有人存在，并伴随声音报警。</w:t>
            </w:r>
          </w:p>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2、接入传感器种类：可以接入有线传感器、无线传感器、地埋式车辆传感器。</w:t>
            </w:r>
          </w:p>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▲3、耐用性：可在切换2</w:t>
            </w:r>
            <w:r>
              <w:rPr>
                <w:rFonts w:ascii="宋体" w:hAnsi="宋体" w:cs="仿宋_GB2312"/>
                <w:sz w:val="22"/>
                <w:szCs w:val="22"/>
                <w:lang w:eastAsia="zh-CN"/>
              </w:rPr>
              <w:t>00</w:t>
            </w:r>
            <w:r>
              <w:rPr>
                <w:rFonts w:hint="eastAsia" w:ascii="宋体" w:hAnsi="宋体" w:cs="仿宋_GB2312"/>
                <w:sz w:val="22"/>
                <w:szCs w:val="22"/>
                <w:lang w:eastAsia="zh-CN"/>
              </w:rPr>
              <w:t>次或以上时，仍可正常使用。</w:t>
            </w:r>
          </w:p>
          <w:p>
            <w:pPr>
              <w:spacing w:before="156" w:line="276" w:lineRule="auto"/>
              <w:contextualSpacing/>
              <w:rPr>
                <w:rFonts w:ascii="宋体" w:hAnsi="宋体" w:cs="仿宋_GB2312"/>
                <w:szCs w:val="24"/>
                <w:lang w:eastAsia="zh-CN"/>
              </w:rPr>
            </w:pPr>
            <w:r>
              <w:rPr>
                <w:rFonts w:hint="eastAsia" w:ascii="宋体" w:hAnsi="宋体" w:cs="仿宋_GB2312"/>
                <w:sz w:val="22"/>
                <w:szCs w:val="22"/>
                <w:lang w:eastAsia="zh-CN"/>
              </w:rPr>
              <w:t>4、数据处理主机具有独立的传感器接入提示，当传感器未连接时，有明确提示，便于管理人员及时判断处置。▲标项提供公安部下属产品质量监督检验中心出具的检测报告相关内容复印件加盖制造商公章，中标后提供原件核查</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1套</w:t>
            </w:r>
          </w:p>
        </w:tc>
        <w:tc>
          <w:tcPr>
            <w:tcW w:w="506" w:type="pct"/>
            <w:vAlign w:val="center"/>
          </w:tcPr>
          <w:p>
            <w:pPr>
              <w:spacing w:before="156" w:line="276" w:lineRule="auto"/>
              <w:contextualSpacing/>
              <w:jc w:val="center"/>
              <w:rPr>
                <w:rFonts w:ascii="宋体" w:hAnsi="宋体" w:cs="仿宋_GB2312"/>
                <w:szCs w:val="24"/>
                <w:lang w:eastAsia="zh-CN"/>
              </w:rPr>
            </w:pPr>
            <w:r>
              <w:rPr>
                <w:rFonts w:ascii="宋体" w:hAnsi="宋体" w:cs="仿宋_GB2312"/>
                <w:szCs w:val="24"/>
                <w:lang w:eastAsia="zh-CN"/>
              </w:rPr>
              <w:t>170000</w:t>
            </w:r>
          </w:p>
        </w:tc>
        <w:tc>
          <w:tcPr>
            <w:tcW w:w="498" w:type="pct"/>
            <w:vAlign w:val="center"/>
          </w:tcPr>
          <w:p>
            <w:pPr>
              <w:spacing w:before="156" w:line="276" w:lineRule="auto"/>
              <w:contextualSpacing/>
              <w:jc w:val="center"/>
              <w:rPr>
                <w:rFonts w:ascii="宋体" w:hAnsi="宋体" w:cs="仿宋_GB2312"/>
                <w:szCs w:val="24"/>
                <w:lang w:eastAsia="zh-CN"/>
              </w:rPr>
            </w:pPr>
            <w:r>
              <w:rPr>
                <w:rFonts w:ascii="宋体" w:hAnsi="宋体" w:cs="仿宋_GB2312"/>
                <w:szCs w:val="24"/>
                <w:lang w:eastAsia="zh-CN"/>
              </w:rPr>
              <w:t>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4</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型定制</w:t>
            </w:r>
          </w:p>
        </w:tc>
        <w:tc>
          <w:tcPr>
            <w:tcW w:w="560"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接地感应器</w:t>
            </w:r>
          </w:p>
        </w:tc>
        <w:tc>
          <w:tcPr>
            <w:tcW w:w="1838" w:type="pct"/>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地面振动传感器：本项目包含有线地面传感器不小于3个。</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1、机械式震动传感器，由永久磁铁、线圈、弹簧、阻尼器和壳体组成。工作电压：12VDC；采集频率范围：0.5HZ～20HZ。</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▲2、跌落测试：发通过防跌落测试，跌落高度≥</w:t>
            </w:r>
            <w:r>
              <w:rPr>
                <w:rFonts w:ascii="宋体" w:hAnsi="宋体" w:cs="仿宋_GB2312"/>
                <w:szCs w:val="24"/>
                <w:lang w:eastAsia="zh-CN"/>
              </w:rPr>
              <w:t>3.0</w:t>
            </w:r>
            <w:r>
              <w:rPr>
                <w:rFonts w:hint="eastAsia" w:ascii="宋体" w:hAnsi="宋体" w:cs="仿宋_GB2312"/>
                <w:szCs w:val="24"/>
                <w:lang w:eastAsia="zh-CN"/>
              </w:rPr>
              <w:t>米。碾压测试：经轻型货车3次碾压后，应无机械损伤且能正常工作。</w:t>
            </w:r>
          </w:p>
          <w:p>
            <w:pPr>
              <w:spacing w:before="156" w:line="276" w:lineRule="auto"/>
              <w:contextualSpacing/>
              <w:rPr>
                <w:rFonts w:ascii="宋体" w:hAnsi="宋体" w:cs="仿宋_GB2312"/>
                <w:szCs w:val="24"/>
                <w:lang w:eastAsia="zh-CN"/>
              </w:rPr>
            </w:pPr>
            <w:r>
              <w:rPr>
                <w:rFonts w:ascii="宋体" w:hAnsi="宋体" w:cs="仿宋_GB2312"/>
                <w:szCs w:val="24"/>
                <w:lang w:eastAsia="zh-CN"/>
              </w:rPr>
              <w:t>3</w:t>
            </w:r>
            <w:r>
              <w:rPr>
                <w:rFonts w:hint="eastAsia" w:ascii="宋体" w:hAnsi="宋体" w:cs="仿宋_GB2312"/>
                <w:szCs w:val="24"/>
                <w:lang w:eastAsia="zh-CN"/>
              </w:rPr>
              <w:t>、重量不大于500g。</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（以上▲标项提供公安部下属产品质量监督检验中心出具的检测报告相关内容复印件加盖制造商公章，中标后提供原件核查）</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1套</w:t>
            </w:r>
          </w:p>
        </w:tc>
        <w:tc>
          <w:tcPr>
            <w:tcW w:w="506"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6</w:t>
            </w:r>
            <w:r>
              <w:rPr>
                <w:rFonts w:ascii="宋体" w:hAnsi="宋体" w:cs="仿宋_GB2312"/>
                <w:szCs w:val="24"/>
                <w:lang w:eastAsia="zh-CN"/>
              </w:rPr>
              <w:t>0000</w:t>
            </w:r>
          </w:p>
        </w:tc>
        <w:tc>
          <w:tcPr>
            <w:tcW w:w="498"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6</w:t>
            </w:r>
            <w:r>
              <w:rPr>
                <w:rFonts w:ascii="宋体" w:hAnsi="宋体" w:cs="仿宋_GB2312"/>
                <w:szCs w:val="24"/>
                <w:lang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5</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型定制</w:t>
            </w:r>
          </w:p>
        </w:tc>
        <w:tc>
          <w:tcPr>
            <w:tcW w:w="560"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接车感应器</w:t>
            </w:r>
          </w:p>
        </w:tc>
        <w:tc>
          <w:tcPr>
            <w:tcW w:w="1838" w:type="pct"/>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车辆振动感应器：本项目包含有线传感器不小于2个、无线传感器不少于2个，预留地埋式传感器接口。</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1、有线车辆振动传感器：</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1.1由永久磁铁、线圈、弹簧、阻尼器和壳体组成。工作电压：12VDC；采集频率范围：0.5HZ～20HZ。</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▲1.2跌落测试：发通过防跌落测试，跌落高度≥</w:t>
            </w:r>
            <w:r>
              <w:rPr>
                <w:rFonts w:ascii="宋体" w:hAnsi="宋体" w:cs="仿宋_GB2312"/>
                <w:szCs w:val="24"/>
                <w:lang w:eastAsia="zh-CN"/>
              </w:rPr>
              <w:t>3.8</w:t>
            </w:r>
            <w:r>
              <w:rPr>
                <w:rFonts w:hint="eastAsia" w:ascii="宋体" w:hAnsi="宋体" w:cs="仿宋_GB2312"/>
                <w:szCs w:val="24"/>
                <w:lang w:eastAsia="zh-CN"/>
              </w:rPr>
              <w:t>米。碾压测试：经轻型货车3次碾压后，应无机械损伤且能正常工作。</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1.3重量不大于500g(不含吸附磁铁)。</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2、无线车辆振动传感器：</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▲2.1跌落测试：发通过防跌落测试，跌落高度≥</w:t>
            </w:r>
            <w:r>
              <w:rPr>
                <w:rFonts w:ascii="宋体" w:hAnsi="宋体" w:cs="仿宋_GB2312"/>
                <w:szCs w:val="24"/>
                <w:lang w:eastAsia="zh-CN"/>
              </w:rPr>
              <w:t>3.0</w:t>
            </w:r>
            <w:r>
              <w:rPr>
                <w:rFonts w:hint="eastAsia" w:ascii="宋体" w:hAnsi="宋体" w:cs="仿宋_GB2312"/>
                <w:szCs w:val="24"/>
                <w:lang w:eastAsia="zh-CN"/>
              </w:rPr>
              <w:t>米。磁铁吸附能力：无线传感器磁铁吸附能力≥2</w:t>
            </w:r>
            <w:r>
              <w:rPr>
                <w:rFonts w:ascii="宋体" w:hAnsi="宋体" w:cs="仿宋_GB2312"/>
                <w:szCs w:val="24"/>
                <w:lang w:eastAsia="zh-CN"/>
              </w:rPr>
              <w:t>0kg</w:t>
            </w:r>
            <w:r>
              <w:rPr>
                <w:rFonts w:hint="eastAsia" w:ascii="宋体" w:hAnsi="宋体" w:cs="仿宋_GB2312"/>
                <w:szCs w:val="24"/>
                <w:lang w:eastAsia="zh-CN"/>
              </w:rPr>
              <w:t>。</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2.2无线车辆传感器具有防丢报警功能，报警持续时间0-180秒可设定。</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▲2.3无线车辆传感器自身具有液晶显示屏，屏幕尺寸不小于1</w:t>
            </w:r>
            <w:r>
              <w:rPr>
                <w:rFonts w:ascii="宋体" w:hAnsi="宋体" w:cs="仿宋_GB2312"/>
                <w:szCs w:val="24"/>
                <w:lang w:eastAsia="zh-CN"/>
              </w:rPr>
              <w:t>0</w:t>
            </w:r>
            <w:r>
              <w:rPr>
                <w:rFonts w:hint="eastAsia" w:ascii="宋体" w:hAnsi="宋体" w:cs="仿宋_GB2312"/>
                <w:szCs w:val="24"/>
                <w:lang w:eastAsia="zh-CN"/>
              </w:rPr>
              <w:t>mm*2</w:t>
            </w:r>
            <w:r>
              <w:rPr>
                <w:rFonts w:ascii="宋体" w:hAnsi="宋体" w:cs="仿宋_GB2312"/>
                <w:szCs w:val="24"/>
                <w:lang w:eastAsia="zh-CN"/>
              </w:rPr>
              <w:t>0</w:t>
            </w:r>
            <w:r>
              <w:rPr>
                <w:rFonts w:hint="eastAsia" w:ascii="宋体" w:hAnsi="宋体" w:cs="仿宋_GB2312"/>
                <w:szCs w:val="24"/>
                <w:lang w:eastAsia="zh-CN"/>
              </w:rPr>
              <w:t>mm，可显示信道、剩余电量、检测时间。</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▲2.4无线传感器具有节能模式，可通过自带按键设置节能模式。设置结果可在显示屏上显示。</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w:t>
            </w:r>
            <w:r>
              <w:rPr>
                <w:rFonts w:ascii="宋体" w:hAnsi="宋体" w:cs="仿宋_GB2312"/>
                <w:szCs w:val="24"/>
                <w:lang w:eastAsia="zh-CN"/>
              </w:rPr>
              <w:t>5</w:t>
            </w:r>
            <w:r>
              <w:rPr>
                <w:rFonts w:hint="eastAsia" w:ascii="宋体" w:hAnsi="宋体" w:cs="仿宋_GB2312"/>
                <w:szCs w:val="24"/>
                <w:lang w:eastAsia="zh-CN"/>
              </w:rPr>
              <w:t>满电工作时间≥24小时。</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（以上▲标项提供公安部下属产品质量监督检验中心出具的检测报告相关内容复印件加盖制造商公章，中标后提供原件核查）</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1套</w:t>
            </w:r>
          </w:p>
        </w:tc>
        <w:tc>
          <w:tcPr>
            <w:tcW w:w="506"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1</w:t>
            </w:r>
            <w:r>
              <w:rPr>
                <w:rFonts w:ascii="宋体" w:hAnsi="宋体" w:cs="仿宋_GB2312"/>
                <w:szCs w:val="24"/>
                <w:lang w:eastAsia="zh-CN"/>
              </w:rPr>
              <w:t>20000</w:t>
            </w:r>
          </w:p>
        </w:tc>
        <w:tc>
          <w:tcPr>
            <w:tcW w:w="498"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1</w:t>
            </w:r>
            <w:r>
              <w:rPr>
                <w:rFonts w:ascii="宋体" w:hAnsi="宋体" w:cs="仿宋_GB2312"/>
                <w:szCs w:val="24"/>
                <w:lang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jc w:val="center"/>
        </w:trPr>
        <w:tc>
          <w:tcPr>
            <w:tcW w:w="356" w:type="pct"/>
            <w:shd w:val="clear" w:color="auto" w:fill="FFFFFF"/>
            <w:vAlign w:val="center"/>
          </w:tcPr>
          <w:p>
            <w:pPr>
              <w:spacing w:before="156" w:line="276" w:lineRule="auto"/>
              <w:contextualSpacing/>
              <w:jc w:val="center"/>
              <w:rPr>
                <w:rFonts w:ascii="宋体" w:hAnsi="宋体" w:cs="仿宋_GB2312"/>
                <w:szCs w:val="24"/>
                <w:lang w:eastAsia="zh-CN"/>
              </w:rPr>
            </w:pPr>
            <w:r>
              <w:rPr>
                <w:rFonts w:ascii="宋体" w:hAnsi="宋体" w:cs="仿宋_GB2312"/>
                <w:szCs w:val="24"/>
                <w:lang w:eastAsia="zh-CN"/>
              </w:rPr>
              <w:t>6</w:t>
            </w:r>
          </w:p>
        </w:tc>
        <w:tc>
          <w:tcPr>
            <w:tcW w:w="895" w:type="pct"/>
            <w:shd w:val="clear" w:color="auto" w:fill="FFFFFF"/>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型定制</w:t>
            </w:r>
          </w:p>
        </w:tc>
        <w:tc>
          <w:tcPr>
            <w:tcW w:w="560" w:type="pct"/>
            <w:shd w:val="clear" w:color="auto" w:fill="FFFFFF"/>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无线传输收发装置</w:t>
            </w:r>
          </w:p>
        </w:tc>
        <w:tc>
          <w:tcPr>
            <w:tcW w:w="1838" w:type="pct"/>
            <w:shd w:val="clear" w:color="auto" w:fill="FFFFFF"/>
            <w:vAlign w:val="center"/>
          </w:tcPr>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1、硬件上可明确显示与无线传感器连接信号强度、连接状态及电量。</w:t>
            </w:r>
          </w:p>
          <w:p>
            <w:pPr>
              <w:spacing w:before="156" w:line="276" w:lineRule="auto"/>
              <w:contextualSpacing/>
              <w:rPr>
                <w:rFonts w:ascii="宋体" w:hAnsi="宋体" w:cs="仿宋_GB2312"/>
                <w:sz w:val="22"/>
                <w:szCs w:val="22"/>
                <w:lang w:eastAsia="zh-CN"/>
              </w:rPr>
            </w:pPr>
            <w:r>
              <w:rPr>
                <w:rFonts w:hint="eastAsia" w:ascii="宋体" w:hAnsi="宋体" w:cs="仿宋_GB2312"/>
                <w:sz w:val="22"/>
                <w:szCs w:val="22"/>
                <w:lang w:eastAsia="zh-CN"/>
              </w:rPr>
              <w:t>2、具有不低于12路通讯通道号，可通过硬件设置通讯通道号。并可对无线传感器连接数量进行配置。</w:t>
            </w:r>
          </w:p>
          <w:p>
            <w:pPr>
              <w:spacing w:before="156" w:line="276" w:lineRule="auto"/>
              <w:contextualSpacing/>
              <w:rPr>
                <w:rFonts w:ascii="宋体" w:hAnsi="宋体" w:cs="仿宋_GB2312"/>
                <w:szCs w:val="24"/>
                <w:lang w:eastAsia="zh-CN"/>
              </w:rPr>
            </w:pPr>
            <w:r>
              <w:rPr>
                <w:rFonts w:ascii="宋体" w:hAnsi="宋体" w:cs="仿宋_GB2312"/>
                <w:sz w:val="22"/>
                <w:szCs w:val="22"/>
                <w:lang w:eastAsia="zh-CN"/>
              </w:rPr>
              <w:t>3</w:t>
            </w:r>
            <w:r>
              <w:rPr>
                <w:rFonts w:hint="eastAsia" w:ascii="宋体" w:hAnsi="宋体" w:cs="仿宋_GB2312"/>
                <w:sz w:val="22"/>
                <w:szCs w:val="22"/>
                <w:lang w:eastAsia="zh-CN"/>
              </w:rPr>
              <w:t>、可以同时连接不少于6路天线。</w:t>
            </w:r>
          </w:p>
        </w:tc>
        <w:tc>
          <w:tcPr>
            <w:tcW w:w="347" w:type="pct"/>
            <w:shd w:val="clear" w:color="auto" w:fill="FFFFFF"/>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2套</w:t>
            </w:r>
          </w:p>
        </w:tc>
        <w:tc>
          <w:tcPr>
            <w:tcW w:w="506" w:type="pct"/>
            <w:shd w:val="clear" w:color="auto" w:fill="FFFFFF"/>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2</w:t>
            </w:r>
            <w:r>
              <w:rPr>
                <w:rFonts w:ascii="宋体" w:hAnsi="宋体" w:cs="仿宋_GB2312"/>
                <w:szCs w:val="24"/>
                <w:lang w:eastAsia="zh-CN"/>
              </w:rPr>
              <w:t>000</w:t>
            </w:r>
          </w:p>
        </w:tc>
        <w:tc>
          <w:tcPr>
            <w:tcW w:w="498" w:type="pct"/>
            <w:shd w:val="clear" w:color="auto" w:fill="FFFFFF"/>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4</w:t>
            </w:r>
            <w:r>
              <w:rPr>
                <w:rFonts w:ascii="宋体" w:hAnsi="宋体" w:cs="仿宋_GB2312"/>
                <w:szCs w:val="24"/>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ascii="宋体" w:hAnsi="宋体" w:cs="仿宋_GB2312"/>
                <w:szCs w:val="24"/>
                <w:lang w:eastAsia="zh-CN"/>
              </w:rPr>
              <w:t>7</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w:t>
            </w:r>
          </w:p>
        </w:tc>
        <w:tc>
          <w:tcPr>
            <w:tcW w:w="560"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数据传输部件</w:t>
            </w:r>
          </w:p>
        </w:tc>
        <w:tc>
          <w:tcPr>
            <w:tcW w:w="1838" w:type="pct"/>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具有拉伸和卡位停顿功能，具有限位保护装置，可容纳数据电缆最大长度≥18米。</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1套</w:t>
            </w:r>
          </w:p>
        </w:tc>
        <w:tc>
          <w:tcPr>
            <w:tcW w:w="506"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3</w:t>
            </w:r>
            <w:r>
              <w:rPr>
                <w:rFonts w:ascii="宋体" w:hAnsi="宋体" w:cs="仿宋_GB2312"/>
                <w:szCs w:val="24"/>
                <w:lang w:eastAsia="zh-CN"/>
              </w:rPr>
              <w:t>000</w:t>
            </w:r>
          </w:p>
        </w:tc>
        <w:tc>
          <w:tcPr>
            <w:tcW w:w="498"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3</w:t>
            </w:r>
            <w:r>
              <w:rPr>
                <w:rFonts w:ascii="宋体" w:hAnsi="宋体" w:cs="仿宋_GB2312"/>
                <w:szCs w:val="24"/>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ascii="宋体" w:hAnsi="宋体" w:cs="仿宋_GB2312"/>
                <w:szCs w:val="24"/>
                <w:lang w:eastAsia="zh-CN"/>
              </w:rPr>
              <w:t>8</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型定制</w:t>
            </w:r>
          </w:p>
        </w:tc>
        <w:tc>
          <w:tcPr>
            <w:tcW w:w="560" w:type="pct"/>
            <w:shd w:val="clear" w:color="auto" w:fill="auto"/>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专用连接数据电缆</w:t>
            </w:r>
          </w:p>
        </w:tc>
        <w:tc>
          <w:tcPr>
            <w:tcW w:w="1838" w:type="pct"/>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1、三芯、低电压、低衰减。</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▲2、接口防水防尘等级：IP65；</w:t>
            </w:r>
            <w:r>
              <w:rPr>
                <w:rFonts w:ascii="宋体" w:hAnsi="宋体" w:cs="仿宋_GB2312"/>
                <w:szCs w:val="24"/>
                <w:lang w:eastAsia="zh-CN"/>
              </w:rPr>
              <w:t xml:space="preserve"> </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▲3、碾压测试：经轻型货车1</w:t>
            </w:r>
            <w:r>
              <w:rPr>
                <w:rFonts w:ascii="宋体" w:hAnsi="宋体" w:cs="仿宋_GB2312"/>
                <w:szCs w:val="24"/>
                <w:lang w:eastAsia="zh-CN"/>
              </w:rPr>
              <w:t>00</w:t>
            </w:r>
            <w:r>
              <w:rPr>
                <w:rFonts w:hint="eastAsia" w:ascii="宋体" w:hAnsi="宋体" w:cs="仿宋_GB2312"/>
                <w:szCs w:val="24"/>
                <w:lang w:eastAsia="zh-CN"/>
              </w:rPr>
              <w:t>次碾压后，应无机械损伤且能正常工作。</w:t>
            </w:r>
          </w:p>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（以上▲标项提供公安部下属产品质量监督检验中心出具的检测报告相关内容复印件加盖制造商公章，中标后提供原件核查）</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5条</w:t>
            </w:r>
          </w:p>
        </w:tc>
        <w:tc>
          <w:tcPr>
            <w:tcW w:w="506"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3</w:t>
            </w:r>
            <w:r>
              <w:rPr>
                <w:rFonts w:ascii="宋体" w:hAnsi="宋体" w:cs="仿宋_GB2312"/>
                <w:szCs w:val="24"/>
                <w:lang w:eastAsia="zh-CN"/>
              </w:rPr>
              <w:t>000</w:t>
            </w:r>
          </w:p>
        </w:tc>
        <w:tc>
          <w:tcPr>
            <w:tcW w:w="498"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1</w:t>
            </w:r>
            <w:r>
              <w:rPr>
                <w:rFonts w:ascii="宋体" w:hAnsi="宋体" w:cs="仿宋_GB2312"/>
                <w:szCs w:val="24"/>
                <w:lang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56" w:type="pct"/>
            <w:shd w:val="clear" w:color="auto" w:fill="auto"/>
            <w:vAlign w:val="center"/>
          </w:tcPr>
          <w:p>
            <w:pPr>
              <w:spacing w:before="156" w:line="276" w:lineRule="auto"/>
              <w:contextualSpacing/>
              <w:jc w:val="center"/>
              <w:rPr>
                <w:rFonts w:ascii="宋体" w:hAnsi="宋体" w:cs="仿宋_GB2312"/>
                <w:szCs w:val="24"/>
                <w:lang w:eastAsia="zh-CN"/>
              </w:rPr>
            </w:pPr>
            <w:r>
              <w:rPr>
                <w:rFonts w:ascii="宋体" w:hAnsi="宋体" w:cs="仿宋_GB2312"/>
                <w:szCs w:val="24"/>
                <w:lang w:eastAsia="zh-CN"/>
              </w:rPr>
              <w:t>9</w:t>
            </w:r>
          </w:p>
        </w:tc>
        <w:tc>
          <w:tcPr>
            <w:tcW w:w="895"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吉宝通：M</w:t>
            </w:r>
            <w:r>
              <w:rPr>
                <w:rFonts w:ascii="宋体" w:hAnsi="宋体" w:cs="仿宋_GB2312"/>
                <w:szCs w:val="24"/>
                <w:lang w:eastAsia="zh-CN"/>
              </w:rPr>
              <w:t>CH-G3</w:t>
            </w:r>
            <w:r>
              <w:rPr>
                <w:rFonts w:hint="eastAsia" w:ascii="宋体" w:hAnsi="宋体" w:cs="仿宋_GB2312"/>
                <w:szCs w:val="24"/>
                <w:lang w:eastAsia="zh-CN"/>
              </w:rPr>
              <w:t>/</w:t>
            </w:r>
            <w:r>
              <w:rPr>
                <w:rFonts w:ascii="宋体" w:hAnsi="宋体" w:cs="仿宋_GB2312"/>
                <w:szCs w:val="24"/>
                <w:lang w:eastAsia="zh-CN"/>
              </w:rPr>
              <w:t>1000</w:t>
            </w:r>
            <w:r>
              <w:rPr>
                <w:rFonts w:hint="eastAsia" w:ascii="宋体" w:hAnsi="宋体" w:cs="仿宋_GB2312"/>
                <w:szCs w:val="24"/>
                <w:lang w:eastAsia="zh-CN"/>
              </w:rPr>
              <w:t>型定制</w:t>
            </w:r>
          </w:p>
        </w:tc>
        <w:tc>
          <w:tcPr>
            <w:tcW w:w="560" w:type="pct"/>
            <w:shd w:val="clear" w:color="auto" w:fill="auto"/>
            <w:vAlign w:val="center"/>
          </w:tcPr>
          <w:p>
            <w:pPr>
              <w:spacing w:before="156" w:line="276" w:lineRule="auto"/>
              <w:contextualSpacing/>
              <w:jc w:val="center"/>
              <w:rPr>
                <w:rFonts w:hint="default" w:ascii="宋体" w:hAnsi="宋体" w:cs="仿宋_GB2312"/>
                <w:szCs w:val="24"/>
                <w:lang w:val="en-US" w:eastAsia="zh-CN"/>
              </w:rPr>
            </w:pPr>
            <w:r>
              <w:rPr>
                <w:rFonts w:hint="eastAsia" w:ascii="宋体" w:hAnsi="宋体" w:cs="仿宋_GB2312"/>
                <w:szCs w:val="24"/>
                <w:lang w:eastAsia="zh-CN"/>
              </w:rPr>
              <w:t>机柜</w:t>
            </w:r>
            <w:r>
              <w:rPr>
                <w:rFonts w:hint="eastAsia" w:ascii="宋体" w:hAnsi="宋体" w:cs="仿宋_GB2312"/>
                <w:szCs w:val="24"/>
                <w:lang w:val="en-US" w:eastAsia="zh-CN"/>
              </w:rPr>
              <w:t>和办公桌椅</w:t>
            </w:r>
          </w:p>
        </w:tc>
        <w:tc>
          <w:tcPr>
            <w:tcW w:w="1838" w:type="pct"/>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eastAsia="zh-CN"/>
              </w:rPr>
              <w:t>根据采购人现场实际使用环境进行设计。要求外形美观、设计合理、使用方便。</w:t>
            </w:r>
          </w:p>
        </w:tc>
        <w:tc>
          <w:tcPr>
            <w:tcW w:w="347" w:type="pct"/>
            <w:shd w:val="clear" w:color="auto" w:fill="auto"/>
            <w:vAlign w:val="center"/>
          </w:tcPr>
          <w:p>
            <w:pPr>
              <w:spacing w:before="156" w:line="276" w:lineRule="auto"/>
              <w:contextualSpacing/>
              <w:rPr>
                <w:rFonts w:ascii="宋体" w:hAnsi="宋体" w:cs="仿宋_GB2312"/>
                <w:szCs w:val="24"/>
                <w:lang w:eastAsia="zh-CN"/>
              </w:rPr>
            </w:pPr>
            <w:r>
              <w:rPr>
                <w:rFonts w:hint="eastAsia" w:ascii="宋体" w:hAnsi="宋体" w:cs="仿宋_GB2312"/>
                <w:szCs w:val="24"/>
                <w:lang w:val="en-US" w:eastAsia="zh-CN"/>
              </w:rPr>
              <w:t>2</w:t>
            </w:r>
            <w:r>
              <w:rPr>
                <w:rFonts w:hint="eastAsia" w:ascii="宋体" w:hAnsi="宋体" w:cs="仿宋_GB2312"/>
                <w:szCs w:val="24"/>
                <w:lang w:eastAsia="zh-CN"/>
              </w:rPr>
              <w:t>套</w:t>
            </w:r>
          </w:p>
        </w:tc>
        <w:tc>
          <w:tcPr>
            <w:tcW w:w="506" w:type="pct"/>
            <w:vAlign w:val="center"/>
          </w:tcPr>
          <w:p>
            <w:pPr>
              <w:spacing w:before="156" w:line="276" w:lineRule="auto"/>
              <w:contextualSpacing/>
              <w:jc w:val="center"/>
              <w:rPr>
                <w:rFonts w:hint="default" w:ascii="宋体" w:hAnsi="宋体" w:cs="仿宋_GB2312"/>
                <w:szCs w:val="24"/>
                <w:lang w:val="en-US" w:eastAsia="zh-CN"/>
              </w:rPr>
            </w:pPr>
            <w:r>
              <w:rPr>
                <w:rFonts w:hint="eastAsia" w:ascii="宋体" w:hAnsi="宋体" w:cs="仿宋_GB2312"/>
                <w:szCs w:val="24"/>
                <w:lang w:val="en-US" w:eastAsia="zh-CN"/>
              </w:rPr>
              <w:t>1250</w:t>
            </w:r>
          </w:p>
        </w:tc>
        <w:tc>
          <w:tcPr>
            <w:tcW w:w="498" w:type="pct"/>
            <w:vAlign w:val="center"/>
          </w:tcPr>
          <w:p>
            <w:pPr>
              <w:spacing w:before="156" w:line="276" w:lineRule="auto"/>
              <w:contextualSpacing/>
              <w:jc w:val="center"/>
              <w:rPr>
                <w:rFonts w:ascii="宋体" w:hAnsi="宋体" w:cs="仿宋_GB2312"/>
                <w:szCs w:val="24"/>
                <w:lang w:eastAsia="zh-CN"/>
              </w:rPr>
            </w:pPr>
            <w:r>
              <w:rPr>
                <w:rFonts w:hint="eastAsia" w:ascii="宋体" w:hAnsi="宋体" w:cs="仿宋_GB2312"/>
                <w:szCs w:val="24"/>
                <w:lang w:eastAsia="zh-CN"/>
              </w:rPr>
              <w:t>2</w:t>
            </w:r>
            <w:r>
              <w:rPr>
                <w:rFonts w:ascii="宋体" w:hAnsi="宋体" w:cs="仿宋_GB2312"/>
                <w:szCs w:val="24"/>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5000" w:type="pct"/>
            <w:gridSpan w:val="7"/>
            <w:shd w:val="clear" w:color="auto" w:fill="auto"/>
            <w:vAlign w:val="center"/>
          </w:tcPr>
          <w:p>
            <w:pPr>
              <w:spacing w:before="156"/>
              <w:contextualSpacing/>
              <w:rPr>
                <w:rFonts w:ascii="宋体" w:hAnsi="宋体" w:cs="仿宋_GB2312"/>
                <w:szCs w:val="24"/>
                <w:lang w:eastAsia="zh-CN"/>
              </w:rPr>
            </w:pPr>
            <w:r>
              <w:rPr>
                <w:rFonts w:hint="eastAsia" w:ascii="宋体" w:hAnsi="宋体" w:cs="仿宋_GB2312"/>
                <w:szCs w:val="24"/>
                <w:lang w:eastAsia="zh-CN"/>
              </w:rPr>
              <w:t>总价小写：4</w:t>
            </w:r>
            <w:r>
              <w:rPr>
                <w:rFonts w:ascii="宋体" w:hAnsi="宋体" w:cs="仿宋_GB2312"/>
                <w:szCs w:val="24"/>
                <w:lang w:eastAsia="zh-CN"/>
              </w:rPr>
              <w:t>90000</w:t>
            </w:r>
            <w:r>
              <w:rPr>
                <w:rFonts w:hint="eastAsia" w:ascii="宋体" w:hAnsi="宋体" w:cs="仿宋_GB2312"/>
                <w:szCs w:val="24"/>
                <w:lang w:eastAsia="zh-CN"/>
              </w:rPr>
              <w:t>元，大写：肆拾玖万元整，（包含运费、安装调试费、税</w:t>
            </w:r>
            <w:bookmarkStart w:id="0" w:name="_GoBack"/>
            <w:bookmarkEnd w:id="0"/>
            <w:r>
              <w:rPr>
                <w:rFonts w:hint="eastAsia" w:ascii="宋体" w:hAnsi="宋体" w:cs="仿宋_GB2312"/>
                <w:szCs w:val="24"/>
                <w:lang w:eastAsia="zh-CN"/>
              </w:rPr>
              <w:t>费等费用，设备质保：接车传感器质保</w:t>
            </w:r>
            <w:r>
              <w:rPr>
                <w:rFonts w:ascii="宋体" w:hAnsi="宋体" w:cs="仿宋_GB2312"/>
                <w:szCs w:val="24"/>
                <w:lang w:eastAsia="zh-CN"/>
              </w:rPr>
              <w:t>2年，检测处理主机</w:t>
            </w:r>
            <w:r>
              <w:rPr>
                <w:rFonts w:hint="eastAsia" w:ascii="宋体" w:hAnsi="宋体" w:cs="仿宋_GB2312"/>
                <w:szCs w:val="24"/>
                <w:lang w:eastAsia="zh-CN"/>
              </w:rPr>
              <w:t>质保</w:t>
            </w:r>
            <w:r>
              <w:rPr>
                <w:rFonts w:ascii="宋体" w:hAnsi="宋体" w:cs="仿宋_GB2312"/>
                <w:szCs w:val="24"/>
                <w:lang w:eastAsia="zh-CN"/>
              </w:rPr>
              <w:t>3年，安检分析软件终身免费升级</w:t>
            </w:r>
            <w:r>
              <w:rPr>
                <w:rFonts w:hint="eastAsia" w:ascii="宋体" w:hAnsi="宋体" w:cs="仿宋_GB2312"/>
                <w:szCs w:val="24"/>
                <w:lang w:eastAsia="zh-CN"/>
              </w:rPr>
              <w:t>）</w:t>
            </w:r>
          </w:p>
        </w:tc>
      </w:tr>
    </w:tbl>
    <w:p>
      <w:pPr>
        <w:pStyle w:val="2"/>
        <w:spacing w:before="156"/>
        <w:rPr>
          <w:rFonts w:ascii="宋体" w:hAnsi="宋体" w:cs="仿宋_GB2312"/>
          <w:b w:val="0"/>
          <w:szCs w:val="24"/>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993" w:left="1800" w:header="426" w:footer="3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26DDC"/>
    <w:rsid w:val="00190197"/>
    <w:rsid w:val="00192EDA"/>
    <w:rsid w:val="00210F46"/>
    <w:rsid w:val="0024342B"/>
    <w:rsid w:val="00295571"/>
    <w:rsid w:val="002F2613"/>
    <w:rsid w:val="003C5154"/>
    <w:rsid w:val="003D6578"/>
    <w:rsid w:val="00421FF8"/>
    <w:rsid w:val="00435E1B"/>
    <w:rsid w:val="004C5FE3"/>
    <w:rsid w:val="005A64A7"/>
    <w:rsid w:val="00612980"/>
    <w:rsid w:val="0064576B"/>
    <w:rsid w:val="006C611C"/>
    <w:rsid w:val="006E07DA"/>
    <w:rsid w:val="006F7AF2"/>
    <w:rsid w:val="00780011"/>
    <w:rsid w:val="00851439"/>
    <w:rsid w:val="008752B1"/>
    <w:rsid w:val="00955470"/>
    <w:rsid w:val="009E4E8C"/>
    <w:rsid w:val="009F70FD"/>
    <w:rsid w:val="00B47BCD"/>
    <w:rsid w:val="00BD3980"/>
    <w:rsid w:val="00BE0C97"/>
    <w:rsid w:val="00C060AB"/>
    <w:rsid w:val="00C53127"/>
    <w:rsid w:val="00D6240D"/>
    <w:rsid w:val="00D707AD"/>
    <w:rsid w:val="00DB7E91"/>
    <w:rsid w:val="00EC258C"/>
    <w:rsid w:val="00F763F5"/>
    <w:rsid w:val="119523A3"/>
    <w:rsid w:val="27AA3E8F"/>
    <w:rsid w:val="419B4B71"/>
    <w:rsid w:val="42AB6114"/>
    <w:rsid w:val="4FCFD0C0"/>
    <w:rsid w:val="4FE47679"/>
    <w:rsid w:val="6C421B4F"/>
    <w:rsid w:val="757248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50" w:line="360" w:lineRule="auto"/>
    </w:pPr>
    <w:rPr>
      <w:rFonts w:eastAsia="宋体" w:asciiTheme="majorHAnsi" w:hAnsiTheme="majorHAnsi" w:cstheme="majorBidi"/>
      <w:sz w:val="24"/>
      <w:szCs w:val="22"/>
      <w:lang w:val="en-US" w:eastAsia="en-US" w:bidi="en-US"/>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1"/>
    <w:qFormat/>
    <w:uiPriority w:val="0"/>
    <w:pPr>
      <w:keepNext/>
      <w:keepLines/>
      <w:widowControl w:val="0"/>
      <w:tabs>
        <w:tab w:val="left" w:pos="1712"/>
      </w:tabs>
      <w:spacing w:before="260" w:beforeLines="0" w:after="260" w:line="416" w:lineRule="auto"/>
      <w:jc w:val="both"/>
      <w:outlineLvl w:val="2"/>
    </w:pPr>
    <w:rPr>
      <w:rFonts w:ascii="Times New Roman" w:hAnsi="Times New Roman" w:eastAsia="仿宋_GB2312" w:cs="Times New Roman"/>
      <w:b/>
      <w:bCs/>
      <w:kern w:val="2"/>
      <w:sz w:val="32"/>
      <w:szCs w:val="32"/>
      <w:lang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widowControl w:val="0"/>
      <w:tabs>
        <w:tab w:val="center" w:pos="4153"/>
        <w:tab w:val="right" w:pos="8306"/>
      </w:tabs>
      <w:snapToGrid w:val="0"/>
      <w:spacing w:beforeLines="0" w:line="240" w:lineRule="auto"/>
    </w:pPr>
    <w:rPr>
      <w:rFonts w:asciiTheme="minorHAnsi" w:hAnsiTheme="minorHAnsi" w:eastAsiaTheme="minorEastAsia" w:cstheme="minorBidi"/>
      <w:kern w:val="2"/>
      <w:sz w:val="18"/>
      <w:szCs w:val="18"/>
      <w:lang w:eastAsia="zh-CN" w:bidi="ar-SA"/>
    </w:rPr>
  </w:style>
  <w:style w:type="paragraph" w:styleId="5">
    <w:name w:val="header"/>
    <w:basedOn w:val="1"/>
    <w:link w:val="8"/>
    <w:unhideWhenUsed/>
    <w:qFormat/>
    <w:uiPriority w:val="99"/>
    <w:pPr>
      <w:widowControl w:val="0"/>
      <w:pBdr>
        <w:bottom w:val="single" w:color="auto" w:sz="6" w:space="1"/>
      </w:pBdr>
      <w:tabs>
        <w:tab w:val="center" w:pos="4153"/>
        <w:tab w:val="right" w:pos="8306"/>
      </w:tabs>
      <w:snapToGrid w:val="0"/>
      <w:spacing w:beforeLines="0" w:line="240" w:lineRule="auto"/>
      <w:jc w:val="center"/>
    </w:pPr>
    <w:rPr>
      <w:rFonts w:asciiTheme="minorHAnsi" w:hAnsiTheme="minorHAnsi" w:eastAsiaTheme="minorEastAsia" w:cstheme="minorBidi"/>
      <w:kern w:val="2"/>
      <w:sz w:val="18"/>
      <w:szCs w:val="18"/>
      <w:lang w:eastAsia="zh-CN" w:bidi="ar-SA"/>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列表段落1"/>
    <w:basedOn w:val="1"/>
    <w:qFormat/>
    <w:uiPriority w:val="0"/>
    <w:pPr>
      <w:ind w:firstLine="420" w:firstLineChars="200"/>
    </w:pPr>
  </w:style>
  <w:style w:type="character" w:customStyle="1" w:styleId="11">
    <w:name w:val="标题 3 Char"/>
    <w:basedOn w:val="7"/>
    <w:link w:val="3"/>
    <w:qFormat/>
    <w:uiPriority w:val="0"/>
    <w:rPr>
      <w:rFonts w:eastAsia="仿宋_GB2312"/>
      <w:b/>
      <w:bCs/>
      <w:kern w:val="2"/>
      <w:sz w:val="32"/>
      <w:szCs w:val="32"/>
    </w:rPr>
  </w:style>
  <w:style w:type="character" w:customStyle="1" w:styleId="12">
    <w:name w:val="标题 1 Char"/>
    <w:basedOn w:val="7"/>
    <w:link w:val="2"/>
    <w:qFormat/>
    <w:uiPriority w:val="9"/>
    <w:rPr>
      <w:rFonts w:asciiTheme="majorHAnsi" w:hAnsiTheme="majorHAnsi" w:cstheme="majorBidi"/>
      <w:b/>
      <w:bCs/>
      <w:kern w:val="44"/>
      <w:sz w:val="44"/>
      <w:szCs w:val="4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377</Words>
  <Characters>2150</Characters>
  <Lines>17</Lines>
  <Paragraphs>5</Paragraphs>
  <TotalTime>1</TotalTime>
  <ScaleCrop>false</ScaleCrop>
  <LinksUpToDate>false</LinksUpToDate>
  <CharactersWithSpaces>2522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2024-03-21T09:14:00Z</dcterms:created>
  <dc:creator>业涛 马</dc:creator>
  <cp:lastModifiedBy>Administrator</cp:lastModifiedBy>
  <dcterms:modified xsi:type="dcterms:W3CDTF">2024-04-09T02:04:04Z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F5249B323A554206A2F8D46004DC00F0_13</vt:lpwstr>
  </property>
</Properties>
</file>