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523"/>
        <w:gridCol w:w="7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5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货物名称</w:t>
            </w:r>
          </w:p>
        </w:tc>
        <w:tc>
          <w:tcPr>
            <w:tcW w:w="75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参数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3" w:type="dxa"/>
            <w:vAlign w:val="center"/>
          </w:tcPr>
          <w:p>
            <w:pPr>
              <w:tabs>
                <w:tab w:val="left" w:pos="207"/>
              </w:tabs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交互智能平板</w:t>
            </w:r>
          </w:p>
        </w:tc>
        <w:tc>
          <w:tcPr>
            <w:tcW w:w="753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一、整机要求：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1.整机采用一体设计，外部无任何可见内部功能模块连接线。边角采用弧形设计，表面无尖锐边缘或凸起。采用全金属外壳设计，边框为金属一体成型。屏幕采用</w:t>
            </w:r>
            <w:r>
              <w:rPr>
                <w:rStyle w:val="7"/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86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英寸液晶显示器。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2.嵌入式系统版本不低于Android 13。内存≥2GB。存储空间≥8GB。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（提供国家权威检测检测报告加盖厂家公章）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3.触控点数Windows和Android中≥40点触控。（提供国家权威检测检测报告加盖厂家公章）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4.整机支持DC调光，白颜色背景下最暗亮度≤100nit，用于提升显示对比度。（提供国家权威检测检测报告加盖厂家公章）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.整机系统支持手势上滑调出人工智能画质调节模式，在安卓通道下可根据屏幕内容自动调节画质参数，当屏幕出现人物、建筑、夜景等元素时，自动调整对比度、饱和度、锐利度、色调色相值、高光/阴影。（提供国家权威检测检测报告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6.整机具备至少6个前置按键，可实现开关机、调出中控菜单、音量+/-、护眼、录屏操作。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7.整机关机状态下，通过长按电源键进入设置界面后，可点击屏幕选择恢复Android系统及Windows操作系统到出厂默认状态，无需额外工具辅助。（提供国家权威检测检测报告加盖厂家公章）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8.支持云端在线系统固件升级。（提供国家权威检测检测报告加盖厂家公章）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.整机Windows通道支持文件传输应用，支持多人同时将手机文件传输到整机上；当手机端登录账号与整机一致时，接收文件不需要二次确认，当手机端登录账号与整机不一致时，且距离连接成功或上次传输超过3分钟，则接收文件需要二次确认。（提供国家权威检测检测报告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Style w:val="10"/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.整机Windows通道支持文件传输应用，支持通过扫码、超声两种方式与手机进行握手连接，实现文件传输功能。（提供国家权威检测检测报告加盖厂家公章）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Style w:val="10"/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.整机设备自带地震预警软件；支持在地震预警页面中获取位置，可以手动进行位置校准；支持在地震预警页面中选择提醒阈值；支持在地震预警界面中开启和关闭地震预警服务。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13.整机支持提笔书写，在Windows系统下可实现无需点击任意功能入口，当检测到红外笔笔尖接触屏幕时，自动进入书写模式。（提供国家权威检测检测报告加盖厂家公章）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14.整机支持手笔分离，通过提笔即写唤醒批注功能后，可进行手笔分离功能，使用笔正常书写，使用手指可以操作应用，进行点击操作。（提供国家权威检测检测报告加盖厂家公章）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二、扬声器与摄像头：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1.整机内置2.2声道扬声器，具备多方扬声器，额定总功率≥60W。（提供国家权威检测检测报告加盖厂家公章）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2.支持标准、听力、观影和AI空间感知音效模式，AI空间感知音效模式可通过内置麦克风采集教室物理环境声音，自动生成符合当前物理环境的频段、音量、音效。（提供国家权威检测检测报告加盖厂家公章）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3.整机内置非独立外扩展的4阵列麦克风，麦克风拾音距离≥12米。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4.整机上边框内置非独立摄像头，采用一体化集成设计，≥1300万像素数。（提供国家权威检测检测报告加盖厂家公章）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5.整机摄像头对角线视场角≥120度，可用于远程巡课。摄像头支持人脸识别、清点人数、随机抽人；同时显示标记不少于60人。（提供国家权威检测检测报告加盖厂家公章）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6.具备摄像头工作指示灯，摄像头运行时，有指示灯提示。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五、OPS模块：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1.处理器：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 w:bidi="ar-SA"/>
              </w:rPr>
              <w:t>Intel Core i5及以上，内存：8G ，硬盘≥256G SSD 固态硬盘，采用抽拉内置式模块化电脑，抽拉内置式，PC模块可插入整机，可实现无单独接线的插拔。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 w:bidi="ar-SA"/>
              </w:rPr>
              <w:t>2.为保证设备使用稳定性及兼容性，要求班班通与OPS模块必须为同一品牌厂家。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 w:bidi="ar-SA"/>
              </w:rPr>
              <w:t>六、信息安全管理系统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1、支持导出设备使用风险报告，整体分析设备网络安全状况，快速了解网络安全风险，提供安全规划建设建议（提供产品截图证明加盖厂家公章）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2、构建文件信誉库，当一台设备发现病毒文件，全网可感知并查杀，支持选择处置病毒时是否在其它终端上同步处置（提供产品截图证明加盖厂家公章）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3、支持对设备的漏洞情况进行扫描，查看漏洞具体情况及KB号，并显示具体修复情况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0"/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、支持展示流量分布排行、业务流量排行(发送，接收)、业务访问趋势（发送流速、接收流速和用户数）；服务器详情支持展示服务器的资源状态（CPU占有率、内存占有率和磁盘率）、流量分布排行、该服务器开放的服务；支持基于威胁情报的病毒特征值和域名全网终端搜索，可定位出全网该病毒的感染情况（提供产品截图证明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5、支持与同厂商的下一代防火墙联动，对僵尸网络进行举证、溯源和联动查杀（提供产品截图证明加盖厂家公章）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highlight w:val="none"/>
                <w:lang w:val="en-US" w:eastAsia="zh-CN" w:bidi="ar-SA"/>
              </w:rPr>
              <w:t>七、移动支架：配套移动支架</w:t>
            </w:r>
          </w:p>
        </w:tc>
      </w:tr>
    </w:tbl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商务要求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贵公司针对本项目的履约能力，所有要求必须完全满足：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1、提供对此项目出具的原厂家有效售后服务承诺</w:t>
      </w:r>
      <w:r>
        <w:rPr>
          <w:rFonts w:hint="eastAsia"/>
          <w:sz w:val="24"/>
          <w:lang w:eastAsia="zh-Hans"/>
        </w:rPr>
        <w:t>加盖厂家公章</w:t>
      </w:r>
      <w:r>
        <w:rPr>
          <w:rFonts w:hint="eastAsia"/>
          <w:sz w:val="24"/>
        </w:rPr>
        <w:t>，本次采购软硬件需提供三年免费质保及售后服务，报障后24小时内维护人员到现场，48小时内排除故障。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、响应的产品参数应等于或优于招标文件内要求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不允许负偏离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否则</w:t>
      </w:r>
      <w:r>
        <w:rPr>
          <w:rFonts w:hint="eastAsia"/>
          <w:sz w:val="24"/>
        </w:rPr>
        <w:t>视为不符合要求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报价无效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、报价结束后如需样机演示，报价公司需根据</w:t>
      </w:r>
      <w:r>
        <w:rPr>
          <w:rFonts w:hint="eastAsia"/>
          <w:sz w:val="24"/>
          <w:lang w:eastAsia="zh-CN"/>
        </w:rPr>
        <w:t>我单位</w:t>
      </w:r>
      <w:r>
        <w:rPr>
          <w:rFonts w:hint="eastAsia"/>
          <w:sz w:val="24"/>
        </w:rPr>
        <w:t>要求在规定时间提供</w:t>
      </w:r>
      <w:r>
        <w:rPr>
          <w:rFonts w:hint="eastAsia"/>
          <w:sz w:val="24"/>
          <w:lang w:eastAsia="zh-CN"/>
        </w:rPr>
        <w:t>我单位</w:t>
      </w:r>
      <w:r>
        <w:rPr>
          <w:rFonts w:hint="eastAsia"/>
          <w:sz w:val="24"/>
        </w:rPr>
        <w:t>要求的产品进行逐一功能比对，不满足视为不符合要求。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eastAsia="zh-Hans"/>
        </w:rPr>
        <w:t>参数要求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检测报告</w:t>
      </w:r>
      <w:r>
        <w:rPr>
          <w:rFonts w:hint="eastAsia"/>
          <w:sz w:val="24"/>
          <w:lang w:val="en-US" w:eastAsia="zh-CN"/>
        </w:rPr>
        <w:t>等资质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需</w:t>
      </w:r>
      <w:r>
        <w:rPr>
          <w:rFonts w:hint="eastAsia"/>
          <w:sz w:val="24"/>
        </w:rPr>
        <w:t>加盖厂家公章，缺项漏项或资质不对应视为不符合要求。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、中标供货后，将按照挂网参数进行逐一功能比对验收，如存在弄虚作假，功能不达标造成的一切损失由供应商自行承担，因此造成的使用交付延误损失由供应商承担，</w:t>
      </w:r>
      <w:r>
        <w:rPr>
          <w:rFonts w:hint="eastAsia"/>
          <w:sz w:val="24"/>
          <w:lang w:val="en-US" w:eastAsia="zh-CN"/>
        </w:rPr>
        <w:t>我单位</w:t>
      </w:r>
      <w:r>
        <w:rPr>
          <w:rFonts w:hint="eastAsia"/>
          <w:sz w:val="24"/>
        </w:rPr>
        <w:t>将视实际情况继续保留追责的权利。</w:t>
      </w:r>
    </w:p>
    <w:p>
      <w:pPr>
        <w:spacing w:line="360" w:lineRule="auto"/>
      </w:pPr>
      <w:r>
        <w:rPr>
          <w:rFonts w:hint="eastAsia"/>
          <w:sz w:val="24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4"/>
        </w:rPr>
        <w:t>、对项目内容和要求如有不明之处，请在</w:t>
      </w:r>
      <w:r>
        <w:rPr>
          <w:rFonts w:hint="eastAsia"/>
          <w:sz w:val="24"/>
          <w:lang w:val="en-US" w:eastAsia="zh-CN"/>
        </w:rPr>
        <w:t>报价前与我们</w:t>
      </w:r>
      <w:r>
        <w:rPr>
          <w:rFonts w:hint="eastAsia"/>
          <w:sz w:val="24"/>
        </w:rPr>
        <w:t>确认，最终以我</w:t>
      </w:r>
      <w:r>
        <w:rPr>
          <w:rFonts w:hint="eastAsia"/>
          <w:sz w:val="24"/>
          <w:lang w:val="en-US" w:eastAsia="zh-CN"/>
        </w:rPr>
        <w:t>单位</w:t>
      </w:r>
      <w:r>
        <w:rPr>
          <w:rFonts w:hint="eastAsia"/>
          <w:sz w:val="24"/>
        </w:rPr>
        <w:t>解释为准。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89B52"/>
    <w:multiLevelType w:val="multilevel"/>
    <w:tmpl w:val="60B89B52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Times New Roman" w:hAnsi="Times New Roman" w:cs="Times New Roman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D45AF"/>
    <w:rsid w:val="38D34AF6"/>
    <w:rsid w:val="5566781B"/>
    <w:rsid w:val="7DF107EF"/>
    <w:rsid w:val="7F5E8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left="575" w:hanging="575" w:firstLineChars="0"/>
      <w:outlineLvl w:val="1"/>
    </w:pPr>
    <w:rPr>
      <w:rFonts w:eastAsia="宋体" w:asciiTheme="majorAscii" w:hAnsiTheme="majorAscii" w:cstheme="majorBidi"/>
      <w:b/>
      <w:bCs/>
      <w:kern w:val="2"/>
      <w:sz w:val="32"/>
      <w:szCs w:val="32"/>
      <w:lang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rPr>
      <w:sz w:val="24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B05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2023-11-02T05:24:00Z</dcterms:created>
  <dc:creator>侯国瑞</dc:creator>
  <cp:lastModifiedBy>ww</cp:lastModifiedBy>
  <dcterms:modified xsi:type="dcterms:W3CDTF">2024-11-12T02:59:12Z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3A8585928188E736BBB73167F2C96730_43</vt:lpwstr>
  </property>
</Properties>
</file>