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87DCF10">
      <w:pPr>
        <w:spacing w:line="348" w:lineRule="auto"/>
        <w:rPr>
          <w:rFonts w:hint="eastAsia" w:ascii="仿宋" w:hAnsi="仿宋" w:eastAsia="仿宋" w:cs="仿宋"/>
          <w:b/>
          <w:bCs/>
          <w:kern w:val="0"/>
          <w:sz w:val="36"/>
          <w:szCs w:val="36"/>
          <w:lang w:val="en-US" w:eastAsia="zh-CN" w:bidi="ar-SA"/>
        </w:rPr>
      </w:pPr>
      <w:r>
        <w:rPr>
          <w:rFonts w:hint="eastAsia" w:ascii="仿宋" w:hAnsi="仿宋" w:eastAsia="仿宋" w:cs="仿宋"/>
          <w:b/>
          <w:bCs/>
          <w:kern w:val="0"/>
          <w:sz w:val="36"/>
          <w:szCs w:val="36"/>
          <w:lang w:val="en-US" w:eastAsia="zh-CN" w:bidi="ar-SA"/>
        </w:rPr>
        <w:t>维修采购要求：</w:t>
      </w:r>
    </w:p>
    <w:p w14:paraId="68695BC8">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1.根据我方单位所在地，为了便于工作，保证维修质量，竞价方经营场所位于阿图什，喀什市。</w:t>
      </w:r>
    </w:p>
    <w:p w14:paraId="0DBDD4DB">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2.配件有厂家防伪可查，</w:t>
      </w:r>
      <w:bookmarkStart w:id="0" w:name="_GoBack"/>
      <w:bookmarkEnd w:id="0"/>
      <w:r>
        <w:rPr>
          <w:rFonts w:hint="eastAsia" w:ascii="仿宋" w:hAnsi="仿宋" w:eastAsia="仿宋" w:cs="仿宋"/>
          <w:sz w:val="32"/>
          <w:szCs w:val="32"/>
          <w:lang w:val="en-US" w:eastAsia="zh-CN"/>
        </w:rPr>
        <w:br w:type="textWrapping"/>
      </w:r>
      <w:r>
        <w:rPr>
          <w:rFonts w:hint="eastAsia" w:ascii="仿宋" w:hAnsi="仿宋" w:eastAsia="仿宋" w:cs="仿宋"/>
          <w:sz w:val="32"/>
          <w:szCs w:val="32"/>
          <w:lang w:val="en-US" w:eastAsia="zh-CN"/>
        </w:rPr>
        <w:t xml:space="preserve">3.所采用的零部件、配件等材料必须符合国家及行业标准，不得使用假冒伪劣产品或以次充好，以旧顶新。 </w:t>
      </w:r>
    </w:p>
    <w:p w14:paraId="1D6D7793">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4.机油、轮胎、电瓶等品牌型号必须以上传清单为准。</w:t>
      </w:r>
    </w:p>
    <w:p w14:paraId="51C580E2">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5.所用材料、配件必须为原厂专用材料。所用材料、配件外包装必须要完好无损，现场拆封。</w:t>
      </w:r>
    </w:p>
    <w:p w14:paraId="4B844C64">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6.部分车辆维修需上门维修。</w:t>
      </w:r>
    </w:p>
    <w:p w14:paraId="2C1CCCC2">
      <w:pPr>
        <w:pStyle w:val="4"/>
        <w:ind w:left="0" w:leftChars="0" w:firstLine="0" w:firstLineChars="0"/>
        <w:rPr>
          <w:rFonts w:hint="default" w:ascii="仿宋" w:hAnsi="仿宋" w:eastAsia="仿宋" w:cs="仿宋"/>
          <w:sz w:val="32"/>
          <w:szCs w:val="32"/>
          <w:lang w:val="en-US" w:eastAsia="zh-CN"/>
        </w:rPr>
      </w:pPr>
      <w:r>
        <w:rPr>
          <w:rFonts w:hint="eastAsia" w:ascii="仿宋" w:hAnsi="仿宋" w:eastAsia="仿宋" w:cs="仿宋"/>
          <w:sz w:val="32"/>
          <w:szCs w:val="32"/>
          <w:lang w:val="en-US" w:eastAsia="zh-CN"/>
        </w:rPr>
        <w:t>7.根据《机动车维修管理规定》要求，</w:t>
      </w:r>
      <w:r>
        <w:rPr>
          <w:rFonts w:hint="default" w:ascii="仿宋" w:hAnsi="仿宋" w:eastAsia="仿宋" w:cs="仿宋"/>
          <w:sz w:val="32"/>
          <w:szCs w:val="32"/>
          <w:lang w:val="en-US" w:eastAsia="zh-CN"/>
        </w:rPr>
        <w:t> 机动车维修经营者应当使用规定的结算票据，并向托修方交付维修结算清单，作为托修方追责依据。维修结算清单中，工时费与材料费应当分项计算。维修结算清单应当符合交通运输部有关标准要求，维修结算清单内容应包括托修方信息、承修方信息、维修费用明细单等。机动车维修经营者不出具规定的结算票据和结算清单的，托修方有权拒绝支付费用。</w:t>
      </w:r>
    </w:p>
    <w:p w14:paraId="7E3A92F3">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8.根据《机动车维修管理规定》要求，机动车维修经营者不得使用假冒伪劣配件维修机动车。机动车维修配件实行追溯制度。机动车维修经营者应当记录配件采购、使用信息，查验产品合格证等相关证明，并按规定留存配件来源凭证。托修方、维修经营者可以使用同质配件维修机动车。同质配件是指，产品质量等同或者高于装车零部件标准要求，且具有良好装车性能的配件。机动车维修经营者对于换下的配件、总成，应当交托修方自行处理。机动车维修经营者应当将原厂配件、同质配件和修复配件分别标识，明码标价，供用户选择。</w:t>
      </w:r>
    </w:p>
    <w:p w14:paraId="7A6E9868">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9.根据《机动车维修管理规定》要求，机动车维修实行竣工出厂质量保证期制度。汽车和危险货物运输车辆整车修理或总成修理质量保证期为车辆行驶20000公里或者100日；二级维护质量保证期为车辆行驶5000公里或者30日；一级维护、小修及专项修理质量保证期为车辆行驶2000公里或者10日。</w:t>
      </w:r>
    </w:p>
    <w:p w14:paraId="77EA3343">
      <w:pPr>
        <w:pStyle w:val="4"/>
        <w:ind w:left="0" w:leftChars="0" w:firstLine="0" w:firstLineChars="0"/>
        <w:rPr>
          <w:rFonts w:hint="eastAsia" w:ascii="仿宋" w:hAnsi="仿宋" w:eastAsia="仿宋" w:cs="仿宋"/>
          <w:sz w:val="32"/>
          <w:szCs w:val="32"/>
          <w:lang w:val="en-US" w:eastAsia="zh-CN"/>
        </w:rPr>
      </w:pPr>
      <w:r>
        <w:rPr>
          <w:rFonts w:hint="eastAsia" w:ascii="仿宋" w:hAnsi="仿宋" w:eastAsia="仿宋" w:cs="仿宋"/>
          <w:sz w:val="32"/>
          <w:szCs w:val="32"/>
          <w:lang w:val="en-US" w:eastAsia="zh-CN"/>
        </w:rPr>
        <w:t>其他机动车整车修理或者总成修理质量保证期为机动车行驶6000公里或者60日；维护、小修及专项修理质量保证期为机动车行驶700公里或者7日。质量保证期中行驶里程和日期指标，以先达到者为准。机动车维修质量保证期，从维修竣工出厂之日起计算。在质量保证期和承诺的质量保证期内，因维修质量原因造成机动车无法正常使用，且承修方在3日内不能或者无法提供因非维修原因而造成机动车无法使用的相关证据的，机动车维修经营者应当及时无偿返修，不得故意拖延或者无理拒绝。在质量保证期内，机动车因同一故障或维修项目经两次修理仍不能正常使用的，机动车维修经营者应当负责联系其他机动车维修经营者，并承担相应修理费用。</w:t>
      </w:r>
    </w:p>
    <w:p w14:paraId="124DAED2"/>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F5B409C"/>
    <w:rsid w:val="7154164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 w:type="paragraph" w:customStyle="1" w:styleId="4">
    <w:name w:val="正文缩进1"/>
    <w:basedOn w:val="1"/>
    <w:autoRedefine/>
    <w:qFormat/>
    <w:uiPriority w:val="0"/>
    <w:pPr>
      <w:autoSpaceDE w:val="0"/>
      <w:autoSpaceDN w:val="0"/>
      <w:adjustRightInd w:val="0"/>
      <w:ind w:firstLine="420"/>
      <w:jc w:val="left"/>
    </w:pPr>
    <w:rPr>
      <w:rFonts w:ascii="宋体"/>
      <w:kern w:val="0"/>
      <w:sz w:val="24"/>
      <w:szCs w:val="20"/>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Pages>
  <Words>1005</Words>
  <Characters>1034</Characters>
  <Lines>0</Lines>
  <Paragraphs>0</Paragraphs>
  <TotalTime>0</TotalTime>
  <ScaleCrop>false</ScaleCrop>
  <LinksUpToDate>false</LinksUpToDate>
  <CharactersWithSpaces>1036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2025-04-02T03:40:00Z</dcterms:created>
  <dc:creator>Lenovo</dc:creator>
  <cp:lastModifiedBy>塔</cp:lastModifiedBy>
  <dcterms:modified xsi:type="dcterms:W3CDTF">2025-04-02T04:12:28Z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eyJoZGlkIjoiYWY2MDU0OGQ4YmNmOTFkYmY3MDI4YjUwMWMzNDFkN2IiLCJ1c2VySWQiOiI1MTc4NDQyOTMifQ==</vt:lpwstr>
  </property>
  <property fmtid="{D5CDD505-2E9C-101B-9397-08002B2CF9AE}" pid="4" name="ICV">
    <vt:lpwstr>90B0D9DA8F264916A9FD169FE0D43F9A_12</vt:lpwstr>
  </property>
</Properties>
</file>