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D3413D">
      <w:pPr>
        <w:shd w:val="clear" w:color="auto" w:fill="FFFFFF"/>
        <w:spacing w:after="75" w:line="360" w:lineRule="auto"/>
        <w:jc w:val="center"/>
        <w:rPr>
          <w:rFonts w:hint="eastAsia" w:ascii="宋体" w:hAnsi="宋体"/>
          <w:b/>
          <w:bCs/>
          <w:color w:val="FF0000"/>
          <w:sz w:val="44"/>
          <w:szCs w:val="44"/>
          <w:shd w:val="clear" w:color="auto" w:fill="FFFFFF"/>
        </w:rPr>
      </w:pPr>
      <w:r>
        <w:rPr>
          <w:rFonts w:hint="eastAsia" w:ascii="宋体" w:hAnsi="宋体"/>
          <w:b/>
          <w:bCs/>
          <w:color w:val="FF0000"/>
          <w:sz w:val="44"/>
          <w:szCs w:val="44"/>
          <w:shd w:val="clear" w:color="auto" w:fill="FFFFFF"/>
        </w:rPr>
        <w:t>环氧自流平</w:t>
      </w:r>
      <w:r>
        <w:rPr>
          <w:rFonts w:hint="eastAsia" w:ascii="宋体" w:hAnsi="宋体"/>
          <w:b/>
          <w:bCs/>
          <w:color w:val="FF0000"/>
          <w:sz w:val="44"/>
          <w:szCs w:val="44"/>
          <w:shd w:val="clear" w:color="auto" w:fill="FFFFFF"/>
          <w:lang w:val="en-US" w:eastAsia="zh-CN"/>
        </w:rPr>
        <w:t>+</w:t>
      </w:r>
      <w:r>
        <w:rPr>
          <w:rFonts w:hint="eastAsia" w:ascii="宋体" w:hAnsi="宋体"/>
          <w:b/>
          <w:bCs/>
          <w:color w:val="FF0000"/>
          <w:sz w:val="44"/>
          <w:szCs w:val="44"/>
          <w:shd w:val="clear" w:color="auto" w:fill="FFFFFF"/>
          <w:lang w:eastAsia="zh-CN"/>
        </w:rPr>
        <w:t>超耐磨罩面</w:t>
      </w:r>
    </w:p>
    <w:p w14:paraId="6D2CBE03">
      <w:pPr>
        <w:topLinePunct/>
        <w:spacing w:line="360" w:lineRule="auto"/>
        <w:ind w:firstLine="482" w:firstLineChars="200"/>
        <w:rPr>
          <w:rFonts w:ascii="宋体" w:hAnsi="宋体"/>
          <w:b/>
          <w:bCs/>
          <w:color w:val="0000FF"/>
          <w:sz w:val="24"/>
          <w:szCs w:val="24"/>
        </w:rPr>
      </w:pPr>
      <w:r>
        <w:rPr>
          <w:rFonts w:hint="eastAsia" w:ascii="宋体" w:hAnsi="宋体"/>
          <w:b/>
          <w:bCs/>
          <w:color w:val="0000FF"/>
          <w:sz w:val="24"/>
          <w:szCs w:val="24"/>
        </w:rPr>
        <w:t>工艺流程及做法结构</w:t>
      </w:r>
    </w:p>
    <w:p w14:paraId="45348BEE">
      <w:pPr>
        <w:topLinePunct/>
        <w:spacing w:line="432" w:lineRule="auto"/>
        <w:rPr>
          <w:rFonts w:ascii="Times New Roman" w:hAnsi="Times New Roman"/>
          <w:b/>
          <w:bCs/>
          <w:color w:val="0000FF"/>
          <w:sz w:val="24"/>
          <w:szCs w:val="24"/>
        </w:rPr>
      </w:pPr>
      <w:r>
        <w:rPr>
          <w:rFonts w:hint="eastAsia" w:ascii="宋体" w:hAnsi="宋体"/>
          <w:b/>
          <w:bCs/>
          <w:color w:val="0000FF"/>
          <w:sz w:val="24"/>
          <w:szCs w:val="24"/>
          <w:lang w:val="en-US" w:eastAsia="zh-CN"/>
        </w:rPr>
        <w:t>1</w:t>
      </w:r>
      <w:r>
        <w:rPr>
          <w:rFonts w:ascii="宋体" w:hAnsi="宋体"/>
          <w:b/>
          <w:bCs/>
          <w:color w:val="0000FF"/>
          <w:sz w:val="24"/>
          <w:szCs w:val="24"/>
        </w:rPr>
        <w:t>基层要求：</w:t>
      </w:r>
    </w:p>
    <w:p w14:paraId="32FABE02">
      <w:pPr>
        <w:topLinePunct/>
        <w:spacing w:line="432" w:lineRule="auto"/>
        <w:ind w:firstLine="480" w:firstLineChars="200"/>
        <w:rPr>
          <w:rFonts w:ascii="Times New Roman" w:hAnsi="Times New Roman"/>
          <w:sz w:val="24"/>
          <w:szCs w:val="24"/>
        </w:rPr>
      </w:pPr>
      <w:r>
        <w:rPr>
          <w:rFonts w:ascii="Times New Roman" w:hAnsi="Times New Roman"/>
          <w:sz w:val="24"/>
          <w:szCs w:val="24"/>
        </w:rPr>
        <w:t>1</w:t>
      </w:r>
      <w:r>
        <w:rPr>
          <w:rFonts w:ascii="宋体" w:hAnsi="宋体"/>
          <w:sz w:val="24"/>
          <w:szCs w:val="24"/>
        </w:rPr>
        <w:t>基层要求机械原浆收光，必须坚固、密实、强度必须符合设计要求。</w:t>
      </w:r>
    </w:p>
    <w:p w14:paraId="1A2147DA">
      <w:pPr>
        <w:topLinePunct/>
        <w:spacing w:line="432" w:lineRule="auto"/>
        <w:ind w:firstLine="480" w:firstLineChars="200"/>
        <w:rPr>
          <w:rFonts w:ascii="Times New Roman" w:hAnsi="Times New Roman"/>
          <w:sz w:val="24"/>
          <w:szCs w:val="24"/>
        </w:rPr>
      </w:pPr>
      <w:r>
        <w:rPr>
          <w:rFonts w:ascii="Times New Roman" w:hAnsi="Times New Roman"/>
          <w:sz w:val="24"/>
          <w:szCs w:val="24"/>
        </w:rPr>
        <w:t>2</w:t>
      </w:r>
      <w:r>
        <w:rPr>
          <w:rFonts w:ascii="宋体" w:hAnsi="宋体"/>
          <w:sz w:val="24"/>
          <w:szCs w:val="24"/>
        </w:rPr>
        <w:t>基层表面应平整，用</w:t>
      </w:r>
      <w:r>
        <w:rPr>
          <w:rFonts w:ascii="Times New Roman" w:hAnsi="Times New Roman"/>
          <w:sz w:val="24"/>
          <w:szCs w:val="24"/>
        </w:rPr>
        <w:t>2m</w:t>
      </w:r>
      <w:r>
        <w:rPr>
          <w:rFonts w:ascii="宋体" w:hAnsi="宋体"/>
          <w:sz w:val="24"/>
          <w:szCs w:val="24"/>
        </w:rPr>
        <w:t>靠尺检查，空隙</w:t>
      </w:r>
      <w:r>
        <w:rPr>
          <w:rFonts w:ascii="Times New Roman" w:hAnsi="Times New Roman"/>
          <w:sz w:val="24"/>
          <w:szCs w:val="24"/>
        </w:rPr>
        <w:t>≤3mm</w:t>
      </w:r>
      <w:r>
        <w:rPr>
          <w:rFonts w:ascii="宋体" w:hAnsi="宋体"/>
          <w:sz w:val="24"/>
          <w:szCs w:val="24"/>
        </w:rPr>
        <w:t>，若是平整度不够良好，则会在一定程度上影响成品表面效果，但是不会影响其使用效果。</w:t>
      </w:r>
    </w:p>
    <w:p w14:paraId="0B8EBE96">
      <w:pPr>
        <w:topLinePunct/>
        <w:spacing w:line="432" w:lineRule="auto"/>
        <w:ind w:firstLine="480" w:firstLineChars="200"/>
        <w:rPr>
          <w:rFonts w:ascii="Times New Roman" w:hAnsi="Times New Roman"/>
          <w:sz w:val="24"/>
          <w:szCs w:val="24"/>
        </w:rPr>
      </w:pPr>
      <w:r>
        <w:rPr>
          <w:rFonts w:ascii="Times New Roman" w:hAnsi="Times New Roman"/>
          <w:sz w:val="24"/>
          <w:szCs w:val="24"/>
        </w:rPr>
        <w:t>3</w:t>
      </w:r>
      <w:r>
        <w:rPr>
          <w:rFonts w:ascii="宋体" w:hAnsi="宋体"/>
          <w:sz w:val="24"/>
          <w:szCs w:val="24"/>
        </w:rPr>
        <w:t>基层必须干燥，在深度为</w:t>
      </w:r>
      <w:r>
        <w:rPr>
          <w:rFonts w:ascii="Times New Roman" w:hAnsi="Times New Roman"/>
          <w:sz w:val="24"/>
          <w:szCs w:val="24"/>
        </w:rPr>
        <w:t>20</w:t>
      </w:r>
      <w:r>
        <w:rPr>
          <w:rFonts w:ascii="宋体" w:hAnsi="宋体"/>
          <w:sz w:val="24"/>
          <w:szCs w:val="24"/>
        </w:rPr>
        <w:t>㎜的厚度层内，含水率不应大于</w:t>
      </w:r>
      <w:r>
        <w:rPr>
          <w:rFonts w:ascii="Times New Roman" w:hAnsi="Times New Roman"/>
          <w:sz w:val="24"/>
          <w:szCs w:val="24"/>
        </w:rPr>
        <w:t>6</w:t>
      </w:r>
      <w:r>
        <w:rPr>
          <w:rFonts w:ascii="宋体" w:hAnsi="宋体"/>
          <w:sz w:val="24"/>
          <w:szCs w:val="24"/>
        </w:rPr>
        <w:t>％，严禁有地下水渗漏；层含水率超标时，可采用通风、提高室内温度、液化气火烤法等方式降低混凝土含水率。</w:t>
      </w:r>
    </w:p>
    <w:p w14:paraId="2D591AEF">
      <w:pPr>
        <w:topLinePunct/>
        <w:spacing w:line="432" w:lineRule="auto"/>
        <w:ind w:firstLine="480" w:firstLineChars="200"/>
        <w:rPr>
          <w:rFonts w:ascii="Times New Roman" w:hAnsi="Times New Roman"/>
          <w:sz w:val="24"/>
          <w:szCs w:val="24"/>
        </w:rPr>
      </w:pPr>
      <w:r>
        <w:rPr>
          <w:rFonts w:ascii="Times New Roman" w:hAnsi="Times New Roman"/>
          <w:sz w:val="24"/>
          <w:szCs w:val="24"/>
        </w:rPr>
        <w:t>4</w:t>
      </w:r>
      <w:r>
        <w:rPr>
          <w:rFonts w:ascii="宋体" w:hAnsi="宋体"/>
          <w:sz w:val="24"/>
          <w:szCs w:val="24"/>
        </w:rPr>
        <w:t>基层不得有不均匀沉陷；不得有起砂、脱壳、裂缝、蜂窝麻面等现象。</w:t>
      </w:r>
    </w:p>
    <w:p w14:paraId="73822377">
      <w:pPr>
        <w:topLinePunct/>
        <w:spacing w:line="432" w:lineRule="auto"/>
        <w:ind w:firstLine="480" w:firstLineChars="200"/>
        <w:rPr>
          <w:rFonts w:ascii="Times New Roman" w:hAnsi="Times New Roman"/>
          <w:sz w:val="24"/>
          <w:szCs w:val="24"/>
        </w:rPr>
      </w:pPr>
      <w:r>
        <w:rPr>
          <w:rFonts w:ascii="Times New Roman" w:hAnsi="Times New Roman"/>
          <w:sz w:val="24"/>
          <w:szCs w:val="24"/>
        </w:rPr>
        <w:t>5</w:t>
      </w:r>
      <w:r>
        <w:rPr>
          <w:rFonts w:ascii="宋体" w:hAnsi="宋体"/>
          <w:sz w:val="24"/>
          <w:szCs w:val="24"/>
        </w:rPr>
        <w:t>凡穿过涂层面层的管道、套管、预留孔、预埋件，均应预先埋置或留设。</w:t>
      </w:r>
    </w:p>
    <w:p w14:paraId="5E762132">
      <w:pPr>
        <w:topLinePunct/>
        <w:spacing w:line="432" w:lineRule="auto"/>
        <w:rPr>
          <w:rFonts w:ascii="Times New Roman" w:hAnsi="Times New Roman"/>
          <w:b/>
          <w:bCs/>
          <w:color w:val="0000FF"/>
          <w:sz w:val="24"/>
          <w:szCs w:val="24"/>
        </w:rPr>
      </w:pPr>
      <w:r>
        <w:rPr>
          <w:rFonts w:ascii="Times New Roman" w:hAnsi="Times New Roman"/>
          <w:b/>
          <w:bCs/>
          <w:color w:val="0000FF"/>
          <w:sz w:val="24"/>
          <w:szCs w:val="24"/>
        </w:rPr>
        <w:t>2</w:t>
      </w:r>
      <w:r>
        <w:rPr>
          <w:rFonts w:ascii="宋体" w:hAnsi="宋体"/>
          <w:b/>
          <w:bCs/>
          <w:color w:val="0000FF"/>
          <w:sz w:val="24"/>
          <w:szCs w:val="24"/>
        </w:rPr>
        <w:t>基层处理</w:t>
      </w:r>
      <w:r>
        <w:rPr>
          <w:rFonts w:hint="eastAsia" w:ascii="宋体" w:hAnsi="宋体"/>
          <w:b/>
          <w:bCs/>
          <w:color w:val="0000FF"/>
          <w:sz w:val="24"/>
          <w:szCs w:val="24"/>
        </w:rPr>
        <w:t>（如图</w:t>
      </w:r>
      <w:r>
        <w:rPr>
          <w:rFonts w:hint="eastAsia" w:ascii="Times New Roman" w:hAnsi="宋体"/>
          <w:b/>
          <w:bCs/>
          <w:color w:val="0000FF"/>
          <w:sz w:val="24"/>
          <w:szCs w:val="24"/>
        </w:rPr>
        <w:t>1</w:t>
      </w:r>
      <w:r>
        <w:rPr>
          <w:rFonts w:hint="eastAsia" w:ascii="宋体" w:hAnsi="宋体"/>
          <w:b/>
          <w:bCs/>
          <w:color w:val="0000FF"/>
          <w:sz w:val="24"/>
          <w:szCs w:val="24"/>
        </w:rPr>
        <w:t>所示）</w:t>
      </w:r>
      <w:r>
        <w:rPr>
          <w:rFonts w:ascii="宋体" w:hAnsi="宋体"/>
          <w:b/>
          <w:bCs/>
          <w:color w:val="0000FF"/>
          <w:sz w:val="24"/>
          <w:szCs w:val="24"/>
        </w:rPr>
        <w:t>：</w:t>
      </w:r>
    </w:p>
    <w:p w14:paraId="20D7DD79">
      <w:pPr>
        <w:topLinePunct/>
        <w:spacing w:line="432" w:lineRule="auto"/>
        <w:ind w:firstLine="480" w:firstLineChars="200"/>
        <w:rPr>
          <w:rFonts w:ascii="Times New Roman" w:hAnsi="Times New Roman"/>
          <w:sz w:val="24"/>
          <w:szCs w:val="24"/>
        </w:rPr>
      </w:pPr>
      <w:r>
        <w:rPr>
          <w:rFonts w:ascii="Times New Roman" w:hAnsi="Times New Roman"/>
          <w:sz w:val="24"/>
          <w:szCs w:val="24"/>
        </w:rPr>
        <w:t>1</w:t>
      </w:r>
      <w:r>
        <w:rPr>
          <w:rFonts w:ascii="宋体" w:hAnsi="宋体"/>
          <w:sz w:val="24"/>
          <w:szCs w:val="24"/>
        </w:rPr>
        <w:t>采用专用地坪研磨机将表面打磨粗糙，并且打磨不平整处（仅能打磨掉几毫米，不能做大面积的修平处理），除去表面水泥渣及疏松层及附着物。</w:t>
      </w:r>
    </w:p>
    <w:p w14:paraId="0645635D">
      <w:pPr>
        <w:topLinePunct/>
        <w:spacing w:line="360" w:lineRule="auto"/>
        <w:jc w:val="center"/>
        <w:rPr>
          <w:rFonts w:ascii="Times New Roman" w:hAnsi="Times New Roman" w:cs="宋体"/>
          <w:color w:val="FF0000"/>
          <w:sz w:val="24"/>
          <w:szCs w:val="24"/>
        </w:rPr>
      </w:pPr>
      <w:r>
        <w:fldChar w:fldCharType="begin"/>
      </w:r>
      <w:r>
        <w:instrText xml:space="preserve"> INCLUDEPICTURE "C:\\Users\\ADMINI~1\\AppData\\Local\\Temp\\ksohtml6600\\wps3.jpg" \* MERGEFORMATINET </w:instrText>
      </w:r>
      <w:r>
        <w:fldChar w:fldCharType="separate"/>
      </w:r>
      <w:r>
        <w:drawing>
          <wp:inline distT="0" distB="0" distL="114300" distR="114300">
            <wp:extent cx="4323080" cy="2886075"/>
            <wp:effectExtent l="0" t="0" r="1270" b="9525"/>
            <wp:docPr id="3"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3"/>
                    <pic:cNvPicPr>
                      <a:picLocks noChangeAspect="1"/>
                    </pic:cNvPicPr>
                  </pic:nvPicPr>
                  <pic:blipFill>
                    <a:blip r:embed="rId4"/>
                    <a:stretch>
                      <a:fillRect/>
                    </a:stretch>
                  </pic:blipFill>
                  <pic:spPr>
                    <a:xfrm>
                      <a:off x="0" y="0"/>
                      <a:ext cx="4323080" cy="2886075"/>
                    </a:xfrm>
                    <a:prstGeom prst="rect">
                      <a:avLst/>
                    </a:prstGeom>
                    <a:noFill/>
                    <a:ln>
                      <a:noFill/>
                    </a:ln>
                  </pic:spPr>
                </pic:pic>
              </a:graphicData>
            </a:graphic>
          </wp:inline>
        </w:drawing>
      </w:r>
      <w:r>
        <w:fldChar w:fldCharType="end"/>
      </w:r>
      <w:r>
        <w:rPr>
          <w:rFonts w:hint="eastAsia" w:ascii="Times New Roman" w:hAnsi="Times New Roman"/>
          <w:color w:val="FF0000"/>
          <w:sz w:val="24"/>
          <w:szCs w:val="24"/>
        </w:rPr>
        <w:t xml:space="preserve"> </w:t>
      </w:r>
    </w:p>
    <w:p w14:paraId="06CD5100">
      <w:pPr>
        <w:topLinePunct/>
        <w:spacing w:line="360" w:lineRule="auto"/>
        <w:jc w:val="center"/>
        <w:rPr>
          <w:rFonts w:hint="eastAsia" w:ascii="Times New Roman" w:hAnsi="Times New Roman"/>
          <w:sz w:val="24"/>
          <w:szCs w:val="24"/>
        </w:rPr>
      </w:pPr>
      <w:r>
        <w:rPr>
          <w:rFonts w:hint="eastAsia" w:ascii="宋体" w:hAnsi="宋体"/>
          <w:sz w:val="24"/>
          <w:szCs w:val="24"/>
        </w:rPr>
        <w:t>图</w:t>
      </w:r>
      <w:r>
        <w:rPr>
          <w:rFonts w:hint="eastAsia" w:ascii="Times New Roman" w:hAnsi="Times New Roman"/>
          <w:sz w:val="24"/>
          <w:szCs w:val="24"/>
        </w:rPr>
        <w:t xml:space="preserve">1  </w:t>
      </w:r>
      <w:r>
        <w:rPr>
          <w:rFonts w:ascii="宋体" w:hAnsi="宋体"/>
          <w:sz w:val="24"/>
          <w:szCs w:val="24"/>
        </w:rPr>
        <w:t>基层打磨处理</w:t>
      </w:r>
    </w:p>
    <w:p w14:paraId="5D0637FC">
      <w:pPr>
        <w:topLinePunct/>
        <w:spacing w:line="432" w:lineRule="auto"/>
        <w:ind w:firstLine="480" w:firstLineChars="200"/>
        <w:rPr>
          <w:rFonts w:ascii="Times New Roman" w:hAnsi="Times New Roman"/>
          <w:sz w:val="24"/>
          <w:szCs w:val="24"/>
        </w:rPr>
      </w:pPr>
      <w:r>
        <w:rPr>
          <w:rFonts w:ascii="Times New Roman" w:hAnsi="Times New Roman"/>
          <w:sz w:val="24"/>
          <w:szCs w:val="24"/>
        </w:rPr>
        <w:t>2</w:t>
      </w:r>
      <w:r>
        <w:rPr>
          <w:rFonts w:ascii="宋体" w:hAnsi="宋体"/>
          <w:sz w:val="24"/>
          <w:szCs w:val="24"/>
        </w:rPr>
        <w:t>基层表面必须洁净，当正式施工时，用干净的软毛刷、工业吸尘器，将基层表面清理干净。</w:t>
      </w:r>
    </w:p>
    <w:p w14:paraId="0F82783C">
      <w:pPr>
        <w:topLinePunct/>
        <w:spacing w:line="432" w:lineRule="auto"/>
        <w:ind w:firstLine="480" w:firstLineChars="200"/>
        <w:rPr>
          <w:rFonts w:ascii="Times New Roman" w:hAnsi="Times New Roman"/>
          <w:sz w:val="24"/>
          <w:szCs w:val="24"/>
        </w:rPr>
      </w:pPr>
      <w:r>
        <w:rPr>
          <w:rFonts w:ascii="Times New Roman" w:hAnsi="Times New Roman"/>
          <w:sz w:val="24"/>
          <w:szCs w:val="24"/>
        </w:rPr>
        <w:t>3</w:t>
      </w:r>
      <w:r>
        <w:rPr>
          <w:rFonts w:ascii="宋体" w:hAnsi="宋体"/>
          <w:sz w:val="24"/>
          <w:szCs w:val="24"/>
        </w:rPr>
        <w:t>若已被油脂污染的基层表面，可使用洗涤剂、碱液或溶剂等洗涤及用天然气喷枪热处理洁净，然后将基层表面清洁干净。</w:t>
      </w:r>
    </w:p>
    <w:p w14:paraId="62ACE959">
      <w:pPr>
        <w:topLinePunct/>
        <w:spacing w:line="432" w:lineRule="auto"/>
        <w:ind w:firstLine="480" w:firstLineChars="200"/>
        <w:rPr>
          <w:rFonts w:ascii="Times New Roman" w:hAnsi="Times New Roman"/>
          <w:sz w:val="24"/>
          <w:szCs w:val="24"/>
        </w:rPr>
      </w:pPr>
      <w:r>
        <w:rPr>
          <w:rFonts w:ascii="Times New Roman" w:hAnsi="Times New Roman"/>
          <w:sz w:val="24"/>
          <w:szCs w:val="24"/>
        </w:rPr>
        <w:t>4</w:t>
      </w:r>
      <w:r>
        <w:rPr>
          <w:rFonts w:ascii="宋体" w:hAnsi="宋体"/>
          <w:sz w:val="24"/>
          <w:szCs w:val="24"/>
        </w:rPr>
        <w:t>对伸缩缝严重裂开的区域</w:t>
      </w:r>
      <w:r>
        <w:rPr>
          <w:rFonts w:ascii="Times New Roman" w:hAnsi="Times New Roman"/>
          <w:sz w:val="24"/>
          <w:szCs w:val="24"/>
        </w:rPr>
        <w:t>,</w:t>
      </w:r>
      <w:r>
        <w:rPr>
          <w:rFonts w:ascii="宋体" w:hAnsi="宋体"/>
          <w:sz w:val="24"/>
          <w:szCs w:val="24"/>
        </w:rPr>
        <w:t>采用切割机对裂纹处切开</w:t>
      </w:r>
      <w:r>
        <w:rPr>
          <w:rFonts w:ascii="Times New Roman" w:hAnsi="Times New Roman"/>
          <w:sz w:val="24"/>
          <w:szCs w:val="24"/>
        </w:rPr>
        <w:t>1.00-2.00CM</w:t>
      </w:r>
      <w:r>
        <w:rPr>
          <w:rFonts w:ascii="宋体" w:hAnsi="宋体"/>
          <w:sz w:val="24"/>
          <w:szCs w:val="24"/>
        </w:rPr>
        <w:t>的</w:t>
      </w:r>
      <w:r>
        <w:rPr>
          <w:rFonts w:ascii="Times New Roman" w:hAnsi="Times New Roman"/>
          <w:sz w:val="24"/>
          <w:szCs w:val="24"/>
        </w:rPr>
        <w:t>V</w:t>
      </w:r>
      <w:r>
        <w:rPr>
          <w:rFonts w:ascii="宋体" w:hAnsi="宋体"/>
          <w:sz w:val="24"/>
          <w:szCs w:val="24"/>
        </w:rPr>
        <w:t>字型槽</w:t>
      </w:r>
      <w:r>
        <w:rPr>
          <w:rFonts w:ascii="Times New Roman" w:hAnsi="Times New Roman"/>
          <w:sz w:val="24"/>
          <w:szCs w:val="24"/>
        </w:rPr>
        <w:t>,</w:t>
      </w:r>
      <w:r>
        <w:rPr>
          <w:rFonts w:ascii="宋体" w:hAnsi="宋体"/>
          <w:sz w:val="24"/>
          <w:szCs w:val="24"/>
        </w:rPr>
        <w:t>使用配比好的环氧树脂胶泥</w:t>
      </w:r>
      <w:r>
        <w:rPr>
          <w:rFonts w:ascii="Times New Roman" w:hAnsi="Times New Roman"/>
          <w:sz w:val="24"/>
          <w:szCs w:val="24"/>
        </w:rPr>
        <w:t>(</w:t>
      </w:r>
      <w:r>
        <w:rPr>
          <w:rFonts w:ascii="宋体" w:hAnsi="宋体"/>
          <w:sz w:val="24"/>
          <w:szCs w:val="24"/>
        </w:rPr>
        <w:t>环氧树脂中料加石英砂</w:t>
      </w:r>
      <w:r>
        <w:rPr>
          <w:rFonts w:ascii="Times New Roman" w:hAnsi="Times New Roman"/>
          <w:sz w:val="24"/>
          <w:szCs w:val="24"/>
        </w:rPr>
        <w:t>)</w:t>
      </w:r>
      <w:r>
        <w:rPr>
          <w:rFonts w:ascii="宋体" w:hAnsi="宋体"/>
          <w:sz w:val="24"/>
          <w:szCs w:val="24"/>
        </w:rPr>
        <w:t>进行勾缝</w:t>
      </w:r>
      <w:r>
        <w:rPr>
          <w:rFonts w:ascii="Times New Roman" w:hAnsi="Times New Roman"/>
          <w:sz w:val="24"/>
          <w:szCs w:val="24"/>
        </w:rPr>
        <w:t>,</w:t>
      </w:r>
      <w:r>
        <w:rPr>
          <w:rFonts w:ascii="宋体" w:hAnsi="宋体"/>
          <w:sz w:val="24"/>
          <w:szCs w:val="24"/>
        </w:rPr>
        <w:t>等环氧树脂胶泥完全固化后再对其进行打磨处理</w:t>
      </w:r>
      <w:r>
        <w:rPr>
          <w:rFonts w:ascii="Times New Roman" w:hAnsi="Times New Roman"/>
          <w:sz w:val="24"/>
          <w:szCs w:val="24"/>
        </w:rPr>
        <w:t>.</w:t>
      </w:r>
    </w:p>
    <w:p w14:paraId="5284B56B">
      <w:pPr>
        <w:topLinePunct/>
        <w:spacing w:line="432" w:lineRule="auto"/>
        <w:rPr>
          <w:rFonts w:ascii="Times New Roman" w:hAnsi="Times New Roman"/>
          <w:b/>
          <w:bCs/>
          <w:color w:val="0000FF"/>
          <w:sz w:val="24"/>
          <w:szCs w:val="24"/>
        </w:rPr>
      </w:pPr>
      <w:r>
        <w:rPr>
          <w:rFonts w:ascii="Times New Roman" w:hAnsi="Times New Roman"/>
          <w:b/>
          <w:bCs/>
          <w:color w:val="0000FF"/>
          <w:sz w:val="24"/>
          <w:szCs w:val="24"/>
        </w:rPr>
        <w:t>3</w:t>
      </w:r>
      <w:r>
        <w:rPr>
          <w:rFonts w:ascii="宋体" w:hAnsi="宋体"/>
          <w:b/>
          <w:bCs/>
          <w:color w:val="0000FF"/>
          <w:sz w:val="24"/>
          <w:szCs w:val="24"/>
        </w:rPr>
        <w:t>环氧树脂底漆一道</w:t>
      </w:r>
      <w:r>
        <w:rPr>
          <w:rFonts w:hint="eastAsia" w:ascii="宋体" w:hAnsi="宋体"/>
          <w:b/>
          <w:bCs/>
          <w:color w:val="0000FF"/>
          <w:sz w:val="24"/>
          <w:szCs w:val="24"/>
        </w:rPr>
        <w:t>（如图</w:t>
      </w:r>
      <w:r>
        <w:rPr>
          <w:rFonts w:hint="eastAsia" w:ascii="Times New Roman" w:hAnsi="宋体"/>
          <w:b/>
          <w:bCs/>
          <w:color w:val="0000FF"/>
          <w:sz w:val="24"/>
          <w:szCs w:val="24"/>
        </w:rPr>
        <w:t>2</w:t>
      </w:r>
      <w:r>
        <w:rPr>
          <w:rFonts w:hint="eastAsia" w:ascii="宋体" w:hAnsi="宋体"/>
          <w:b/>
          <w:bCs/>
          <w:color w:val="0000FF"/>
          <w:sz w:val="24"/>
          <w:szCs w:val="24"/>
        </w:rPr>
        <w:t>所示）</w:t>
      </w:r>
      <w:r>
        <w:rPr>
          <w:rFonts w:ascii="宋体" w:hAnsi="宋体"/>
          <w:b/>
          <w:bCs/>
          <w:color w:val="0000FF"/>
          <w:sz w:val="24"/>
          <w:szCs w:val="24"/>
        </w:rPr>
        <w:t>：</w:t>
      </w:r>
    </w:p>
    <w:p w14:paraId="71189C4B">
      <w:pPr>
        <w:topLinePunct/>
        <w:spacing w:line="432" w:lineRule="auto"/>
        <w:ind w:firstLine="480" w:firstLineChars="200"/>
        <w:rPr>
          <w:rFonts w:ascii="Times New Roman" w:hAnsi="Times New Roman"/>
          <w:sz w:val="24"/>
          <w:szCs w:val="24"/>
        </w:rPr>
      </w:pPr>
      <w:r>
        <w:rPr>
          <w:rFonts w:ascii="宋体" w:hAnsi="宋体"/>
          <w:sz w:val="24"/>
          <w:szCs w:val="24"/>
        </w:rPr>
        <w:t>涂刷前应做好墙裙周边物件防护措施，按配套工艺要求，配好环氧树脂底漆，采用羊毛刷或滚筒将配好的环氧树脂底涂刷于基础上，涂刷应均匀，无漏涂，无堆积。自然干燥</w:t>
      </w:r>
      <w:r>
        <w:rPr>
          <w:rFonts w:ascii="Times New Roman" w:hAnsi="Times New Roman"/>
          <w:sz w:val="24"/>
          <w:szCs w:val="24"/>
        </w:rPr>
        <w:t>24</w:t>
      </w:r>
      <w:r>
        <w:rPr>
          <w:rFonts w:ascii="宋体" w:hAnsi="宋体"/>
          <w:sz w:val="24"/>
          <w:szCs w:val="24"/>
        </w:rPr>
        <w:t>小时。</w:t>
      </w:r>
    </w:p>
    <w:p w14:paraId="403A0FA7">
      <w:pPr>
        <w:topLinePunct/>
        <w:spacing w:line="360" w:lineRule="auto"/>
        <w:jc w:val="center"/>
        <w:rPr>
          <w:rFonts w:ascii="Times New Roman" w:hAnsi="Times New Roman"/>
          <w:sz w:val="24"/>
          <w:szCs w:val="24"/>
        </w:rPr>
      </w:pPr>
      <w:r>
        <w:fldChar w:fldCharType="begin"/>
      </w:r>
      <w:r>
        <w:instrText xml:space="preserve"> INCLUDEPICTURE "C:\\Users\\ADMINI~1\\AppData\\Local\\Temp\\ksohtml6600\\wps4.png" \* MERGEFORMATINET </w:instrText>
      </w:r>
      <w:r>
        <w:fldChar w:fldCharType="separate"/>
      </w:r>
      <w:r>
        <w:drawing>
          <wp:inline distT="0" distB="0" distL="114300" distR="114300">
            <wp:extent cx="4323080" cy="2886075"/>
            <wp:effectExtent l="0" t="0" r="1270" b="9525"/>
            <wp:docPr id="4" name="图片 4"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ps4"/>
                    <pic:cNvPicPr>
                      <a:picLocks noChangeAspect="1"/>
                    </pic:cNvPicPr>
                  </pic:nvPicPr>
                  <pic:blipFill>
                    <a:blip r:embed="rId5"/>
                    <a:stretch>
                      <a:fillRect/>
                    </a:stretch>
                  </pic:blipFill>
                  <pic:spPr>
                    <a:xfrm>
                      <a:off x="0" y="0"/>
                      <a:ext cx="4323080" cy="2886075"/>
                    </a:xfrm>
                    <a:prstGeom prst="rect">
                      <a:avLst/>
                    </a:prstGeom>
                    <a:noFill/>
                    <a:ln>
                      <a:noFill/>
                    </a:ln>
                  </pic:spPr>
                </pic:pic>
              </a:graphicData>
            </a:graphic>
          </wp:inline>
        </w:drawing>
      </w:r>
      <w:r>
        <w:fldChar w:fldCharType="end"/>
      </w:r>
      <w:r>
        <w:rPr>
          <w:rFonts w:ascii="Times New Roman" w:hAnsi="Times New Roman"/>
          <w:sz w:val="24"/>
          <w:szCs w:val="24"/>
        </w:rPr>
        <w:t xml:space="preserve"> </w:t>
      </w:r>
    </w:p>
    <w:p w14:paraId="1B336552">
      <w:pPr>
        <w:topLinePunct/>
        <w:spacing w:line="360" w:lineRule="auto"/>
        <w:jc w:val="center"/>
        <w:rPr>
          <w:rFonts w:ascii="Times New Roman" w:hAnsi="Times New Roman"/>
          <w:sz w:val="24"/>
          <w:szCs w:val="24"/>
        </w:rPr>
      </w:pPr>
      <w:r>
        <w:rPr>
          <w:rFonts w:hint="eastAsia" w:ascii="宋体" w:hAnsi="宋体"/>
          <w:sz w:val="24"/>
          <w:szCs w:val="24"/>
        </w:rPr>
        <w:t>图</w:t>
      </w:r>
      <w:r>
        <w:rPr>
          <w:rFonts w:hint="eastAsia" w:ascii="Times New Roman" w:hAnsi="Times New Roman"/>
          <w:sz w:val="24"/>
          <w:szCs w:val="24"/>
        </w:rPr>
        <w:t xml:space="preserve">2  </w:t>
      </w:r>
      <w:r>
        <w:rPr>
          <w:rFonts w:ascii="宋体" w:hAnsi="宋体"/>
          <w:sz w:val="24"/>
          <w:szCs w:val="24"/>
        </w:rPr>
        <w:t>施工环氧树脂底漆</w:t>
      </w:r>
    </w:p>
    <w:p w14:paraId="14E096EE">
      <w:pPr>
        <w:topLinePunct/>
        <w:spacing w:line="432" w:lineRule="auto"/>
        <w:ind w:firstLine="482" w:firstLineChars="200"/>
        <w:rPr>
          <w:rFonts w:ascii="Times New Roman" w:hAnsi="Times New Roman"/>
          <w:b/>
          <w:bCs/>
          <w:sz w:val="24"/>
          <w:szCs w:val="24"/>
        </w:rPr>
      </w:pPr>
      <w:r>
        <w:rPr>
          <w:rFonts w:ascii="宋体" w:hAnsi="宋体"/>
          <w:b/>
          <w:bCs/>
          <w:sz w:val="24"/>
          <w:szCs w:val="24"/>
        </w:rPr>
        <w:t>作用：</w:t>
      </w:r>
      <w:r>
        <w:rPr>
          <w:rFonts w:ascii="Times New Roman" w:hAnsi="Times New Roman"/>
          <w:b/>
          <w:bCs/>
          <w:sz w:val="24"/>
          <w:szCs w:val="24"/>
        </w:rPr>
        <w:t xml:space="preserve"> </w:t>
      </w:r>
      <w:r>
        <w:rPr>
          <w:rFonts w:ascii="宋体" w:hAnsi="宋体"/>
          <w:b/>
          <w:bCs/>
          <w:sz w:val="24"/>
          <w:szCs w:val="24"/>
        </w:rPr>
        <w:t>渗入原有地面，增加环氧地坪漆与原地面的附着力。</w:t>
      </w:r>
    </w:p>
    <w:p w14:paraId="370502EB">
      <w:pPr>
        <w:topLinePunct/>
        <w:spacing w:line="432" w:lineRule="auto"/>
        <w:ind w:firstLine="480" w:firstLineChars="200"/>
        <w:rPr>
          <w:rFonts w:ascii="Times New Roman" w:hAnsi="Times New Roman"/>
          <w:color w:val="0070C0"/>
          <w:sz w:val="24"/>
          <w:szCs w:val="24"/>
        </w:rPr>
      </w:pPr>
      <w:r>
        <w:rPr>
          <w:rFonts w:ascii="宋体" w:hAnsi="宋体"/>
          <w:color w:val="0070C0"/>
          <w:sz w:val="24"/>
          <w:szCs w:val="24"/>
        </w:rPr>
        <w:t>环氧树脂底漆技术参数：</w:t>
      </w:r>
    </w:p>
    <w:tbl>
      <w:tblPr>
        <w:tblStyle w:val="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0"/>
        <w:gridCol w:w="5145"/>
        <w:gridCol w:w="2485"/>
      </w:tblGrid>
      <w:tr w14:paraId="004DC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1400" w:type="dxa"/>
            <w:tcBorders>
              <w:top w:val="single" w:color="000000" w:sz="4" w:space="0"/>
              <w:left w:val="single" w:color="000000" w:sz="4" w:space="0"/>
              <w:bottom w:val="single" w:color="000000" w:sz="4" w:space="0"/>
              <w:right w:val="single" w:color="000000" w:sz="4" w:space="0"/>
            </w:tcBorders>
            <w:noWrap w:val="0"/>
            <w:vAlign w:val="top"/>
          </w:tcPr>
          <w:p w14:paraId="56379856">
            <w:pPr>
              <w:topLinePunct/>
              <w:spacing w:line="432" w:lineRule="auto"/>
              <w:jc w:val="center"/>
              <w:rPr>
                <w:rFonts w:ascii="Times New Roman" w:hAnsi="Times New Roman"/>
                <w:color w:val="0070C0"/>
                <w:sz w:val="24"/>
                <w:szCs w:val="24"/>
              </w:rPr>
            </w:pPr>
            <w:r>
              <w:rPr>
                <w:rFonts w:ascii="Times New Roman" w:hAnsi="宋体"/>
                <w:color w:val="0070C0"/>
                <w:sz w:val="24"/>
                <w:szCs w:val="24"/>
              </w:rPr>
              <w:t>序号</w:t>
            </w:r>
          </w:p>
        </w:tc>
        <w:tc>
          <w:tcPr>
            <w:tcW w:w="5145" w:type="dxa"/>
            <w:tcBorders>
              <w:top w:val="single" w:color="000000" w:sz="4" w:space="0"/>
              <w:left w:val="nil"/>
              <w:bottom w:val="single" w:color="000000" w:sz="4" w:space="0"/>
              <w:right w:val="single" w:color="000000" w:sz="4" w:space="0"/>
            </w:tcBorders>
            <w:noWrap w:val="0"/>
            <w:vAlign w:val="top"/>
          </w:tcPr>
          <w:p w14:paraId="15F24BCD">
            <w:pPr>
              <w:topLinePunct/>
              <w:spacing w:line="432" w:lineRule="auto"/>
              <w:jc w:val="center"/>
              <w:rPr>
                <w:rFonts w:ascii="Times New Roman" w:hAnsi="Times New Roman"/>
                <w:color w:val="0070C0"/>
                <w:sz w:val="24"/>
                <w:szCs w:val="24"/>
              </w:rPr>
            </w:pPr>
            <w:r>
              <w:rPr>
                <w:rFonts w:ascii="Times New Roman" w:hAnsi="宋体"/>
                <w:color w:val="0070C0"/>
                <w:sz w:val="24"/>
                <w:szCs w:val="24"/>
              </w:rPr>
              <w:t>检验项目</w:t>
            </w:r>
          </w:p>
        </w:tc>
        <w:tc>
          <w:tcPr>
            <w:tcW w:w="2485" w:type="dxa"/>
            <w:tcBorders>
              <w:top w:val="single" w:color="000000" w:sz="4" w:space="0"/>
              <w:left w:val="nil"/>
              <w:bottom w:val="single" w:color="000000" w:sz="4" w:space="0"/>
              <w:right w:val="single" w:color="000000" w:sz="4" w:space="0"/>
            </w:tcBorders>
            <w:noWrap w:val="0"/>
            <w:vAlign w:val="top"/>
          </w:tcPr>
          <w:p w14:paraId="1C817CEE">
            <w:pPr>
              <w:topLinePunct/>
              <w:spacing w:line="432" w:lineRule="auto"/>
              <w:jc w:val="center"/>
              <w:rPr>
                <w:rFonts w:ascii="Times New Roman" w:hAnsi="Times New Roman"/>
                <w:color w:val="0070C0"/>
                <w:sz w:val="24"/>
                <w:szCs w:val="24"/>
              </w:rPr>
            </w:pPr>
            <w:r>
              <w:rPr>
                <w:rFonts w:ascii="Times New Roman" w:hAnsi="宋体"/>
                <w:color w:val="0070C0"/>
                <w:sz w:val="24"/>
                <w:szCs w:val="24"/>
              </w:rPr>
              <w:t>技术要求</w:t>
            </w:r>
          </w:p>
        </w:tc>
      </w:tr>
      <w:tr w14:paraId="5608D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1400" w:type="dxa"/>
            <w:tcBorders>
              <w:top w:val="single" w:color="000000" w:sz="4" w:space="0"/>
              <w:left w:val="single" w:color="000000" w:sz="4" w:space="0"/>
              <w:bottom w:val="single" w:color="000000" w:sz="4" w:space="0"/>
              <w:right w:val="single" w:color="000000" w:sz="4" w:space="0"/>
            </w:tcBorders>
            <w:noWrap w:val="0"/>
            <w:vAlign w:val="top"/>
          </w:tcPr>
          <w:p w14:paraId="7F99224C">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1</w:t>
            </w:r>
          </w:p>
        </w:tc>
        <w:tc>
          <w:tcPr>
            <w:tcW w:w="5145" w:type="dxa"/>
            <w:tcBorders>
              <w:top w:val="single" w:color="000000" w:sz="4" w:space="0"/>
              <w:left w:val="nil"/>
              <w:bottom w:val="single" w:color="000000" w:sz="4" w:space="0"/>
              <w:right w:val="single" w:color="000000" w:sz="4" w:space="0"/>
            </w:tcBorders>
            <w:noWrap w:val="0"/>
            <w:vAlign w:val="top"/>
          </w:tcPr>
          <w:p w14:paraId="5B38B585">
            <w:pPr>
              <w:topLinePunct/>
              <w:spacing w:line="432" w:lineRule="auto"/>
              <w:rPr>
                <w:rFonts w:ascii="Times New Roman" w:hAnsi="Times New Roman"/>
                <w:color w:val="0070C0"/>
                <w:sz w:val="24"/>
                <w:szCs w:val="24"/>
              </w:rPr>
            </w:pPr>
            <w:r>
              <w:rPr>
                <w:rFonts w:ascii="Times New Roman" w:hAnsi="宋体"/>
                <w:color w:val="0070C0"/>
                <w:sz w:val="24"/>
                <w:szCs w:val="24"/>
              </w:rPr>
              <w:t>附着力（划格间距</w:t>
            </w:r>
            <w:r>
              <w:rPr>
                <w:rFonts w:ascii="Times New Roman" w:hAnsi="Times New Roman"/>
                <w:color w:val="0070C0"/>
                <w:sz w:val="24"/>
                <w:szCs w:val="24"/>
              </w:rPr>
              <w:t>1mm</w:t>
            </w:r>
            <w:r>
              <w:rPr>
                <w:rFonts w:ascii="Times New Roman" w:hAnsi="宋体"/>
                <w:color w:val="0070C0"/>
                <w:sz w:val="24"/>
                <w:szCs w:val="24"/>
              </w:rPr>
              <w:t>），级</w:t>
            </w:r>
          </w:p>
        </w:tc>
        <w:tc>
          <w:tcPr>
            <w:tcW w:w="2485" w:type="dxa"/>
            <w:tcBorders>
              <w:top w:val="single" w:color="000000" w:sz="4" w:space="0"/>
              <w:left w:val="nil"/>
              <w:bottom w:val="single" w:color="000000" w:sz="4" w:space="0"/>
              <w:right w:val="single" w:color="000000" w:sz="4" w:space="0"/>
            </w:tcBorders>
            <w:noWrap w:val="0"/>
            <w:vAlign w:val="top"/>
          </w:tcPr>
          <w:p w14:paraId="49B406E8">
            <w:pPr>
              <w:topLinePunct/>
              <w:spacing w:line="432" w:lineRule="auto"/>
              <w:jc w:val="center"/>
              <w:rPr>
                <w:rFonts w:ascii="Times New Roman" w:hAnsi="Times New Roman"/>
                <w:color w:val="0070C0"/>
                <w:sz w:val="24"/>
                <w:szCs w:val="24"/>
              </w:rPr>
            </w:pPr>
            <w:r>
              <w:rPr>
                <w:rFonts w:hint="eastAsia" w:ascii="宋体" w:hAnsi="宋体"/>
                <w:color w:val="0070C0"/>
                <w:sz w:val="24"/>
                <w:szCs w:val="24"/>
              </w:rPr>
              <w:t>≤</w:t>
            </w:r>
            <w:r>
              <w:rPr>
                <w:rFonts w:ascii="Times New Roman" w:hAnsi="Times New Roman"/>
                <w:color w:val="0070C0"/>
                <w:sz w:val="24"/>
                <w:szCs w:val="24"/>
              </w:rPr>
              <w:t>1</w:t>
            </w:r>
          </w:p>
        </w:tc>
      </w:tr>
      <w:tr w14:paraId="02BE2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1400" w:type="dxa"/>
            <w:tcBorders>
              <w:top w:val="single" w:color="000000" w:sz="4" w:space="0"/>
              <w:left w:val="single" w:color="000000" w:sz="4" w:space="0"/>
              <w:bottom w:val="single" w:color="000000" w:sz="4" w:space="0"/>
              <w:right w:val="single" w:color="000000" w:sz="4" w:space="0"/>
            </w:tcBorders>
            <w:noWrap w:val="0"/>
            <w:vAlign w:val="top"/>
          </w:tcPr>
          <w:p w14:paraId="22547A7F">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2</w:t>
            </w:r>
          </w:p>
        </w:tc>
        <w:tc>
          <w:tcPr>
            <w:tcW w:w="5145" w:type="dxa"/>
            <w:tcBorders>
              <w:top w:val="single" w:color="000000" w:sz="4" w:space="0"/>
              <w:left w:val="nil"/>
              <w:bottom w:val="single" w:color="000000" w:sz="4" w:space="0"/>
              <w:right w:val="single" w:color="000000" w:sz="4" w:space="0"/>
            </w:tcBorders>
            <w:noWrap w:val="0"/>
            <w:vAlign w:val="top"/>
          </w:tcPr>
          <w:p w14:paraId="067EE2CD">
            <w:pPr>
              <w:topLinePunct/>
              <w:spacing w:line="432" w:lineRule="auto"/>
              <w:rPr>
                <w:rFonts w:ascii="Times New Roman" w:hAnsi="Times New Roman"/>
                <w:color w:val="0070C0"/>
                <w:sz w:val="24"/>
                <w:szCs w:val="24"/>
              </w:rPr>
            </w:pPr>
            <w:r>
              <w:rPr>
                <w:rFonts w:ascii="Times New Roman" w:hAnsi="宋体"/>
                <w:color w:val="0070C0"/>
                <w:sz w:val="24"/>
                <w:szCs w:val="24"/>
              </w:rPr>
              <w:t>柔韧性，</w:t>
            </w:r>
            <w:r>
              <w:rPr>
                <w:rFonts w:ascii="Times New Roman" w:hAnsi="Times New Roman"/>
                <w:color w:val="0070C0"/>
                <w:sz w:val="24"/>
                <w:szCs w:val="24"/>
              </w:rPr>
              <w:t>mm</w:t>
            </w:r>
          </w:p>
        </w:tc>
        <w:tc>
          <w:tcPr>
            <w:tcW w:w="2485" w:type="dxa"/>
            <w:tcBorders>
              <w:top w:val="single" w:color="000000" w:sz="4" w:space="0"/>
              <w:left w:val="nil"/>
              <w:bottom w:val="single" w:color="000000" w:sz="4" w:space="0"/>
              <w:right w:val="single" w:color="000000" w:sz="4" w:space="0"/>
            </w:tcBorders>
            <w:noWrap w:val="0"/>
            <w:vAlign w:val="top"/>
          </w:tcPr>
          <w:p w14:paraId="135DF09D">
            <w:pPr>
              <w:topLinePunct/>
              <w:spacing w:line="432" w:lineRule="auto"/>
              <w:jc w:val="center"/>
              <w:rPr>
                <w:rFonts w:ascii="Times New Roman" w:hAnsi="Times New Roman"/>
                <w:color w:val="0070C0"/>
                <w:sz w:val="24"/>
                <w:szCs w:val="24"/>
              </w:rPr>
            </w:pPr>
            <w:r>
              <w:rPr>
                <w:rFonts w:hint="eastAsia" w:ascii="宋体" w:hAnsi="宋体"/>
                <w:color w:val="0070C0"/>
                <w:sz w:val="24"/>
                <w:szCs w:val="24"/>
              </w:rPr>
              <w:t>≤</w:t>
            </w:r>
            <w:r>
              <w:rPr>
                <w:rFonts w:ascii="Times New Roman" w:hAnsi="Times New Roman"/>
                <w:color w:val="0070C0"/>
                <w:sz w:val="24"/>
                <w:szCs w:val="24"/>
              </w:rPr>
              <w:t>2</w:t>
            </w:r>
          </w:p>
        </w:tc>
      </w:tr>
      <w:tr w14:paraId="0B6FD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jc w:val="center"/>
        </w:trPr>
        <w:tc>
          <w:tcPr>
            <w:tcW w:w="9030" w:type="dxa"/>
            <w:gridSpan w:val="3"/>
            <w:tcBorders>
              <w:top w:val="single" w:color="000000" w:sz="4" w:space="0"/>
              <w:left w:val="single" w:color="000000" w:sz="4" w:space="0"/>
              <w:bottom w:val="single" w:color="000000" w:sz="4" w:space="0"/>
              <w:right w:val="single" w:color="000000" w:sz="4" w:space="0"/>
            </w:tcBorders>
            <w:noWrap w:val="0"/>
            <w:vAlign w:val="top"/>
          </w:tcPr>
          <w:p w14:paraId="6A7E043F">
            <w:pPr>
              <w:topLinePunct/>
              <w:spacing w:line="432" w:lineRule="auto"/>
              <w:rPr>
                <w:rFonts w:ascii="Times New Roman" w:hAnsi="Times New Roman"/>
                <w:color w:val="0070C0"/>
                <w:sz w:val="24"/>
                <w:szCs w:val="24"/>
              </w:rPr>
            </w:pPr>
            <w:r>
              <w:rPr>
                <w:rFonts w:ascii="Times New Roman" w:hAnsi="宋体"/>
                <w:color w:val="0070C0"/>
                <w:sz w:val="24"/>
                <w:szCs w:val="24"/>
              </w:rPr>
              <w:t>备注：应将</w:t>
            </w:r>
            <w:r>
              <w:rPr>
                <w:rFonts w:ascii="Times New Roman" w:hAnsi="Times New Roman"/>
                <w:color w:val="0070C0"/>
                <w:sz w:val="24"/>
                <w:szCs w:val="24"/>
              </w:rPr>
              <w:t>A</w:t>
            </w:r>
            <w:r>
              <w:rPr>
                <w:rFonts w:ascii="Times New Roman" w:hAnsi="宋体"/>
                <w:color w:val="0070C0"/>
                <w:sz w:val="24"/>
                <w:szCs w:val="24"/>
              </w:rPr>
              <w:t>与</w:t>
            </w:r>
            <w:r>
              <w:rPr>
                <w:rFonts w:ascii="Times New Roman" w:hAnsi="Times New Roman"/>
                <w:color w:val="0070C0"/>
                <w:sz w:val="24"/>
                <w:szCs w:val="24"/>
              </w:rPr>
              <w:t>B</w:t>
            </w:r>
            <w:r>
              <w:rPr>
                <w:rFonts w:ascii="Times New Roman" w:hAnsi="宋体"/>
                <w:color w:val="0070C0"/>
                <w:sz w:val="24"/>
                <w:szCs w:val="24"/>
              </w:rPr>
              <w:t>按相应比例混合后进行制样</w:t>
            </w:r>
          </w:p>
        </w:tc>
      </w:tr>
    </w:tbl>
    <w:p w14:paraId="6A127364">
      <w:pPr>
        <w:topLinePunct/>
        <w:spacing w:line="432" w:lineRule="auto"/>
        <w:rPr>
          <w:rFonts w:ascii="Times New Roman" w:hAnsi="Times New Roman"/>
          <w:b/>
          <w:bCs/>
          <w:color w:val="0000FF"/>
          <w:sz w:val="24"/>
          <w:szCs w:val="24"/>
        </w:rPr>
      </w:pPr>
      <w:r>
        <w:rPr>
          <w:rFonts w:ascii="Times New Roman" w:hAnsi="Times New Roman"/>
          <w:b/>
          <w:bCs/>
          <w:color w:val="0000FF"/>
          <w:sz w:val="24"/>
          <w:szCs w:val="24"/>
        </w:rPr>
        <w:t>4</w:t>
      </w:r>
      <w:r>
        <w:rPr>
          <w:rFonts w:ascii="宋体" w:hAnsi="宋体"/>
          <w:b/>
          <w:bCs/>
          <w:color w:val="0000FF"/>
          <w:sz w:val="24"/>
          <w:szCs w:val="24"/>
        </w:rPr>
        <w:t>批刮环氧树脂砂浆一层</w:t>
      </w:r>
      <w:r>
        <w:rPr>
          <w:rFonts w:hint="eastAsia" w:ascii="宋体" w:hAnsi="宋体"/>
          <w:b/>
          <w:bCs/>
          <w:color w:val="0000FF"/>
          <w:sz w:val="24"/>
          <w:szCs w:val="24"/>
        </w:rPr>
        <w:t>（如图</w:t>
      </w:r>
      <w:r>
        <w:rPr>
          <w:rFonts w:hint="eastAsia" w:ascii="Times New Roman" w:hAnsi="宋体"/>
          <w:b/>
          <w:bCs/>
          <w:color w:val="0000FF"/>
          <w:sz w:val="24"/>
          <w:szCs w:val="24"/>
        </w:rPr>
        <w:t>3</w:t>
      </w:r>
      <w:r>
        <w:rPr>
          <w:rFonts w:hint="eastAsia" w:ascii="宋体" w:hAnsi="宋体"/>
          <w:b/>
          <w:bCs/>
          <w:color w:val="0000FF"/>
          <w:sz w:val="24"/>
          <w:szCs w:val="24"/>
        </w:rPr>
        <w:t>所示）</w:t>
      </w:r>
      <w:r>
        <w:rPr>
          <w:rFonts w:ascii="宋体" w:hAnsi="宋体"/>
          <w:b/>
          <w:bCs/>
          <w:color w:val="0000FF"/>
          <w:sz w:val="24"/>
          <w:szCs w:val="24"/>
        </w:rPr>
        <w:t>：</w:t>
      </w:r>
    </w:p>
    <w:p w14:paraId="00831D9A">
      <w:pPr>
        <w:topLinePunct/>
        <w:spacing w:line="432" w:lineRule="auto"/>
        <w:ind w:firstLine="480" w:firstLineChars="200"/>
        <w:rPr>
          <w:rFonts w:ascii="Times New Roman" w:hAnsi="Times New Roman"/>
          <w:sz w:val="24"/>
          <w:szCs w:val="24"/>
        </w:rPr>
      </w:pPr>
      <w:r>
        <w:rPr>
          <w:rFonts w:ascii="宋体" w:hAnsi="宋体"/>
          <w:sz w:val="24"/>
          <w:szCs w:val="24"/>
        </w:rPr>
        <w:t>待环氧树脂底漆自然干燥后，将环氧树脂中料和</w:t>
      </w:r>
      <w:r>
        <w:rPr>
          <w:rFonts w:ascii="Times New Roman" w:hAnsi="Times New Roman"/>
          <w:sz w:val="24"/>
          <w:szCs w:val="24"/>
        </w:rPr>
        <w:t>80</w:t>
      </w:r>
      <w:r>
        <w:rPr>
          <w:rFonts w:ascii="宋体" w:hAnsi="宋体"/>
          <w:sz w:val="24"/>
          <w:szCs w:val="24"/>
        </w:rPr>
        <w:t>目天然石英砂按配制工艺配好，在环氧树脂底漆表面批刮一道，要求批刮均匀、平整、无刮痕。</w:t>
      </w:r>
    </w:p>
    <w:p w14:paraId="041815AB">
      <w:pPr>
        <w:topLinePunct/>
        <w:spacing w:line="432" w:lineRule="auto"/>
        <w:jc w:val="center"/>
        <w:rPr>
          <w:rFonts w:ascii="Times New Roman" w:hAnsi="Times New Roman"/>
          <w:sz w:val="24"/>
          <w:szCs w:val="24"/>
        </w:rPr>
      </w:pPr>
      <w:r>
        <w:fldChar w:fldCharType="begin"/>
      </w:r>
      <w:r>
        <w:instrText xml:space="preserve"> INCLUDEPICTURE "C:\\Users\\ADMINI~1\\AppData\\Local\\Temp\\ksohtml6600\\wps5.jpg" \* MERGEFORMATINET </w:instrText>
      </w:r>
      <w:r>
        <w:fldChar w:fldCharType="separate"/>
      </w:r>
      <w:r>
        <w:drawing>
          <wp:inline distT="0" distB="0" distL="114300" distR="114300">
            <wp:extent cx="4323080" cy="2886075"/>
            <wp:effectExtent l="0" t="0" r="1270" b="9525"/>
            <wp:docPr id="5" name="图片 5"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5"/>
                    <pic:cNvPicPr>
                      <a:picLocks noChangeAspect="1"/>
                    </pic:cNvPicPr>
                  </pic:nvPicPr>
                  <pic:blipFill>
                    <a:blip r:embed="rId6"/>
                    <a:stretch>
                      <a:fillRect/>
                    </a:stretch>
                  </pic:blipFill>
                  <pic:spPr>
                    <a:xfrm>
                      <a:off x="0" y="0"/>
                      <a:ext cx="4323080" cy="2886075"/>
                    </a:xfrm>
                    <a:prstGeom prst="rect">
                      <a:avLst/>
                    </a:prstGeom>
                    <a:noFill/>
                    <a:ln>
                      <a:noFill/>
                    </a:ln>
                  </pic:spPr>
                </pic:pic>
              </a:graphicData>
            </a:graphic>
          </wp:inline>
        </w:drawing>
      </w:r>
      <w:r>
        <w:fldChar w:fldCharType="end"/>
      </w:r>
      <w:r>
        <w:rPr>
          <w:rFonts w:ascii="Times New Roman" w:hAnsi="Times New Roman"/>
          <w:sz w:val="24"/>
          <w:szCs w:val="24"/>
        </w:rPr>
        <w:t xml:space="preserve"> </w:t>
      </w:r>
    </w:p>
    <w:p w14:paraId="6A8CEFD7">
      <w:pPr>
        <w:topLinePunct/>
        <w:spacing w:line="432" w:lineRule="auto"/>
        <w:jc w:val="center"/>
        <w:rPr>
          <w:rFonts w:ascii="Times New Roman" w:hAnsi="Times New Roman"/>
          <w:sz w:val="24"/>
          <w:szCs w:val="24"/>
        </w:rPr>
      </w:pPr>
      <w:r>
        <w:rPr>
          <w:rFonts w:hint="eastAsia" w:ascii="宋体" w:hAnsi="宋体"/>
          <w:sz w:val="24"/>
          <w:szCs w:val="24"/>
        </w:rPr>
        <w:t>图</w:t>
      </w:r>
      <w:r>
        <w:rPr>
          <w:rFonts w:hint="eastAsia" w:ascii="Times New Roman" w:hAnsi="Times New Roman"/>
          <w:sz w:val="24"/>
          <w:szCs w:val="24"/>
        </w:rPr>
        <w:t xml:space="preserve">3  </w:t>
      </w:r>
      <w:r>
        <w:rPr>
          <w:rFonts w:ascii="宋体" w:hAnsi="宋体"/>
          <w:sz w:val="24"/>
          <w:szCs w:val="24"/>
        </w:rPr>
        <w:t>批刮环氧树脂砂浆层</w:t>
      </w:r>
    </w:p>
    <w:p w14:paraId="68FA0A6A">
      <w:pPr>
        <w:topLinePunct/>
        <w:spacing w:line="432" w:lineRule="auto"/>
        <w:ind w:firstLine="482" w:firstLineChars="200"/>
        <w:rPr>
          <w:rFonts w:ascii="Times New Roman" w:hAnsi="Times New Roman"/>
          <w:b/>
          <w:bCs/>
          <w:sz w:val="24"/>
          <w:szCs w:val="24"/>
        </w:rPr>
      </w:pPr>
      <w:r>
        <w:rPr>
          <w:rFonts w:ascii="宋体" w:hAnsi="宋体"/>
          <w:b/>
          <w:bCs/>
          <w:sz w:val="24"/>
          <w:szCs w:val="24"/>
        </w:rPr>
        <w:t>作用：抗压、耐磨层，增强环氧地坪的抗压耐磨度。</w:t>
      </w:r>
    </w:p>
    <w:p w14:paraId="66AC6D95">
      <w:pPr>
        <w:topLinePunct/>
        <w:spacing w:line="432" w:lineRule="auto"/>
        <w:rPr>
          <w:rFonts w:ascii="Times New Roman" w:hAnsi="Times New Roman"/>
          <w:b/>
          <w:bCs/>
          <w:color w:val="0000FF"/>
          <w:sz w:val="24"/>
          <w:szCs w:val="24"/>
        </w:rPr>
      </w:pPr>
      <w:r>
        <w:rPr>
          <w:rFonts w:ascii="Times New Roman" w:hAnsi="Times New Roman"/>
          <w:b/>
          <w:bCs/>
          <w:color w:val="0000FF"/>
          <w:sz w:val="24"/>
          <w:szCs w:val="24"/>
        </w:rPr>
        <w:t>5</w:t>
      </w:r>
      <w:r>
        <w:rPr>
          <w:rFonts w:ascii="宋体" w:hAnsi="宋体"/>
          <w:b/>
          <w:bCs/>
          <w:color w:val="0000FF"/>
          <w:sz w:val="24"/>
          <w:szCs w:val="24"/>
        </w:rPr>
        <w:t>批刮环氧树脂腻子一道</w:t>
      </w:r>
      <w:r>
        <w:rPr>
          <w:rFonts w:hint="eastAsia" w:ascii="宋体" w:hAnsi="宋体"/>
          <w:b/>
          <w:bCs/>
          <w:color w:val="0000FF"/>
          <w:sz w:val="24"/>
          <w:szCs w:val="24"/>
        </w:rPr>
        <w:t>（如图</w:t>
      </w:r>
      <w:r>
        <w:rPr>
          <w:rFonts w:hint="eastAsia" w:ascii="Times New Roman" w:hAnsi="宋体"/>
          <w:b/>
          <w:bCs/>
          <w:color w:val="0000FF"/>
          <w:sz w:val="24"/>
          <w:szCs w:val="24"/>
        </w:rPr>
        <w:t>4</w:t>
      </w:r>
      <w:r>
        <w:rPr>
          <w:rFonts w:hint="eastAsia" w:ascii="宋体" w:hAnsi="宋体"/>
          <w:b/>
          <w:bCs/>
          <w:color w:val="0000FF"/>
          <w:sz w:val="24"/>
          <w:szCs w:val="24"/>
        </w:rPr>
        <w:t>所示）</w:t>
      </w:r>
      <w:r>
        <w:rPr>
          <w:rFonts w:ascii="宋体" w:hAnsi="宋体"/>
          <w:b/>
          <w:bCs/>
          <w:color w:val="0000FF"/>
          <w:sz w:val="24"/>
          <w:szCs w:val="24"/>
        </w:rPr>
        <w:t>：</w:t>
      </w:r>
    </w:p>
    <w:p w14:paraId="794DB553">
      <w:pPr>
        <w:topLinePunct/>
        <w:spacing w:line="432" w:lineRule="auto"/>
        <w:ind w:firstLine="480" w:firstLineChars="200"/>
        <w:rPr>
          <w:rFonts w:ascii="Times New Roman" w:hAnsi="宋体" w:cs="宋体"/>
          <w:sz w:val="24"/>
          <w:szCs w:val="24"/>
        </w:rPr>
      </w:pPr>
      <w:r>
        <w:rPr>
          <w:rFonts w:ascii="宋体" w:hAnsi="宋体"/>
          <w:sz w:val="24"/>
          <w:szCs w:val="24"/>
        </w:rPr>
        <w:t>待环氧树脂砂浆自然干燥后，将环氧树脂面料和石英粉按配制工艺配好，在环氧树脂砂浆层表面批刮一道，要求批刮均匀、平整、无刮痕。</w:t>
      </w:r>
    </w:p>
    <w:p w14:paraId="48370EEA">
      <w:pPr>
        <w:topLinePunct/>
        <w:spacing w:line="432" w:lineRule="auto"/>
        <w:jc w:val="center"/>
        <w:rPr>
          <w:rFonts w:hint="eastAsia" w:ascii="Times New Roman" w:hAnsi="Times New Roman"/>
          <w:b/>
          <w:bCs/>
          <w:sz w:val="24"/>
          <w:szCs w:val="24"/>
        </w:rPr>
      </w:pPr>
      <w:r>
        <w:fldChar w:fldCharType="begin"/>
      </w:r>
      <w:r>
        <w:instrText xml:space="preserve"> INCLUDEPICTURE "C:\\Users\\ADMINI~1\\AppData\\Local\\Temp\\ksohtml6600\\wps6.jpg" \* MERGEFORMATINET </w:instrText>
      </w:r>
      <w:r>
        <w:fldChar w:fldCharType="separate"/>
      </w:r>
      <w:r>
        <w:drawing>
          <wp:inline distT="0" distB="0" distL="114300" distR="114300">
            <wp:extent cx="4323080" cy="2886075"/>
            <wp:effectExtent l="0" t="0" r="1270" b="9525"/>
            <wp:docPr id="6" name="图片 6"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ps6"/>
                    <pic:cNvPicPr>
                      <a:picLocks noChangeAspect="1"/>
                    </pic:cNvPicPr>
                  </pic:nvPicPr>
                  <pic:blipFill>
                    <a:blip r:embed="rId7"/>
                    <a:stretch>
                      <a:fillRect/>
                    </a:stretch>
                  </pic:blipFill>
                  <pic:spPr>
                    <a:xfrm>
                      <a:off x="0" y="0"/>
                      <a:ext cx="4323080" cy="2886075"/>
                    </a:xfrm>
                    <a:prstGeom prst="rect">
                      <a:avLst/>
                    </a:prstGeom>
                    <a:noFill/>
                    <a:ln>
                      <a:noFill/>
                    </a:ln>
                  </pic:spPr>
                </pic:pic>
              </a:graphicData>
            </a:graphic>
          </wp:inline>
        </w:drawing>
      </w:r>
      <w:r>
        <w:fldChar w:fldCharType="end"/>
      </w:r>
      <w:r>
        <w:rPr>
          <w:rFonts w:ascii="Times New Roman" w:hAnsi="Times New Roman"/>
          <w:b/>
          <w:bCs/>
          <w:sz w:val="24"/>
          <w:szCs w:val="24"/>
        </w:rPr>
        <w:t xml:space="preserve"> </w:t>
      </w:r>
    </w:p>
    <w:p w14:paraId="2A60C239">
      <w:pPr>
        <w:topLinePunct/>
        <w:spacing w:line="432" w:lineRule="auto"/>
        <w:jc w:val="center"/>
        <w:rPr>
          <w:rFonts w:ascii="Times New Roman" w:hAnsi="宋体" w:cs="宋体"/>
          <w:sz w:val="24"/>
          <w:szCs w:val="24"/>
        </w:rPr>
      </w:pPr>
      <w:r>
        <w:rPr>
          <w:rFonts w:hint="eastAsia" w:ascii="宋体" w:hAnsi="宋体"/>
          <w:sz w:val="24"/>
          <w:szCs w:val="24"/>
        </w:rPr>
        <w:t>图</w:t>
      </w:r>
      <w:r>
        <w:rPr>
          <w:rFonts w:hint="eastAsia" w:ascii="Times New Roman" w:hAnsi="Times New Roman"/>
          <w:sz w:val="24"/>
          <w:szCs w:val="24"/>
        </w:rPr>
        <w:t xml:space="preserve">4  </w:t>
      </w:r>
      <w:r>
        <w:rPr>
          <w:rFonts w:ascii="宋体" w:hAnsi="宋体"/>
          <w:sz w:val="24"/>
          <w:szCs w:val="24"/>
        </w:rPr>
        <w:t>批刮环氧树脂腻子</w:t>
      </w:r>
    </w:p>
    <w:p w14:paraId="2A4482B4">
      <w:pPr>
        <w:topLinePunct/>
        <w:spacing w:line="432" w:lineRule="auto"/>
        <w:ind w:firstLine="480" w:firstLineChars="200"/>
        <w:rPr>
          <w:rFonts w:hint="eastAsia" w:ascii="Times New Roman" w:hAnsi="Times New Roman"/>
          <w:sz w:val="24"/>
          <w:szCs w:val="24"/>
        </w:rPr>
      </w:pPr>
      <w:r>
        <w:rPr>
          <w:rFonts w:ascii="Times New Roman" w:hAnsi="Times New Roman"/>
          <w:sz w:val="24"/>
          <w:szCs w:val="24"/>
        </w:rPr>
        <w:t xml:space="preserve"> </w:t>
      </w:r>
    </w:p>
    <w:p w14:paraId="2705B5C7">
      <w:pPr>
        <w:topLinePunct/>
        <w:spacing w:line="432" w:lineRule="auto"/>
        <w:ind w:firstLine="482" w:firstLineChars="200"/>
        <w:rPr>
          <w:rFonts w:ascii="Times New Roman" w:hAnsi="Times New Roman"/>
          <w:b/>
          <w:bCs/>
          <w:sz w:val="24"/>
          <w:szCs w:val="24"/>
        </w:rPr>
      </w:pPr>
      <w:r>
        <w:rPr>
          <w:rFonts w:ascii="宋体" w:hAnsi="宋体"/>
          <w:b/>
          <w:bCs/>
          <w:sz w:val="24"/>
          <w:szCs w:val="24"/>
        </w:rPr>
        <w:t>作用：收平层，加强环氧地坪的平整光洁度。</w:t>
      </w:r>
    </w:p>
    <w:p w14:paraId="778A0D05">
      <w:pPr>
        <w:topLinePunct/>
        <w:spacing w:line="432" w:lineRule="auto"/>
        <w:ind w:firstLine="480" w:firstLineChars="200"/>
        <w:rPr>
          <w:rFonts w:ascii="Times New Roman" w:hAnsi="Times New Roman"/>
          <w:color w:val="0070C0"/>
          <w:sz w:val="24"/>
          <w:szCs w:val="24"/>
        </w:rPr>
      </w:pPr>
      <w:r>
        <w:rPr>
          <w:rFonts w:ascii="宋体" w:hAnsi="宋体"/>
          <w:color w:val="0070C0"/>
          <w:sz w:val="24"/>
          <w:szCs w:val="24"/>
        </w:rPr>
        <w:t>环氧树脂中涂技术参数：</w:t>
      </w:r>
    </w:p>
    <w:tbl>
      <w:tblPr>
        <w:tblStyle w:val="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0"/>
        <w:gridCol w:w="5081"/>
        <w:gridCol w:w="2469"/>
      </w:tblGrid>
      <w:tr w14:paraId="61F94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0" w:type="dxa"/>
            <w:tcBorders>
              <w:top w:val="single" w:color="000000" w:sz="4" w:space="0"/>
              <w:left w:val="single" w:color="000000" w:sz="4" w:space="0"/>
              <w:bottom w:val="single" w:color="000000" w:sz="4" w:space="0"/>
              <w:right w:val="single" w:color="000000" w:sz="4" w:space="0"/>
            </w:tcBorders>
            <w:noWrap w:val="0"/>
            <w:vAlign w:val="center"/>
          </w:tcPr>
          <w:p w14:paraId="0D031E09">
            <w:pPr>
              <w:topLinePunct/>
              <w:spacing w:line="432" w:lineRule="auto"/>
              <w:jc w:val="center"/>
              <w:rPr>
                <w:rFonts w:ascii="Times New Roman" w:hAnsi="Times New Roman"/>
                <w:color w:val="0070C0"/>
                <w:sz w:val="24"/>
                <w:szCs w:val="24"/>
              </w:rPr>
            </w:pPr>
            <w:r>
              <w:rPr>
                <w:rFonts w:ascii="Times New Roman" w:hAnsi="宋体"/>
                <w:color w:val="0070C0"/>
                <w:sz w:val="24"/>
                <w:szCs w:val="24"/>
              </w:rPr>
              <w:t>序号</w:t>
            </w:r>
          </w:p>
        </w:tc>
        <w:tc>
          <w:tcPr>
            <w:tcW w:w="5081" w:type="dxa"/>
            <w:tcBorders>
              <w:top w:val="single" w:color="000000" w:sz="4" w:space="0"/>
              <w:left w:val="nil"/>
              <w:bottom w:val="single" w:color="000000" w:sz="4" w:space="0"/>
              <w:right w:val="single" w:color="000000" w:sz="4" w:space="0"/>
            </w:tcBorders>
            <w:noWrap w:val="0"/>
            <w:vAlign w:val="center"/>
          </w:tcPr>
          <w:p w14:paraId="65BC7CBE">
            <w:pPr>
              <w:topLinePunct/>
              <w:spacing w:line="432" w:lineRule="auto"/>
              <w:jc w:val="center"/>
              <w:rPr>
                <w:rFonts w:ascii="Times New Roman" w:hAnsi="Times New Roman"/>
                <w:color w:val="0070C0"/>
                <w:sz w:val="24"/>
                <w:szCs w:val="24"/>
              </w:rPr>
            </w:pPr>
            <w:r>
              <w:rPr>
                <w:rFonts w:ascii="Times New Roman" w:hAnsi="宋体"/>
                <w:color w:val="0070C0"/>
                <w:sz w:val="24"/>
                <w:szCs w:val="24"/>
              </w:rPr>
              <w:t>检验项目</w:t>
            </w:r>
          </w:p>
        </w:tc>
        <w:tc>
          <w:tcPr>
            <w:tcW w:w="2469" w:type="dxa"/>
            <w:tcBorders>
              <w:top w:val="single" w:color="000000" w:sz="4" w:space="0"/>
              <w:left w:val="nil"/>
              <w:bottom w:val="single" w:color="000000" w:sz="4" w:space="0"/>
              <w:right w:val="single" w:color="000000" w:sz="4" w:space="0"/>
            </w:tcBorders>
            <w:noWrap w:val="0"/>
            <w:vAlign w:val="center"/>
          </w:tcPr>
          <w:p w14:paraId="7A6A822E">
            <w:pPr>
              <w:topLinePunct/>
              <w:spacing w:line="432" w:lineRule="auto"/>
              <w:jc w:val="center"/>
              <w:rPr>
                <w:rFonts w:ascii="Times New Roman" w:hAnsi="Times New Roman"/>
                <w:color w:val="0070C0"/>
                <w:sz w:val="24"/>
                <w:szCs w:val="24"/>
              </w:rPr>
            </w:pPr>
            <w:r>
              <w:rPr>
                <w:rFonts w:ascii="Times New Roman" w:hAnsi="宋体"/>
                <w:color w:val="0070C0"/>
                <w:sz w:val="24"/>
                <w:szCs w:val="24"/>
              </w:rPr>
              <w:t>技术要求</w:t>
            </w:r>
          </w:p>
        </w:tc>
      </w:tr>
      <w:tr w14:paraId="4CB43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20" w:type="dxa"/>
            <w:tcBorders>
              <w:top w:val="single" w:color="000000" w:sz="4" w:space="0"/>
              <w:left w:val="single" w:color="000000" w:sz="4" w:space="0"/>
              <w:bottom w:val="single" w:color="000000" w:sz="4" w:space="0"/>
              <w:right w:val="single" w:color="000000" w:sz="4" w:space="0"/>
            </w:tcBorders>
            <w:noWrap w:val="0"/>
            <w:vAlign w:val="center"/>
          </w:tcPr>
          <w:p w14:paraId="5BC1BC44">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1</w:t>
            </w:r>
          </w:p>
        </w:tc>
        <w:tc>
          <w:tcPr>
            <w:tcW w:w="5081" w:type="dxa"/>
            <w:tcBorders>
              <w:top w:val="single" w:color="000000" w:sz="4" w:space="0"/>
              <w:left w:val="nil"/>
              <w:bottom w:val="single" w:color="000000" w:sz="4" w:space="0"/>
              <w:right w:val="single" w:color="000000" w:sz="4" w:space="0"/>
            </w:tcBorders>
            <w:noWrap w:val="0"/>
            <w:vAlign w:val="center"/>
          </w:tcPr>
          <w:p w14:paraId="0071F577">
            <w:pPr>
              <w:topLinePunct/>
              <w:spacing w:line="432" w:lineRule="auto"/>
              <w:jc w:val="center"/>
              <w:rPr>
                <w:rFonts w:ascii="Times New Roman" w:hAnsi="Times New Roman"/>
                <w:color w:val="0070C0"/>
                <w:sz w:val="24"/>
                <w:szCs w:val="24"/>
              </w:rPr>
            </w:pPr>
            <w:r>
              <w:rPr>
                <w:rFonts w:ascii="Times New Roman" w:hAnsi="宋体"/>
                <w:color w:val="0070C0"/>
                <w:sz w:val="24"/>
                <w:szCs w:val="24"/>
              </w:rPr>
              <w:t>耐磨性（</w:t>
            </w:r>
            <w:r>
              <w:rPr>
                <w:rFonts w:ascii="Times New Roman" w:hAnsi="Times New Roman"/>
                <w:color w:val="0070C0"/>
                <w:sz w:val="24"/>
                <w:szCs w:val="24"/>
              </w:rPr>
              <w:t>750g/500r</w:t>
            </w:r>
            <w:r>
              <w:rPr>
                <w:rFonts w:ascii="Times New Roman" w:hAnsi="宋体"/>
                <w:color w:val="0070C0"/>
                <w:sz w:val="24"/>
                <w:szCs w:val="24"/>
              </w:rPr>
              <w:t>）</w:t>
            </w:r>
            <w:r>
              <w:rPr>
                <w:rFonts w:ascii="Times New Roman" w:hAnsi="Times New Roman"/>
                <w:color w:val="0070C0"/>
                <w:sz w:val="24"/>
                <w:szCs w:val="24"/>
              </w:rPr>
              <w:t>,g</w:t>
            </w:r>
          </w:p>
        </w:tc>
        <w:tc>
          <w:tcPr>
            <w:tcW w:w="2469" w:type="dxa"/>
            <w:tcBorders>
              <w:top w:val="single" w:color="000000" w:sz="4" w:space="0"/>
              <w:left w:val="nil"/>
              <w:bottom w:val="single" w:color="000000" w:sz="4" w:space="0"/>
              <w:right w:val="single" w:color="000000" w:sz="4" w:space="0"/>
            </w:tcBorders>
            <w:noWrap w:val="0"/>
            <w:vAlign w:val="center"/>
          </w:tcPr>
          <w:p w14:paraId="5D72230B">
            <w:pPr>
              <w:topLinePunct/>
              <w:spacing w:line="432" w:lineRule="auto"/>
              <w:jc w:val="center"/>
              <w:rPr>
                <w:rFonts w:ascii="Times New Roman" w:hAnsi="Times New Roman"/>
                <w:color w:val="0070C0"/>
                <w:sz w:val="24"/>
                <w:szCs w:val="24"/>
              </w:rPr>
            </w:pPr>
            <w:r>
              <w:rPr>
                <w:rFonts w:hint="eastAsia" w:ascii="宋体" w:hAnsi="宋体"/>
                <w:color w:val="0070C0"/>
                <w:sz w:val="24"/>
                <w:szCs w:val="24"/>
              </w:rPr>
              <w:t>≤</w:t>
            </w:r>
            <w:r>
              <w:rPr>
                <w:rFonts w:ascii="Times New Roman" w:hAnsi="Times New Roman"/>
                <w:color w:val="0070C0"/>
                <w:sz w:val="24"/>
                <w:szCs w:val="24"/>
              </w:rPr>
              <w:t>0.0060</w:t>
            </w:r>
          </w:p>
        </w:tc>
      </w:tr>
      <w:tr w14:paraId="0792D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70" w:type="dxa"/>
            <w:gridSpan w:val="3"/>
            <w:tcBorders>
              <w:top w:val="single" w:color="000000" w:sz="4" w:space="0"/>
              <w:left w:val="single" w:color="000000" w:sz="4" w:space="0"/>
              <w:bottom w:val="single" w:color="000000" w:sz="4" w:space="0"/>
              <w:right w:val="single" w:color="000000" w:sz="4" w:space="0"/>
            </w:tcBorders>
            <w:noWrap w:val="0"/>
            <w:vAlign w:val="center"/>
          </w:tcPr>
          <w:p w14:paraId="4953E527">
            <w:pPr>
              <w:topLinePunct/>
              <w:spacing w:line="432" w:lineRule="auto"/>
              <w:jc w:val="left"/>
              <w:rPr>
                <w:rFonts w:ascii="Times New Roman" w:hAnsi="Times New Roman"/>
                <w:color w:val="0070C0"/>
                <w:sz w:val="24"/>
                <w:szCs w:val="24"/>
              </w:rPr>
            </w:pPr>
            <w:r>
              <w:rPr>
                <w:rFonts w:ascii="Times New Roman" w:hAnsi="宋体"/>
                <w:color w:val="0070C0"/>
                <w:sz w:val="24"/>
                <w:szCs w:val="24"/>
              </w:rPr>
              <w:t>备注：应将</w:t>
            </w:r>
            <w:r>
              <w:rPr>
                <w:rFonts w:ascii="Times New Roman" w:hAnsi="Times New Roman"/>
                <w:color w:val="0070C0"/>
                <w:sz w:val="24"/>
                <w:szCs w:val="24"/>
              </w:rPr>
              <w:t>A</w:t>
            </w:r>
            <w:r>
              <w:rPr>
                <w:rFonts w:ascii="Times New Roman" w:hAnsi="宋体"/>
                <w:color w:val="0070C0"/>
                <w:sz w:val="24"/>
                <w:szCs w:val="24"/>
              </w:rPr>
              <w:t>与</w:t>
            </w:r>
            <w:r>
              <w:rPr>
                <w:rFonts w:ascii="Times New Roman" w:hAnsi="Times New Roman"/>
                <w:color w:val="0070C0"/>
                <w:sz w:val="24"/>
                <w:szCs w:val="24"/>
              </w:rPr>
              <w:t>B</w:t>
            </w:r>
            <w:r>
              <w:rPr>
                <w:rFonts w:ascii="Times New Roman" w:hAnsi="宋体"/>
                <w:color w:val="0070C0"/>
                <w:sz w:val="24"/>
                <w:szCs w:val="24"/>
              </w:rPr>
              <w:t>按相应比例混合后进行制样</w:t>
            </w:r>
          </w:p>
        </w:tc>
      </w:tr>
    </w:tbl>
    <w:p w14:paraId="6EC97B75">
      <w:pPr>
        <w:topLinePunct/>
        <w:spacing w:line="432" w:lineRule="auto"/>
        <w:ind w:firstLine="480" w:firstLineChars="200"/>
        <w:rPr>
          <w:rFonts w:ascii="Times New Roman" w:hAnsi="Times New Roman"/>
          <w:sz w:val="24"/>
          <w:szCs w:val="24"/>
        </w:rPr>
      </w:pPr>
      <w:r>
        <w:rPr>
          <w:rFonts w:ascii="Times New Roman" w:hAnsi="Times New Roman"/>
          <w:sz w:val="24"/>
          <w:szCs w:val="24"/>
        </w:rPr>
        <w:t xml:space="preserve"> </w:t>
      </w:r>
    </w:p>
    <w:p w14:paraId="1A9BCEC2">
      <w:pPr>
        <w:topLinePunct/>
        <w:spacing w:line="432" w:lineRule="auto"/>
        <w:rPr>
          <w:rFonts w:ascii="Times New Roman" w:hAnsi="Times New Roman"/>
          <w:b/>
          <w:bCs/>
          <w:color w:val="0000FF"/>
          <w:sz w:val="24"/>
          <w:szCs w:val="24"/>
        </w:rPr>
      </w:pPr>
      <w:r>
        <w:rPr>
          <w:rFonts w:ascii="Times New Roman" w:hAnsi="Times New Roman"/>
          <w:b/>
          <w:bCs/>
          <w:color w:val="0000FF"/>
          <w:sz w:val="24"/>
          <w:szCs w:val="24"/>
        </w:rPr>
        <w:t>6</w:t>
      </w:r>
      <w:r>
        <w:rPr>
          <w:rFonts w:ascii="宋体" w:hAnsi="宋体"/>
          <w:b/>
          <w:bCs/>
          <w:color w:val="0000FF"/>
          <w:sz w:val="24"/>
          <w:szCs w:val="24"/>
        </w:rPr>
        <w:t>作环氧树脂自流平面层一层</w:t>
      </w:r>
      <w:r>
        <w:rPr>
          <w:rFonts w:hint="eastAsia" w:ascii="宋体" w:hAnsi="宋体"/>
          <w:b/>
          <w:bCs/>
          <w:color w:val="0000FF"/>
          <w:sz w:val="24"/>
          <w:szCs w:val="24"/>
        </w:rPr>
        <w:t>（如图</w:t>
      </w:r>
      <w:r>
        <w:rPr>
          <w:rFonts w:hint="eastAsia" w:ascii="Times New Roman" w:hAnsi="宋体"/>
          <w:b/>
          <w:bCs/>
          <w:color w:val="0000FF"/>
          <w:sz w:val="24"/>
          <w:szCs w:val="24"/>
        </w:rPr>
        <w:t>5</w:t>
      </w:r>
      <w:r>
        <w:rPr>
          <w:rFonts w:hint="eastAsia" w:ascii="宋体" w:hAnsi="宋体"/>
          <w:b/>
          <w:bCs/>
          <w:color w:val="0000FF"/>
          <w:sz w:val="24"/>
          <w:szCs w:val="24"/>
        </w:rPr>
        <w:t>所示）</w:t>
      </w:r>
      <w:r>
        <w:rPr>
          <w:rFonts w:ascii="宋体" w:hAnsi="宋体"/>
          <w:b/>
          <w:bCs/>
          <w:color w:val="0000FF"/>
          <w:sz w:val="24"/>
          <w:szCs w:val="24"/>
        </w:rPr>
        <w:t>：</w:t>
      </w:r>
    </w:p>
    <w:p w14:paraId="12D92B87">
      <w:pPr>
        <w:topLinePunct/>
        <w:spacing w:line="432" w:lineRule="auto"/>
        <w:ind w:firstLine="480" w:firstLineChars="200"/>
        <w:rPr>
          <w:rFonts w:ascii="Times New Roman" w:hAnsi="Times New Roman"/>
          <w:sz w:val="24"/>
          <w:szCs w:val="24"/>
        </w:rPr>
      </w:pPr>
      <w:r>
        <w:rPr>
          <w:rFonts w:ascii="宋体" w:hAnsi="宋体"/>
          <w:sz w:val="24"/>
          <w:szCs w:val="24"/>
        </w:rPr>
        <w:t>经检查，环氧树脂腻子层施工符合要求后，进行环氧树脂自流平面层施工。采用专业工具采用馒刀馒流法将配置好的环氧树脂自流平面料在已施工好的环氧树脂腻子层表面馒流一道。面层要求：平整、色泽光亮、均匀，无漏涂现象。</w:t>
      </w:r>
    </w:p>
    <w:p w14:paraId="4B860385">
      <w:pPr>
        <w:topLinePunct/>
        <w:spacing w:line="432" w:lineRule="auto"/>
        <w:jc w:val="center"/>
        <w:rPr>
          <w:rFonts w:ascii="Times New Roman" w:hAnsi="Times New Roman"/>
          <w:sz w:val="24"/>
          <w:szCs w:val="24"/>
        </w:rPr>
      </w:pPr>
      <w:r>
        <w:rPr>
          <w:rFonts w:ascii="Times New Roman" w:hAnsi="Times New Roman"/>
          <w:sz w:val="24"/>
          <w:szCs w:val="24"/>
        </w:rPr>
        <w:t xml:space="preserve"> </w:t>
      </w:r>
    </w:p>
    <w:p w14:paraId="0676EEA3">
      <w:pPr>
        <w:topLinePunct/>
        <w:spacing w:line="432" w:lineRule="auto"/>
        <w:jc w:val="center"/>
        <w:rPr>
          <w:rFonts w:ascii="Times New Roman" w:hAnsi="Times New Roman"/>
          <w:sz w:val="24"/>
          <w:szCs w:val="24"/>
        </w:rPr>
      </w:pPr>
      <w:r>
        <w:fldChar w:fldCharType="begin"/>
      </w:r>
      <w:r>
        <w:instrText xml:space="preserve"> INCLUDEPICTURE "C:\\Users\\ADMINI~1\\AppData\\Local\\Temp\\ksohtml6600\\wps7.jpg" \* MERGEFORMATINET </w:instrText>
      </w:r>
      <w:r>
        <w:fldChar w:fldCharType="separate"/>
      </w:r>
      <w:r>
        <w:drawing>
          <wp:inline distT="0" distB="0" distL="114300" distR="114300">
            <wp:extent cx="4323080" cy="2886075"/>
            <wp:effectExtent l="0" t="0" r="1270" b="9525"/>
            <wp:docPr id="7" name="图片 7"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ps7"/>
                    <pic:cNvPicPr>
                      <a:picLocks noChangeAspect="1"/>
                    </pic:cNvPicPr>
                  </pic:nvPicPr>
                  <pic:blipFill>
                    <a:blip r:embed="rId8"/>
                    <a:stretch>
                      <a:fillRect/>
                    </a:stretch>
                  </pic:blipFill>
                  <pic:spPr>
                    <a:xfrm>
                      <a:off x="0" y="0"/>
                      <a:ext cx="4323080" cy="2886075"/>
                    </a:xfrm>
                    <a:prstGeom prst="rect">
                      <a:avLst/>
                    </a:prstGeom>
                    <a:noFill/>
                    <a:ln>
                      <a:noFill/>
                    </a:ln>
                  </pic:spPr>
                </pic:pic>
              </a:graphicData>
            </a:graphic>
          </wp:inline>
        </w:drawing>
      </w:r>
      <w:r>
        <w:fldChar w:fldCharType="end"/>
      </w:r>
      <w:r>
        <w:rPr>
          <w:rFonts w:ascii="Times New Roman" w:hAnsi="Times New Roman"/>
          <w:sz w:val="24"/>
          <w:szCs w:val="24"/>
        </w:rPr>
        <w:t xml:space="preserve"> </w:t>
      </w:r>
    </w:p>
    <w:p w14:paraId="1C35761D">
      <w:pPr>
        <w:topLinePunct/>
        <w:spacing w:line="432" w:lineRule="auto"/>
        <w:jc w:val="center"/>
        <w:rPr>
          <w:rFonts w:ascii="Times New Roman" w:hAnsi="Times New Roman"/>
          <w:sz w:val="24"/>
          <w:szCs w:val="24"/>
        </w:rPr>
      </w:pPr>
      <w:r>
        <w:rPr>
          <w:rFonts w:hint="eastAsia" w:ascii="宋体" w:hAnsi="宋体"/>
          <w:sz w:val="24"/>
          <w:szCs w:val="24"/>
        </w:rPr>
        <w:t>图</w:t>
      </w:r>
      <w:r>
        <w:rPr>
          <w:rFonts w:hint="eastAsia" w:ascii="Times New Roman" w:hAnsi="Times New Roman"/>
          <w:sz w:val="24"/>
          <w:szCs w:val="24"/>
        </w:rPr>
        <w:t xml:space="preserve">5  </w:t>
      </w:r>
      <w:r>
        <w:rPr>
          <w:rFonts w:ascii="宋体" w:hAnsi="宋体"/>
          <w:sz w:val="24"/>
          <w:szCs w:val="24"/>
        </w:rPr>
        <w:t>镘流环氧树脂自流平面料</w:t>
      </w:r>
    </w:p>
    <w:p w14:paraId="28BFD955">
      <w:pPr>
        <w:topLinePunct/>
        <w:spacing w:line="432" w:lineRule="auto"/>
        <w:ind w:firstLine="482" w:firstLineChars="200"/>
        <w:rPr>
          <w:rFonts w:ascii="Times New Roman" w:hAnsi="Times New Roman"/>
          <w:b/>
          <w:bCs/>
          <w:sz w:val="24"/>
          <w:szCs w:val="24"/>
        </w:rPr>
      </w:pPr>
      <w:r>
        <w:rPr>
          <w:rFonts w:ascii="宋体" w:hAnsi="宋体"/>
          <w:b/>
          <w:bCs/>
          <w:sz w:val="24"/>
          <w:szCs w:val="24"/>
        </w:rPr>
        <w:t>作用：效果层，展现环氧地坪的亮丽美观，强化环氧地坪的耐磨能力。</w:t>
      </w:r>
    </w:p>
    <w:p w14:paraId="724543EC">
      <w:pPr>
        <w:topLinePunct/>
        <w:spacing w:line="432" w:lineRule="auto"/>
        <w:ind w:firstLine="480" w:firstLineChars="200"/>
        <w:rPr>
          <w:rFonts w:ascii="Times New Roman" w:hAnsi="Times New Roman"/>
          <w:b/>
          <w:bCs/>
          <w:sz w:val="24"/>
          <w:szCs w:val="24"/>
        </w:rPr>
      </w:pPr>
      <w:r>
        <w:rPr>
          <w:rFonts w:ascii="Times New Roman" w:hAnsi="宋体"/>
          <w:color w:val="0070C0"/>
          <w:sz w:val="24"/>
          <w:szCs w:val="24"/>
        </w:rPr>
        <w:br w:type="page"/>
      </w:r>
      <w:r>
        <w:rPr>
          <w:rFonts w:ascii="宋体" w:hAnsi="宋体"/>
          <w:color w:val="0070C0"/>
          <w:sz w:val="24"/>
          <w:szCs w:val="24"/>
        </w:rPr>
        <w:t>环氧树脂面层技术参数</w:t>
      </w:r>
    </w:p>
    <w:tbl>
      <w:tblPr>
        <w:tblStyle w:val="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5"/>
        <w:gridCol w:w="3750"/>
        <w:gridCol w:w="4180"/>
      </w:tblGrid>
      <w:tr w14:paraId="65B45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dxa"/>
            <w:tcBorders>
              <w:top w:val="single" w:color="000000" w:sz="4" w:space="0"/>
              <w:left w:val="single" w:color="000000" w:sz="4" w:space="0"/>
              <w:bottom w:val="single" w:color="000000" w:sz="4" w:space="0"/>
              <w:right w:val="single" w:color="000000" w:sz="4" w:space="0"/>
            </w:tcBorders>
            <w:noWrap w:val="0"/>
            <w:vAlign w:val="top"/>
          </w:tcPr>
          <w:p w14:paraId="20B8621D">
            <w:pPr>
              <w:topLinePunct/>
              <w:spacing w:line="432" w:lineRule="auto"/>
              <w:jc w:val="center"/>
              <w:rPr>
                <w:rFonts w:ascii="Times New Roman" w:hAnsi="Times New Roman"/>
                <w:color w:val="0070C0"/>
                <w:sz w:val="24"/>
                <w:szCs w:val="24"/>
              </w:rPr>
            </w:pPr>
            <w:r>
              <w:rPr>
                <w:rFonts w:ascii="Times New Roman" w:hAnsi="宋体"/>
                <w:color w:val="0070C0"/>
                <w:sz w:val="24"/>
                <w:szCs w:val="24"/>
              </w:rPr>
              <w:t>序号</w:t>
            </w:r>
          </w:p>
        </w:tc>
        <w:tc>
          <w:tcPr>
            <w:tcW w:w="3750" w:type="dxa"/>
            <w:tcBorders>
              <w:top w:val="single" w:color="000000" w:sz="4" w:space="0"/>
              <w:left w:val="nil"/>
              <w:bottom w:val="single" w:color="000000" w:sz="4" w:space="0"/>
              <w:right w:val="single" w:color="000000" w:sz="4" w:space="0"/>
            </w:tcBorders>
            <w:noWrap w:val="0"/>
            <w:vAlign w:val="top"/>
          </w:tcPr>
          <w:p w14:paraId="1B313D4F">
            <w:pPr>
              <w:topLinePunct/>
              <w:spacing w:line="432" w:lineRule="auto"/>
              <w:jc w:val="center"/>
              <w:rPr>
                <w:rFonts w:ascii="Times New Roman" w:hAnsi="Times New Roman"/>
                <w:color w:val="0070C0"/>
                <w:sz w:val="24"/>
                <w:szCs w:val="24"/>
              </w:rPr>
            </w:pPr>
            <w:r>
              <w:rPr>
                <w:rFonts w:ascii="Times New Roman" w:hAnsi="宋体"/>
                <w:color w:val="0070C0"/>
                <w:sz w:val="24"/>
                <w:szCs w:val="24"/>
              </w:rPr>
              <w:t>检验项目</w:t>
            </w:r>
          </w:p>
        </w:tc>
        <w:tc>
          <w:tcPr>
            <w:tcW w:w="4180" w:type="dxa"/>
            <w:tcBorders>
              <w:top w:val="single" w:color="000000" w:sz="4" w:space="0"/>
              <w:left w:val="nil"/>
              <w:bottom w:val="single" w:color="000000" w:sz="4" w:space="0"/>
              <w:right w:val="single" w:color="000000" w:sz="4" w:space="0"/>
            </w:tcBorders>
            <w:noWrap w:val="0"/>
            <w:vAlign w:val="top"/>
          </w:tcPr>
          <w:p w14:paraId="5AD811D6">
            <w:pPr>
              <w:topLinePunct/>
              <w:spacing w:line="432" w:lineRule="auto"/>
              <w:jc w:val="center"/>
              <w:rPr>
                <w:rFonts w:ascii="Times New Roman" w:hAnsi="Times New Roman"/>
                <w:color w:val="0070C0"/>
                <w:sz w:val="24"/>
                <w:szCs w:val="24"/>
              </w:rPr>
            </w:pPr>
            <w:r>
              <w:rPr>
                <w:rFonts w:ascii="Times New Roman" w:hAnsi="宋体"/>
                <w:color w:val="0070C0"/>
                <w:sz w:val="24"/>
                <w:szCs w:val="24"/>
              </w:rPr>
              <w:t>技术要求</w:t>
            </w:r>
          </w:p>
        </w:tc>
      </w:tr>
      <w:tr w14:paraId="5A2FF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dxa"/>
            <w:tcBorders>
              <w:top w:val="single" w:color="000000" w:sz="4" w:space="0"/>
              <w:left w:val="single" w:color="000000" w:sz="4" w:space="0"/>
              <w:bottom w:val="single" w:color="000000" w:sz="4" w:space="0"/>
              <w:right w:val="single" w:color="000000" w:sz="4" w:space="0"/>
            </w:tcBorders>
            <w:noWrap w:val="0"/>
            <w:vAlign w:val="top"/>
          </w:tcPr>
          <w:p w14:paraId="6677D0A3">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1</w:t>
            </w:r>
          </w:p>
        </w:tc>
        <w:tc>
          <w:tcPr>
            <w:tcW w:w="3750" w:type="dxa"/>
            <w:tcBorders>
              <w:top w:val="single" w:color="000000" w:sz="4" w:space="0"/>
              <w:left w:val="nil"/>
              <w:bottom w:val="single" w:color="000000" w:sz="4" w:space="0"/>
              <w:right w:val="single" w:color="000000" w:sz="4" w:space="0"/>
            </w:tcBorders>
            <w:noWrap w:val="0"/>
            <w:vAlign w:val="top"/>
          </w:tcPr>
          <w:p w14:paraId="0E6B8575">
            <w:pPr>
              <w:topLinePunct/>
              <w:spacing w:line="432" w:lineRule="auto"/>
              <w:rPr>
                <w:rFonts w:ascii="Times New Roman" w:hAnsi="Times New Roman"/>
                <w:color w:val="0070C0"/>
                <w:sz w:val="24"/>
                <w:szCs w:val="24"/>
              </w:rPr>
            </w:pPr>
            <w:r>
              <w:rPr>
                <w:rFonts w:ascii="Times New Roman" w:hAnsi="宋体"/>
                <w:color w:val="0070C0"/>
                <w:sz w:val="24"/>
                <w:szCs w:val="24"/>
              </w:rPr>
              <w:t>铅笔硬度（擦伤）</w:t>
            </w:r>
          </w:p>
        </w:tc>
        <w:tc>
          <w:tcPr>
            <w:tcW w:w="4180" w:type="dxa"/>
            <w:tcBorders>
              <w:top w:val="single" w:color="000000" w:sz="4" w:space="0"/>
              <w:left w:val="nil"/>
              <w:bottom w:val="single" w:color="000000" w:sz="4" w:space="0"/>
              <w:right w:val="single" w:color="000000" w:sz="4" w:space="0"/>
            </w:tcBorders>
            <w:noWrap w:val="0"/>
            <w:vAlign w:val="top"/>
          </w:tcPr>
          <w:p w14:paraId="067FB26C">
            <w:pPr>
              <w:topLinePunct/>
              <w:spacing w:line="432" w:lineRule="auto"/>
              <w:jc w:val="center"/>
              <w:rPr>
                <w:rFonts w:ascii="Times New Roman" w:hAnsi="Times New Roman"/>
                <w:color w:val="0070C0"/>
                <w:sz w:val="24"/>
                <w:szCs w:val="24"/>
              </w:rPr>
            </w:pPr>
            <w:r>
              <w:rPr>
                <w:rFonts w:hint="eastAsia" w:ascii="宋体" w:hAnsi="宋体"/>
                <w:color w:val="0070C0"/>
                <w:sz w:val="24"/>
                <w:szCs w:val="24"/>
              </w:rPr>
              <w:t>≥</w:t>
            </w:r>
            <w:r>
              <w:rPr>
                <w:rFonts w:ascii="Times New Roman" w:hAnsi="Times New Roman"/>
                <w:color w:val="0070C0"/>
                <w:sz w:val="24"/>
                <w:szCs w:val="24"/>
              </w:rPr>
              <w:t>H</w:t>
            </w:r>
          </w:p>
        </w:tc>
      </w:tr>
      <w:tr w14:paraId="1DE12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dxa"/>
            <w:tcBorders>
              <w:top w:val="single" w:color="000000" w:sz="4" w:space="0"/>
              <w:left w:val="single" w:color="000000" w:sz="4" w:space="0"/>
              <w:bottom w:val="single" w:color="000000" w:sz="4" w:space="0"/>
              <w:right w:val="single" w:color="000000" w:sz="4" w:space="0"/>
            </w:tcBorders>
            <w:noWrap w:val="0"/>
            <w:vAlign w:val="top"/>
          </w:tcPr>
          <w:p w14:paraId="52F094D1">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2</w:t>
            </w:r>
          </w:p>
        </w:tc>
        <w:tc>
          <w:tcPr>
            <w:tcW w:w="3750" w:type="dxa"/>
            <w:tcBorders>
              <w:top w:val="single" w:color="000000" w:sz="4" w:space="0"/>
              <w:left w:val="nil"/>
              <w:bottom w:val="single" w:color="000000" w:sz="4" w:space="0"/>
              <w:right w:val="single" w:color="000000" w:sz="4" w:space="0"/>
            </w:tcBorders>
            <w:noWrap w:val="0"/>
            <w:vAlign w:val="top"/>
          </w:tcPr>
          <w:p w14:paraId="00F0C703">
            <w:pPr>
              <w:topLinePunct/>
              <w:spacing w:line="432" w:lineRule="auto"/>
              <w:rPr>
                <w:rFonts w:ascii="Times New Roman" w:hAnsi="Times New Roman"/>
                <w:color w:val="0070C0"/>
                <w:sz w:val="24"/>
                <w:szCs w:val="24"/>
              </w:rPr>
            </w:pPr>
            <w:r>
              <w:rPr>
                <w:rFonts w:ascii="Times New Roman" w:hAnsi="宋体"/>
                <w:color w:val="0070C0"/>
                <w:sz w:val="24"/>
                <w:szCs w:val="24"/>
              </w:rPr>
              <w:t>耐冲击性，</w:t>
            </w:r>
            <w:r>
              <w:rPr>
                <w:rFonts w:ascii="Times New Roman" w:hAnsi="Times New Roman"/>
                <w:color w:val="0070C0"/>
                <w:sz w:val="24"/>
                <w:szCs w:val="24"/>
              </w:rPr>
              <w:t>cm</w:t>
            </w:r>
          </w:p>
        </w:tc>
        <w:tc>
          <w:tcPr>
            <w:tcW w:w="4180" w:type="dxa"/>
            <w:tcBorders>
              <w:top w:val="single" w:color="000000" w:sz="4" w:space="0"/>
              <w:left w:val="nil"/>
              <w:bottom w:val="single" w:color="000000" w:sz="4" w:space="0"/>
              <w:right w:val="single" w:color="000000" w:sz="4" w:space="0"/>
            </w:tcBorders>
            <w:noWrap w:val="0"/>
            <w:vAlign w:val="top"/>
          </w:tcPr>
          <w:p w14:paraId="67166A3C">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50</w:t>
            </w:r>
          </w:p>
        </w:tc>
      </w:tr>
      <w:tr w14:paraId="1AA74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dxa"/>
            <w:tcBorders>
              <w:top w:val="single" w:color="000000" w:sz="4" w:space="0"/>
              <w:left w:val="single" w:color="000000" w:sz="4" w:space="0"/>
              <w:bottom w:val="single" w:color="000000" w:sz="4" w:space="0"/>
              <w:right w:val="single" w:color="000000" w:sz="4" w:space="0"/>
            </w:tcBorders>
            <w:noWrap w:val="0"/>
            <w:vAlign w:val="top"/>
          </w:tcPr>
          <w:p w14:paraId="142FAB2D">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3</w:t>
            </w:r>
          </w:p>
        </w:tc>
        <w:tc>
          <w:tcPr>
            <w:tcW w:w="3750" w:type="dxa"/>
            <w:tcBorders>
              <w:top w:val="single" w:color="000000" w:sz="4" w:space="0"/>
              <w:left w:val="nil"/>
              <w:bottom w:val="single" w:color="000000" w:sz="4" w:space="0"/>
              <w:right w:val="single" w:color="000000" w:sz="4" w:space="0"/>
            </w:tcBorders>
            <w:noWrap w:val="0"/>
            <w:vAlign w:val="top"/>
          </w:tcPr>
          <w:p w14:paraId="7D887DC9">
            <w:pPr>
              <w:topLinePunct/>
              <w:spacing w:line="432" w:lineRule="auto"/>
              <w:rPr>
                <w:rFonts w:ascii="Times New Roman" w:hAnsi="Times New Roman"/>
                <w:color w:val="0070C0"/>
                <w:sz w:val="24"/>
                <w:szCs w:val="24"/>
              </w:rPr>
            </w:pPr>
            <w:r>
              <w:rPr>
                <w:rFonts w:ascii="Times New Roman" w:hAnsi="宋体"/>
                <w:color w:val="0070C0"/>
                <w:sz w:val="24"/>
                <w:szCs w:val="24"/>
              </w:rPr>
              <w:t>柔韧性，</w:t>
            </w:r>
            <w:r>
              <w:rPr>
                <w:rFonts w:ascii="Times New Roman" w:hAnsi="Times New Roman"/>
                <w:color w:val="0070C0"/>
                <w:sz w:val="24"/>
                <w:szCs w:val="24"/>
              </w:rPr>
              <w:t>mm</w:t>
            </w:r>
          </w:p>
        </w:tc>
        <w:tc>
          <w:tcPr>
            <w:tcW w:w="4180" w:type="dxa"/>
            <w:tcBorders>
              <w:top w:val="single" w:color="000000" w:sz="4" w:space="0"/>
              <w:left w:val="nil"/>
              <w:bottom w:val="single" w:color="000000" w:sz="4" w:space="0"/>
              <w:right w:val="single" w:color="000000" w:sz="4" w:space="0"/>
            </w:tcBorders>
            <w:noWrap w:val="0"/>
            <w:vAlign w:val="top"/>
          </w:tcPr>
          <w:p w14:paraId="2D6F1D79">
            <w:pPr>
              <w:topLinePunct/>
              <w:spacing w:line="432" w:lineRule="auto"/>
              <w:jc w:val="center"/>
              <w:rPr>
                <w:rFonts w:ascii="Times New Roman" w:hAnsi="Times New Roman"/>
                <w:color w:val="0070C0"/>
                <w:sz w:val="24"/>
                <w:szCs w:val="24"/>
              </w:rPr>
            </w:pPr>
            <w:r>
              <w:rPr>
                <w:rFonts w:hint="eastAsia" w:ascii="宋体" w:hAnsi="宋体"/>
                <w:color w:val="0070C0"/>
                <w:sz w:val="24"/>
                <w:szCs w:val="24"/>
              </w:rPr>
              <w:t>≤</w:t>
            </w:r>
            <w:r>
              <w:rPr>
                <w:rFonts w:ascii="Times New Roman" w:hAnsi="Times New Roman"/>
                <w:color w:val="0070C0"/>
                <w:sz w:val="24"/>
                <w:szCs w:val="24"/>
              </w:rPr>
              <w:t>2</w:t>
            </w:r>
          </w:p>
        </w:tc>
      </w:tr>
      <w:tr w14:paraId="10DFB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dxa"/>
            <w:tcBorders>
              <w:top w:val="single" w:color="000000" w:sz="4" w:space="0"/>
              <w:left w:val="single" w:color="000000" w:sz="4" w:space="0"/>
              <w:bottom w:val="single" w:color="000000" w:sz="4" w:space="0"/>
              <w:right w:val="single" w:color="000000" w:sz="4" w:space="0"/>
            </w:tcBorders>
            <w:noWrap w:val="0"/>
            <w:vAlign w:val="top"/>
          </w:tcPr>
          <w:p w14:paraId="1F38AA31">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4</w:t>
            </w:r>
          </w:p>
        </w:tc>
        <w:tc>
          <w:tcPr>
            <w:tcW w:w="3750" w:type="dxa"/>
            <w:tcBorders>
              <w:top w:val="single" w:color="000000" w:sz="4" w:space="0"/>
              <w:left w:val="nil"/>
              <w:bottom w:val="single" w:color="000000" w:sz="4" w:space="0"/>
              <w:right w:val="single" w:color="000000" w:sz="4" w:space="0"/>
            </w:tcBorders>
            <w:noWrap w:val="0"/>
            <w:vAlign w:val="top"/>
          </w:tcPr>
          <w:p w14:paraId="1DDD507C">
            <w:pPr>
              <w:topLinePunct/>
              <w:spacing w:line="432" w:lineRule="auto"/>
              <w:rPr>
                <w:rFonts w:ascii="Times New Roman" w:hAnsi="Times New Roman"/>
                <w:color w:val="0070C0"/>
                <w:sz w:val="24"/>
                <w:szCs w:val="24"/>
              </w:rPr>
            </w:pPr>
            <w:r>
              <w:rPr>
                <w:rFonts w:ascii="Times New Roman" w:hAnsi="宋体"/>
                <w:color w:val="0070C0"/>
                <w:sz w:val="24"/>
                <w:szCs w:val="24"/>
              </w:rPr>
              <w:t>耐磨性（</w:t>
            </w:r>
            <w:r>
              <w:rPr>
                <w:rFonts w:ascii="Times New Roman" w:hAnsi="Times New Roman"/>
                <w:color w:val="0070C0"/>
                <w:sz w:val="24"/>
                <w:szCs w:val="24"/>
              </w:rPr>
              <w:t>750g/500r</w:t>
            </w:r>
            <w:r>
              <w:rPr>
                <w:rFonts w:ascii="Times New Roman" w:hAnsi="宋体"/>
                <w:color w:val="0070C0"/>
                <w:sz w:val="24"/>
                <w:szCs w:val="24"/>
              </w:rPr>
              <w:t>）</w:t>
            </w:r>
            <w:r>
              <w:rPr>
                <w:rFonts w:ascii="Times New Roman" w:hAnsi="Times New Roman"/>
                <w:color w:val="0070C0"/>
                <w:sz w:val="24"/>
                <w:szCs w:val="24"/>
              </w:rPr>
              <w:t>,g</w:t>
            </w:r>
          </w:p>
        </w:tc>
        <w:tc>
          <w:tcPr>
            <w:tcW w:w="4180" w:type="dxa"/>
            <w:tcBorders>
              <w:top w:val="single" w:color="000000" w:sz="4" w:space="0"/>
              <w:left w:val="nil"/>
              <w:bottom w:val="single" w:color="000000" w:sz="4" w:space="0"/>
              <w:right w:val="single" w:color="000000" w:sz="4" w:space="0"/>
            </w:tcBorders>
            <w:noWrap w:val="0"/>
            <w:vAlign w:val="top"/>
          </w:tcPr>
          <w:p w14:paraId="5A4EFBDA">
            <w:pPr>
              <w:topLinePunct/>
              <w:spacing w:line="432" w:lineRule="auto"/>
              <w:jc w:val="center"/>
              <w:rPr>
                <w:rFonts w:ascii="Times New Roman" w:hAnsi="Times New Roman"/>
                <w:color w:val="0070C0"/>
                <w:sz w:val="24"/>
                <w:szCs w:val="24"/>
              </w:rPr>
            </w:pPr>
            <w:r>
              <w:rPr>
                <w:rFonts w:hint="eastAsia" w:ascii="宋体" w:hAnsi="宋体"/>
                <w:color w:val="0070C0"/>
                <w:sz w:val="24"/>
                <w:szCs w:val="24"/>
              </w:rPr>
              <w:t>≤</w:t>
            </w:r>
            <w:r>
              <w:rPr>
                <w:rFonts w:ascii="Times New Roman" w:hAnsi="Times New Roman"/>
                <w:color w:val="0070C0"/>
                <w:sz w:val="24"/>
                <w:szCs w:val="24"/>
              </w:rPr>
              <w:t>0.020</w:t>
            </w:r>
          </w:p>
        </w:tc>
      </w:tr>
      <w:tr w14:paraId="07CA6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dxa"/>
            <w:tcBorders>
              <w:top w:val="single" w:color="000000" w:sz="4" w:space="0"/>
              <w:left w:val="single" w:color="000000" w:sz="4" w:space="0"/>
              <w:bottom w:val="single" w:color="000000" w:sz="4" w:space="0"/>
              <w:right w:val="single" w:color="000000" w:sz="4" w:space="0"/>
            </w:tcBorders>
            <w:noWrap w:val="0"/>
            <w:vAlign w:val="top"/>
          </w:tcPr>
          <w:p w14:paraId="2D9608AE">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5</w:t>
            </w:r>
          </w:p>
        </w:tc>
        <w:tc>
          <w:tcPr>
            <w:tcW w:w="3750" w:type="dxa"/>
            <w:tcBorders>
              <w:top w:val="single" w:color="000000" w:sz="4" w:space="0"/>
              <w:left w:val="nil"/>
              <w:bottom w:val="single" w:color="000000" w:sz="4" w:space="0"/>
              <w:right w:val="single" w:color="000000" w:sz="4" w:space="0"/>
            </w:tcBorders>
            <w:noWrap w:val="0"/>
            <w:vAlign w:val="top"/>
          </w:tcPr>
          <w:p w14:paraId="634CF41A">
            <w:pPr>
              <w:topLinePunct/>
              <w:spacing w:line="432" w:lineRule="auto"/>
              <w:rPr>
                <w:rFonts w:ascii="Times New Roman" w:hAnsi="Times New Roman"/>
                <w:color w:val="0070C0"/>
                <w:sz w:val="24"/>
                <w:szCs w:val="24"/>
              </w:rPr>
            </w:pPr>
            <w:r>
              <w:rPr>
                <w:rFonts w:ascii="Times New Roman" w:hAnsi="宋体"/>
                <w:color w:val="0070C0"/>
                <w:sz w:val="24"/>
                <w:szCs w:val="24"/>
              </w:rPr>
              <w:t>耐油性（</w:t>
            </w:r>
            <w:r>
              <w:rPr>
                <w:rFonts w:ascii="Times New Roman" w:hAnsi="Times New Roman"/>
                <w:color w:val="0070C0"/>
                <w:sz w:val="24"/>
                <w:szCs w:val="24"/>
              </w:rPr>
              <w:t>120#</w:t>
            </w:r>
            <w:r>
              <w:rPr>
                <w:rFonts w:ascii="Times New Roman" w:hAnsi="宋体"/>
                <w:color w:val="0070C0"/>
                <w:sz w:val="24"/>
                <w:szCs w:val="24"/>
              </w:rPr>
              <w:t>汽油，</w:t>
            </w:r>
            <w:r>
              <w:rPr>
                <w:rFonts w:ascii="Times New Roman" w:hAnsi="Times New Roman"/>
                <w:color w:val="0070C0"/>
                <w:sz w:val="24"/>
                <w:szCs w:val="24"/>
              </w:rPr>
              <w:t>7</w:t>
            </w:r>
            <w:r>
              <w:rPr>
                <w:rFonts w:ascii="Times New Roman" w:hAnsi="宋体"/>
                <w:color w:val="0070C0"/>
                <w:sz w:val="24"/>
                <w:szCs w:val="24"/>
              </w:rPr>
              <w:t>天）</w:t>
            </w:r>
          </w:p>
        </w:tc>
        <w:tc>
          <w:tcPr>
            <w:tcW w:w="4180" w:type="dxa"/>
            <w:tcBorders>
              <w:top w:val="single" w:color="000000" w:sz="4" w:space="0"/>
              <w:left w:val="nil"/>
              <w:bottom w:val="single" w:color="000000" w:sz="4" w:space="0"/>
              <w:right w:val="single" w:color="000000" w:sz="4" w:space="0"/>
            </w:tcBorders>
            <w:noWrap w:val="0"/>
            <w:vAlign w:val="top"/>
          </w:tcPr>
          <w:p w14:paraId="2B5275F8">
            <w:pPr>
              <w:topLinePunct/>
              <w:spacing w:line="432" w:lineRule="auto"/>
              <w:rPr>
                <w:rFonts w:ascii="Times New Roman" w:hAnsi="Times New Roman"/>
                <w:color w:val="0070C0"/>
                <w:sz w:val="24"/>
                <w:szCs w:val="24"/>
              </w:rPr>
            </w:pPr>
            <w:r>
              <w:rPr>
                <w:rFonts w:ascii="Times New Roman" w:hAnsi="宋体"/>
                <w:color w:val="0070C0"/>
                <w:sz w:val="24"/>
                <w:szCs w:val="24"/>
              </w:rPr>
              <w:t>不起泡、不脱落、允许轻微变色</w:t>
            </w:r>
          </w:p>
        </w:tc>
      </w:tr>
      <w:tr w14:paraId="62E0A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dxa"/>
            <w:tcBorders>
              <w:top w:val="single" w:color="000000" w:sz="4" w:space="0"/>
              <w:left w:val="single" w:color="000000" w:sz="4" w:space="0"/>
              <w:bottom w:val="single" w:color="000000" w:sz="4" w:space="0"/>
              <w:right w:val="single" w:color="000000" w:sz="4" w:space="0"/>
            </w:tcBorders>
            <w:noWrap w:val="0"/>
            <w:vAlign w:val="top"/>
          </w:tcPr>
          <w:p w14:paraId="3C73B0D6">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6</w:t>
            </w:r>
          </w:p>
        </w:tc>
        <w:tc>
          <w:tcPr>
            <w:tcW w:w="3750" w:type="dxa"/>
            <w:tcBorders>
              <w:top w:val="single" w:color="000000" w:sz="4" w:space="0"/>
              <w:left w:val="nil"/>
              <w:bottom w:val="single" w:color="000000" w:sz="4" w:space="0"/>
              <w:right w:val="single" w:color="000000" w:sz="4" w:space="0"/>
            </w:tcBorders>
            <w:noWrap w:val="0"/>
            <w:vAlign w:val="top"/>
          </w:tcPr>
          <w:p w14:paraId="4AAC56AA">
            <w:pPr>
              <w:topLinePunct/>
              <w:spacing w:line="432" w:lineRule="auto"/>
              <w:rPr>
                <w:rFonts w:ascii="Times New Roman" w:hAnsi="Times New Roman"/>
                <w:color w:val="0070C0"/>
                <w:sz w:val="24"/>
                <w:szCs w:val="24"/>
              </w:rPr>
            </w:pPr>
            <w:r>
              <w:rPr>
                <w:rFonts w:ascii="Times New Roman" w:hAnsi="宋体"/>
                <w:color w:val="0070C0"/>
                <w:sz w:val="24"/>
                <w:szCs w:val="24"/>
              </w:rPr>
              <w:t>耐酸性（</w:t>
            </w:r>
            <w:r>
              <w:rPr>
                <w:rFonts w:ascii="Times New Roman" w:hAnsi="Times New Roman"/>
                <w:color w:val="0070C0"/>
                <w:sz w:val="24"/>
                <w:szCs w:val="24"/>
              </w:rPr>
              <w:t>10%</w:t>
            </w:r>
            <w:r>
              <w:rPr>
                <w:rFonts w:ascii="Times New Roman" w:hAnsi="宋体"/>
                <w:color w:val="0070C0"/>
                <w:sz w:val="24"/>
                <w:szCs w:val="24"/>
              </w:rPr>
              <w:t>硫酸，</w:t>
            </w:r>
            <w:r>
              <w:rPr>
                <w:rFonts w:ascii="Times New Roman" w:hAnsi="Times New Roman"/>
                <w:color w:val="0070C0"/>
                <w:sz w:val="24"/>
                <w:szCs w:val="24"/>
              </w:rPr>
              <w:t>48</w:t>
            </w:r>
            <w:r>
              <w:rPr>
                <w:rFonts w:ascii="Times New Roman" w:hAnsi="宋体"/>
                <w:color w:val="0070C0"/>
                <w:sz w:val="24"/>
                <w:szCs w:val="24"/>
              </w:rPr>
              <w:t>小时）</w:t>
            </w:r>
          </w:p>
        </w:tc>
        <w:tc>
          <w:tcPr>
            <w:tcW w:w="4180" w:type="dxa"/>
            <w:tcBorders>
              <w:top w:val="single" w:color="000000" w:sz="4" w:space="0"/>
              <w:left w:val="nil"/>
              <w:bottom w:val="single" w:color="000000" w:sz="4" w:space="0"/>
              <w:right w:val="single" w:color="000000" w:sz="4" w:space="0"/>
            </w:tcBorders>
            <w:noWrap w:val="0"/>
            <w:vAlign w:val="top"/>
          </w:tcPr>
          <w:p w14:paraId="3E990E66">
            <w:pPr>
              <w:topLinePunct/>
              <w:spacing w:line="432" w:lineRule="auto"/>
              <w:rPr>
                <w:rFonts w:ascii="Times New Roman" w:hAnsi="Times New Roman"/>
                <w:color w:val="0070C0"/>
                <w:sz w:val="24"/>
                <w:szCs w:val="24"/>
              </w:rPr>
            </w:pPr>
            <w:r>
              <w:rPr>
                <w:rFonts w:ascii="Times New Roman" w:hAnsi="宋体"/>
                <w:color w:val="0070C0"/>
                <w:sz w:val="24"/>
                <w:szCs w:val="24"/>
              </w:rPr>
              <w:t>不起泡、不脱落、允许轻微变色</w:t>
            </w:r>
          </w:p>
        </w:tc>
      </w:tr>
      <w:tr w14:paraId="32558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5" w:type="dxa"/>
            <w:tcBorders>
              <w:top w:val="single" w:color="000000" w:sz="4" w:space="0"/>
              <w:left w:val="single" w:color="000000" w:sz="4" w:space="0"/>
              <w:bottom w:val="single" w:color="000000" w:sz="4" w:space="0"/>
              <w:right w:val="single" w:color="000000" w:sz="4" w:space="0"/>
            </w:tcBorders>
            <w:noWrap w:val="0"/>
            <w:vAlign w:val="top"/>
          </w:tcPr>
          <w:p w14:paraId="6705ED1A">
            <w:pPr>
              <w:topLinePunct/>
              <w:spacing w:line="432" w:lineRule="auto"/>
              <w:jc w:val="center"/>
              <w:rPr>
                <w:rFonts w:ascii="Times New Roman" w:hAnsi="Times New Roman"/>
                <w:color w:val="0070C0"/>
                <w:sz w:val="24"/>
                <w:szCs w:val="24"/>
              </w:rPr>
            </w:pPr>
            <w:r>
              <w:rPr>
                <w:rFonts w:ascii="Times New Roman" w:hAnsi="Times New Roman"/>
                <w:color w:val="0070C0"/>
                <w:sz w:val="24"/>
                <w:szCs w:val="24"/>
              </w:rPr>
              <w:t>7</w:t>
            </w:r>
          </w:p>
        </w:tc>
        <w:tc>
          <w:tcPr>
            <w:tcW w:w="3750" w:type="dxa"/>
            <w:tcBorders>
              <w:top w:val="single" w:color="000000" w:sz="4" w:space="0"/>
              <w:left w:val="nil"/>
              <w:bottom w:val="single" w:color="000000" w:sz="4" w:space="0"/>
              <w:right w:val="single" w:color="000000" w:sz="4" w:space="0"/>
            </w:tcBorders>
            <w:noWrap w:val="0"/>
            <w:vAlign w:val="top"/>
          </w:tcPr>
          <w:p w14:paraId="59DAABD1">
            <w:pPr>
              <w:topLinePunct/>
              <w:spacing w:line="432" w:lineRule="auto"/>
              <w:rPr>
                <w:rFonts w:ascii="Times New Roman" w:hAnsi="Times New Roman"/>
                <w:color w:val="0070C0"/>
                <w:sz w:val="24"/>
                <w:szCs w:val="24"/>
              </w:rPr>
            </w:pPr>
            <w:r>
              <w:rPr>
                <w:rFonts w:ascii="Times New Roman" w:hAnsi="宋体"/>
                <w:color w:val="0070C0"/>
                <w:sz w:val="24"/>
                <w:szCs w:val="24"/>
              </w:rPr>
              <w:t>耐盐水性（</w:t>
            </w:r>
            <w:r>
              <w:rPr>
                <w:rFonts w:ascii="Times New Roman" w:hAnsi="Times New Roman"/>
                <w:color w:val="0070C0"/>
                <w:sz w:val="24"/>
                <w:szCs w:val="24"/>
              </w:rPr>
              <w:t>3%</w:t>
            </w:r>
            <w:r>
              <w:rPr>
                <w:rFonts w:ascii="Times New Roman" w:hAnsi="宋体"/>
                <w:color w:val="0070C0"/>
                <w:sz w:val="24"/>
                <w:szCs w:val="24"/>
              </w:rPr>
              <w:t>氯化钠，</w:t>
            </w:r>
            <w:r>
              <w:rPr>
                <w:rFonts w:ascii="Times New Roman" w:hAnsi="Times New Roman"/>
                <w:color w:val="0070C0"/>
                <w:sz w:val="24"/>
                <w:szCs w:val="24"/>
              </w:rPr>
              <w:t>7</w:t>
            </w:r>
            <w:r>
              <w:rPr>
                <w:rFonts w:ascii="Times New Roman" w:hAnsi="宋体"/>
                <w:color w:val="0070C0"/>
                <w:sz w:val="24"/>
                <w:szCs w:val="24"/>
              </w:rPr>
              <w:t>天）</w:t>
            </w:r>
          </w:p>
        </w:tc>
        <w:tc>
          <w:tcPr>
            <w:tcW w:w="4180" w:type="dxa"/>
            <w:tcBorders>
              <w:top w:val="single" w:color="000000" w:sz="4" w:space="0"/>
              <w:left w:val="nil"/>
              <w:bottom w:val="single" w:color="000000" w:sz="4" w:space="0"/>
              <w:right w:val="single" w:color="000000" w:sz="4" w:space="0"/>
            </w:tcBorders>
            <w:noWrap w:val="0"/>
            <w:vAlign w:val="top"/>
          </w:tcPr>
          <w:p w14:paraId="1A24F50A">
            <w:pPr>
              <w:topLinePunct/>
              <w:spacing w:line="432" w:lineRule="auto"/>
              <w:rPr>
                <w:rFonts w:ascii="Times New Roman" w:hAnsi="Times New Roman"/>
                <w:color w:val="0070C0"/>
                <w:sz w:val="24"/>
                <w:szCs w:val="24"/>
              </w:rPr>
            </w:pPr>
            <w:r>
              <w:rPr>
                <w:rFonts w:ascii="Times New Roman" w:hAnsi="宋体"/>
                <w:color w:val="0070C0"/>
                <w:sz w:val="24"/>
                <w:szCs w:val="24"/>
              </w:rPr>
              <w:t>不起泡、不脱落、允许轻微变色</w:t>
            </w:r>
          </w:p>
        </w:tc>
      </w:tr>
      <w:tr w14:paraId="0C51C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55" w:type="dxa"/>
            <w:gridSpan w:val="3"/>
            <w:tcBorders>
              <w:top w:val="single" w:color="000000" w:sz="4" w:space="0"/>
              <w:left w:val="single" w:color="000000" w:sz="4" w:space="0"/>
              <w:bottom w:val="single" w:color="000000" w:sz="4" w:space="0"/>
              <w:right w:val="single" w:color="000000" w:sz="4" w:space="0"/>
            </w:tcBorders>
            <w:noWrap w:val="0"/>
            <w:vAlign w:val="top"/>
          </w:tcPr>
          <w:p w14:paraId="67A98451">
            <w:pPr>
              <w:topLinePunct/>
              <w:spacing w:line="432" w:lineRule="auto"/>
              <w:rPr>
                <w:rFonts w:ascii="Times New Roman" w:hAnsi="Times New Roman"/>
                <w:color w:val="0070C0"/>
                <w:sz w:val="24"/>
                <w:szCs w:val="24"/>
              </w:rPr>
            </w:pPr>
            <w:r>
              <w:rPr>
                <w:rFonts w:ascii="Times New Roman" w:hAnsi="宋体"/>
                <w:color w:val="0070C0"/>
                <w:sz w:val="24"/>
                <w:szCs w:val="24"/>
              </w:rPr>
              <w:t>备注：应将</w:t>
            </w:r>
            <w:r>
              <w:rPr>
                <w:rFonts w:ascii="Times New Roman" w:hAnsi="Times New Roman"/>
                <w:color w:val="0070C0"/>
                <w:sz w:val="24"/>
                <w:szCs w:val="24"/>
              </w:rPr>
              <w:t>A</w:t>
            </w:r>
            <w:r>
              <w:rPr>
                <w:rFonts w:ascii="Times New Roman" w:hAnsi="宋体"/>
                <w:color w:val="0070C0"/>
                <w:sz w:val="24"/>
                <w:szCs w:val="24"/>
              </w:rPr>
              <w:t>与</w:t>
            </w:r>
            <w:r>
              <w:rPr>
                <w:rFonts w:ascii="Times New Roman" w:hAnsi="Times New Roman"/>
                <w:color w:val="0070C0"/>
                <w:sz w:val="24"/>
                <w:szCs w:val="24"/>
              </w:rPr>
              <w:t>B</w:t>
            </w:r>
            <w:r>
              <w:rPr>
                <w:rFonts w:ascii="Times New Roman" w:hAnsi="宋体"/>
                <w:color w:val="0070C0"/>
                <w:sz w:val="24"/>
                <w:szCs w:val="24"/>
              </w:rPr>
              <w:t>按相应比例混合后进行制样</w:t>
            </w:r>
          </w:p>
        </w:tc>
      </w:tr>
    </w:tbl>
    <w:p w14:paraId="6B74B917">
      <w:pPr>
        <w:topLinePunct/>
        <w:spacing w:line="432" w:lineRule="auto"/>
        <w:rPr>
          <w:rFonts w:ascii="Times New Roman" w:hAnsi="Times New Roman"/>
          <w:b/>
          <w:bCs/>
          <w:color w:val="0000FF"/>
          <w:sz w:val="24"/>
          <w:szCs w:val="24"/>
        </w:rPr>
      </w:pPr>
      <w:r>
        <w:rPr>
          <w:rFonts w:hint="eastAsia" w:ascii="Times New Roman" w:hAnsi="宋体"/>
          <w:b/>
          <w:bCs/>
          <w:color w:val="0000FF"/>
          <w:sz w:val="24"/>
          <w:szCs w:val="24"/>
          <w:lang w:val="en-US" w:eastAsia="zh-CN"/>
        </w:rPr>
        <w:t>7</w:t>
      </w:r>
      <w:r>
        <w:rPr>
          <w:rFonts w:ascii="Times New Roman" w:hAnsi="宋体"/>
          <w:b/>
          <w:bCs/>
          <w:color w:val="0000FF"/>
          <w:sz w:val="24"/>
          <w:szCs w:val="24"/>
        </w:rPr>
        <w:t>作</w:t>
      </w:r>
      <w:r>
        <w:rPr>
          <w:rFonts w:hint="eastAsia" w:ascii="Times New Roman" w:hAnsi="宋体"/>
          <w:b/>
          <w:bCs/>
          <w:color w:val="0000FF"/>
          <w:sz w:val="24"/>
          <w:szCs w:val="24"/>
        </w:rPr>
        <w:t>超耐磨</w:t>
      </w:r>
      <w:r>
        <w:rPr>
          <w:rFonts w:ascii="Times New Roman" w:hAnsi="宋体"/>
          <w:b/>
          <w:bCs/>
          <w:color w:val="0000FF"/>
          <w:sz w:val="24"/>
          <w:szCs w:val="24"/>
        </w:rPr>
        <w:t>面层一层</w:t>
      </w:r>
      <w:r>
        <w:rPr>
          <w:rFonts w:hint="eastAsia" w:ascii="Times New Roman" w:hAnsi="宋体"/>
          <w:b/>
          <w:bCs/>
          <w:color w:val="0000FF"/>
          <w:sz w:val="24"/>
          <w:szCs w:val="24"/>
        </w:rPr>
        <w:t>（如图6所示）</w:t>
      </w:r>
      <w:r>
        <w:rPr>
          <w:rFonts w:ascii="Times New Roman" w:hAnsi="宋体"/>
          <w:b/>
          <w:bCs/>
          <w:color w:val="0000FF"/>
          <w:sz w:val="24"/>
          <w:szCs w:val="24"/>
        </w:rPr>
        <w:t>：</w:t>
      </w:r>
    </w:p>
    <w:p w14:paraId="7A53C694">
      <w:pPr>
        <w:topLinePunct/>
        <w:spacing w:line="432" w:lineRule="auto"/>
        <w:ind w:firstLine="480" w:firstLineChars="200"/>
        <w:rPr>
          <w:rFonts w:ascii="Times New Roman" w:hAnsi="Times New Roman"/>
          <w:sz w:val="24"/>
          <w:szCs w:val="24"/>
        </w:rPr>
      </w:pPr>
      <w:r>
        <w:rPr>
          <w:rFonts w:ascii="Times New Roman" w:hAnsi="宋体"/>
          <w:sz w:val="24"/>
          <w:szCs w:val="24"/>
        </w:rPr>
        <w:t>经检查，环氧树脂</w:t>
      </w:r>
      <w:r>
        <w:rPr>
          <w:rFonts w:hint="eastAsia" w:ascii="Times New Roman" w:hAnsi="宋体"/>
          <w:sz w:val="24"/>
          <w:szCs w:val="24"/>
        </w:rPr>
        <w:t>面</w:t>
      </w:r>
      <w:r>
        <w:rPr>
          <w:rFonts w:ascii="Times New Roman" w:hAnsi="宋体"/>
          <w:sz w:val="24"/>
          <w:szCs w:val="24"/>
        </w:rPr>
        <w:t>层施工符合要求后，进行</w:t>
      </w:r>
      <w:r>
        <w:rPr>
          <w:rFonts w:hint="eastAsia" w:ascii="Times New Roman" w:hAnsi="宋体"/>
          <w:sz w:val="24"/>
          <w:szCs w:val="24"/>
        </w:rPr>
        <w:t>超耐磨</w:t>
      </w:r>
      <w:r>
        <w:rPr>
          <w:rFonts w:ascii="Times New Roman" w:hAnsi="宋体"/>
          <w:sz w:val="24"/>
          <w:szCs w:val="24"/>
        </w:rPr>
        <w:t>面层施工。采用专业工具采用十字滚涂法将配置好的</w:t>
      </w:r>
      <w:r>
        <w:rPr>
          <w:rFonts w:hint="eastAsia" w:ascii="Times New Roman" w:hAnsi="宋体"/>
          <w:sz w:val="24"/>
          <w:szCs w:val="24"/>
        </w:rPr>
        <w:t>超耐磨</w:t>
      </w:r>
      <w:r>
        <w:rPr>
          <w:rFonts w:ascii="Times New Roman" w:hAnsi="宋体"/>
          <w:sz w:val="24"/>
          <w:szCs w:val="24"/>
        </w:rPr>
        <w:t>面料在已施工好的环氧树脂</w:t>
      </w:r>
      <w:r>
        <w:rPr>
          <w:rFonts w:hint="eastAsia" w:ascii="Times New Roman" w:hAnsi="宋体"/>
          <w:sz w:val="24"/>
          <w:szCs w:val="24"/>
        </w:rPr>
        <w:t>面</w:t>
      </w:r>
      <w:r>
        <w:rPr>
          <w:rFonts w:ascii="Times New Roman" w:hAnsi="宋体"/>
          <w:sz w:val="24"/>
          <w:szCs w:val="24"/>
        </w:rPr>
        <w:t>层表面滚涂一道。面层要求：平整、色泽光亮、均匀，无漏涂现象。</w:t>
      </w:r>
    </w:p>
    <w:p w14:paraId="4C30A486">
      <w:pPr>
        <w:topLinePunct/>
        <w:spacing w:line="432" w:lineRule="auto"/>
        <w:ind w:firstLine="482" w:firstLineChars="200"/>
        <w:rPr>
          <w:rFonts w:ascii="Times New Roman" w:hAnsi="Times New Roman"/>
          <w:b/>
          <w:sz w:val="24"/>
          <w:szCs w:val="24"/>
        </w:rPr>
      </w:pPr>
      <w:r>
        <w:rPr>
          <w:rFonts w:ascii="Times New Roman" w:hAnsi="宋体"/>
          <w:b/>
          <w:sz w:val="24"/>
          <w:szCs w:val="24"/>
        </w:rPr>
        <w:t>作用：效果层，展现环氧地坪的亮丽美观，强化</w:t>
      </w:r>
      <w:r>
        <w:rPr>
          <w:rFonts w:hint="eastAsia" w:ascii="Times New Roman" w:hAnsi="宋体"/>
          <w:b/>
          <w:sz w:val="24"/>
          <w:szCs w:val="24"/>
        </w:rPr>
        <w:t>超耐磨</w:t>
      </w:r>
      <w:r>
        <w:rPr>
          <w:rFonts w:ascii="Times New Roman" w:hAnsi="宋体"/>
          <w:b/>
          <w:sz w:val="24"/>
          <w:szCs w:val="24"/>
        </w:rPr>
        <w:t>地坪的耐磨能力。</w:t>
      </w:r>
    </w:p>
    <w:p w14:paraId="32D756FA">
      <w:pPr>
        <w:topLinePunct/>
        <w:spacing w:line="360" w:lineRule="auto"/>
        <w:jc w:val="center"/>
        <w:rPr>
          <w:rFonts w:ascii="Times New Roman" w:hAnsi="Times New Roman"/>
          <w:sz w:val="24"/>
          <w:szCs w:val="24"/>
        </w:rPr>
      </w:pPr>
      <w:r>
        <w:rPr>
          <w:rFonts w:ascii="Times New Roman" w:hAnsi="Times New Roman"/>
          <w:sz w:val="24"/>
          <w:szCs w:val="24"/>
        </w:rPr>
        <w:drawing>
          <wp:inline distT="0" distB="0" distL="114300" distR="114300">
            <wp:extent cx="4319270" cy="2849245"/>
            <wp:effectExtent l="0" t="0" r="5080" b="8255"/>
            <wp:docPr id="49" name="图片 6"/>
            <wp:cNvGraphicFramePr/>
            <a:graphic xmlns:a="http://schemas.openxmlformats.org/drawingml/2006/main">
              <a:graphicData uri="http://schemas.openxmlformats.org/drawingml/2006/picture">
                <pic:pic xmlns:pic="http://schemas.openxmlformats.org/drawingml/2006/picture">
                  <pic:nvPicPr>
                    <pic:cNvPr id="49" name="图片 6"/>
                    <pic:cNvPicPr/>
                  </pic:nvPicPr>
                  <pic:blipFill>
                    <a:blip r:embed="rId9"/>
                    <a:stretch>
                      <a:fillRect/>
                    </a:stretch>
                  </pic:blipFill>
                  <pic:spPr>
                    <a:xfrm>
                      <a:off x="0" y="0"/>
                      <a:ext cx="4319270" cy="2849245"/>
                    </a:xfrm>
                    <a:prstGeom prst="rect">
                      <a:avLst/>
                    </a:prstGeom>
                    <a:noFill/>
                    <a:ln>
                      <a:noFill/>
                    </a:ln>
                  </pic:spPr>
                </pic:pic>
              </a:graphicData>
            </a:graphic>
          </wp:inline>
        </w:drawing>
      </w:r>
    </w:p>
    <w:p w14:paraId="1467FB8A">
      <w:pPr>
        <w:topLinePunct/>
        <w:spacing w:line="432" w:lineRule="auto"/>
        <w:ind w:firstLine="480" w:firstLineChars="200"/>
        <w:rPr>
          <w:rFonts w:ascii="Times New Roman" w:hAnsi="Times New Roman"/>
          <w:sz w:val="24"/>
          <w:szCs w:val="24"/>
        </w:rPr>
      </w:pPr>
      <w:r>
        <w:rPr>
          <w:rFonts w:ascii="Times New Roman" w:hAnsi="Times New Roman"/>
          <w:sz w:val="24"/>
          <w:szCs w:val="24"/>
        </w:rPr>
        <w:t xml:space="preserve"> </w:t>
      </w:r>
    </w:p>
    <w:p w14:paraId="53C45A3F">
      <w:pPr>
        <w:topLinePunct/>
        <w:spacing w:line="432" w:lineRule="auto"/>
        <w:rPr>
          <w:rFonts w:ascii="Times New Roman" w:hAnsi="Times New Roman"/>
          <w:b/>
          <w:bCs/>
          <w:color w:val="0000FF"/>
          <w:sz w:val="24"/>
          <w:szCs w:val="24"/>
        </w:rPr>
      </w:pPr>
      <w:r>
        <w:rPr>
          <w:rFonts w:ascii="Times New Roman" w:hAnsi="Times New Roman"/>
          <w:b/>
          <w:bCs/>
          <w:color w:val="0000FF"/>
          <w:sz w:val="24"/>
          <w:szCs w:val="24"/>
        </w:rPr>
        <w:t>8</w:t>
      </w:r>
      <w:r>
        <w:rPr>
          <w:rFonts w:ascii="宋体" w:hAnsi="宋体"/>
          <w:b/>
          <w:bCs/>
          <w:color w:val="0000FF"/>
          <w:sz w:val="24"/>
          <w:szCs w:val="24"/>
        </w:rPr>
        <w:t>成品养护</w:t>
      </w:r>
    </w:p>
    <w:p w14:paraId="2F8B8F2D">
      <w:pPr>
        <w:topLinePunct/>
        <w:spacing w:line="432" w:lineRule="auto"/>
        <w:ind w:firstLine="480" w:firstLineChars="200"/>
        <w:rPr>
          <w:rFonts w:ascii="Times New Roman" w:hAnsi="Times New Roman"/>
          <w:sz w:val="24"/>
          <w:szCs w:val="24"/>
        </w:rPr>
      </w:pPr>
      <w:r>
        <w:rPr>
          <w:rFonts w:ascii="宋体" w:hAnsi="宋体"/>
          <w:sz w:val="24"/>
          <w:szCs w:val="24"/>
        </w:rPr>
        <w:t>成品应自然干燥</w:t>
      </w:r>
      <w:r>
        <w:rPr>
          <w:rFonts w:ascii="Times New Roman" w:hAnsi="Times New Roman"/>
          <w:sz w:val="24"/>
          <w:szCs w:val="24"/>
        </w:rPr>
        <w:t>3——5</w:t>
      </w:r>
      <w:r>
        <w:rPr>
          <w:rFonts w:ascii="宋体" w:hAnsi="宋体"/>
          <w:sz w:val="24"/>
          <w:szCs w:val="24"/>
        </w:rPr>
        <w:t>天后方可投入使用。进入现场需穿软底鞋具。</w:t>
      </w:r>
    </w:p>
    <w:p w14:paraId="6DA1F8E1">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xZGEzN2I5YTQ0MzAzZTVlYjk2OTllOWQxOTcwMmEifQ=="/>
  </w:docVars>
  <w:rsids>
    <w:rsidRoot w:val="6DFE350A"/>
    <w:rsid w:val="105230F1"/>
    <w:rsid w:val="6DFE350A"/>
    <w:rsid w:val="7DD57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1501</Words>
  <Characters>1561</Characters>
  <Lines>0</Lines>
  <Paragraphs>0</Paragraphs>
  <TotalTime>2</TotalTime>
  <ScaleCrop>false</ScaleCrop>
  <LinksUpToDate>false</LinksUpToDate>
  <CharactersWithSpaces>1584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2024-10-22T12:24:00Z</dcterms:created>
  <dc:creator>Administrator</dc:creator>
  <cp:lastModifiedBy>Administrator</cp:lastModifiedBy>
  <dcterms:modified xsi:type="dcterms:W3CDTF">2024-10-22T12:36:17Z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11D18880B0F140C387AE0D7ECF2975EC_11</vt:lpwstr>
  </property>
</Properties>
</file>