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F575C">
      <w:pPr>
        <w:pStyle w:val="15"/>
        <w:numPr>
          <w:ilvl w:val="0"/>
          <w:numId w:val="1"/>
        </w:numPr>
        <w:spacing w:line="276" w:lineRule="auto"/>
        <w:ind w:left="782" w:hanging="782" w:firstLineChars="0"/>
        <w:contextualSpacing/>
        <w:rPr>
          <w:rFonts w:asciiTheme="minorEastAsia" w:hAnsiTheme="minorEastAsia" w:eastAsiaTheme="minorEastAsia"/>
          <w:b/>
          <w:bCs/>
          <w:color w:val="000000"/>
          <w:sz w:val="28"/>
          <w:szCs w:val="21"/>
        </w:rPr>
      </w:pPr>
      <w:r>
        <w:rPr>
          <w:rFonts w:hint="eastAsia" w:asciiTheme="minorEastAsia" w:hAnsiTheme="minorEastAsia" w:eastAsiaTheme="minorEastAsia"/>
          <w:b/>
          <w:bCs/>
          <w:color w:val="000000"/>
          <w:sz w:val="28"/>
          <w:szCs w:val="21"/>
        </w:rPr>
        <w:t>供应商资质要求</w:t>
      </w:r>
    </w:p>
    <w:p w14:paraId="09B1E7D9">
      <w:pPr>
        <w:spacing w:line="276" w:lineRule="auto"/>
        <w:rPr>
          <w:rFonts w:ascii="宋体" w:hAnsi="宋体"/>
          <w:bCs/>
          <w:szCs w:val="21"/>
        </w:rPr>
      </w:pPr>
      <w:bookmarkStart w:id="0" w:name="_Hlk127362138"/>
      <w:r>
        <w:rPr>
          <w:rFonts w:ascii="宋体" w:hAnsi="宋体"/>
          <w:bCs/>
          <w:szCs w:val="21"/>
        </w:rPr>
        <w:t>1．供应商</w:t>
      </w:r>
      <w:r>
        <w:rPr>
          <w:rFonts w:hint="eastAsia" w:ascii="宋体" w:hAnsi="宋体"/>
          <w:bCs/>
          <w:szCs w:val="21"/>
        </w:rPr>
        <w:t>满足《中华人民共和国政府采购法》第二十二条规定</w:t>
      </w:r>
      <w:r>
        <w:rPr>
          <w:rFonts w:ascii="宋体" w:hAnsi="宋体"/>
          <w:bCs/>
          <w:szCs w:val="21"/>
        </w:rPr>
        <w:t>；</w:t>
      </w:r>
    </w:p>
    <w:p w14:paraId="09182FB6">
      <w:pPr>
        <w:spacing w:line="276" w:lineRule="auto"/>
        <w:rPr>
          <w:rFonts w:ascii="宋体" w:hAnsi="宋体"/>
          <w:bCs/>
          <w:szCs w:val="21"/>
        </w:rPr>
      </w:pPr>
      <w:r>
        <w:rPr>
          <w:rFonts w:hint="eastAsia" w:ascii="宋体" w:hAnsi="宋体"/>
          <w:bCs/>
          <w:szCs w:val="21"/>
        </w:rPr>
        <w:t>（一）具有独立承担民事责任的能力；</w:t>
      </w:r>
    </w:p>
    <w:p w14:paraId="7FEB19F7">
      <w:pPr>
        <w:spacing w:line="276" w:lineRule="auto"/>
        <w:rPr>
          <w:rFonts w:ascii="宋体" w:hAnsi="宋体"/>
          <w:bCs/>
          <w:szCs w:val="21"/>
        </w:rPr>
      </w:pPr>
      <w:r>
        <w:rPr>
          <w:rFonts w:hint="eastAsia" w:ascii="宋体" w:hAnsi="宋体"/>
          <w:bCs/>
          <w:szCs w:val="21"/>
        </w:rPr>
        <w:t>（二）具有良好的商业信誉和健全的财务会计制度；</w:t>
      </w:r>
    </w:p>
    <w:p w14:paraId="79500DCE">
      <w:pPr>
        <w:spacing w:line="276" w:lineRule="auto"/>
        <w:rPr>
          <w:rFonts w:ascii="宋体" w:hAnsi="宋体"/>
          <w:bCs/>
          <w:szCs w:val="21"/>
        </w:rPr>
      </w:pPr>
      <w:r>
        <w:rPr>
          <w:rFonts w:hint="eastAsia" w:ascii="宋体" w:hAnsi="宋体"/>
          <w:bCs/>
          <w:szCs w:val="21"/>
        </w:rPr>
        <w:t>（三）具有履行合同所必需的设备和专业技术能力；</w:t>
      </w:r>
    </w:p>
    <w:p w14:paraId="0F2E7DD1">
      <w:pPr>
        <w:spacing w:line="276" w:lineRule="auto"/>
        <w:rPr>
          <w:rFonts w:ascii="宋体" w:hAnsi="宋体"/>
          <w:bCs/>
          <w:szCs w:val="21"/>
        </w:rPr>
      </w:pPr>
      <w:r>
        <w:rPr>
          <w:rFonts w:hint="eastAsia" w:ascii="宋体" w:hAnsi="宋体"/>
          <w:bCs/>
          <w:szCs w:val="21"/>
        </w:rPr>
        <w:t>（四）有依法缴纳税收和社会保障资金的良好记录；</w:t>
      </w:r>
    </w:p>
    <w:p w14:paraId="059D76A6">
      <w:pPr>
        <w:spacing w:line="276" w:lineRule="auto"/>
        <w:rPr>
          <w:rFonts w:ascii="宋体" w:hAnsi="宋体"/>
          <w:bCs/>
          <w:szCs w:val="21"/>
        </w:rPr>
      </w:pPr>
      <w:r>
        <w:rPr>
          <w:rFonts w:hint="eastAsia" w:ascii="宋体" w:hAnsi="宋体"/>
          <w:bCs/>
          <w:szCs w:val="21"/>
        </w:rPr>
        <w:t>（五）参加政府采购活动前三年内，在经营活动中没有重大违法记录；</w:t>
      </w:r>
    </w:p>
    <w:p w14:paraId="04DD68DE">
      <w:pPr>
        <w:spacing w:line="276" w:lineRule="auto"/>
        <w:rPr>
          <w:rFonts w:ascii="宋体" w:hAnsi="宋体"/>
          <w:bCs/>
          <w:szCs w:val="21"/>
        </w:rPr>
      </w:pPr>
      <w:r>
        <w:rPr>
          <w:rFonts w:hint="eastAsia" w:ascii="宋体" w:hAnsi="宋体"/>
          <w:bCs/>
          <w:szCs w:val="21"/>
        </w:rPr>
        <w:t>（六）法律、行政法规规定的其他条件。</w:t>
      </w:r>
    </w:p>
    <w:p w14:paraId="3D0CC6B8">
      <w:pPr>
        <w:spacing w:line="276" w:lineRule="auto"/>
        <w:rPr>
          <w:rFonts w:ascii="宋体" w:hAnsi="宋体"/>
          <w:bCs/>
          <w:szCs w:val="21"/>
        </w:rPr>
      </w:pPr>
      <w:r>
        <w:rPr>
          <w:rFonts w:ascii="宋体" w:hAnsi="宋体"/>
          <w:bCs/>
          <w:szCs w:val="21"/>
        </w:rPr>
        <w:t>2．</w:t>
      </w:r>
      <w:r>
        <w:rPr>
          <w:rFonts w:hint="eastAsia" w:ascii="宋体" w:hAnsi="宋体"/>
          <w:bCs/>
          <w:szCs w:val="21"/>
        </w:rPr>
        <w:t>落实政府采购政策需满足的资格要求：无</w:t>
      </w:r>
    </w:p>
    <w:p w14:paraId="0EF90F6B">
      <w:pPr>
        <w:spacing w:line="276" w:lineRule="auto"/>
        <w:rPr>
          <w:rFonts w:ascii="宋体" w:hAnsi="宋体"/>
          <w:bCs/>
          <w:szCs w:val="21"/>
        </w:rPr>
      </w:pPr>
      <w:r>
        <w:rPr>
          <w:rFonts w:hint="eastAsia" w:ascii="宋体" w:hAnsi="宋体"/>
          <w:bCs/>
          <w:szCs w:val="21"/>
        </w:rPr>
        <w:t>3.本项目的特定资格要求：</w:t>
      </w:r>
    </w:p>
    <w:p w14:paraId="43D175A6">
      <w:pPr>
        <w:spacing w:line="276" w:lineRule="auto"/>
        <w:rPr>
          <w:rFonts w:hint="eastAsia" w:ascii="宋体" w:hAnsi="宋体"/>
          <w:bCs/>
          <w:szCs w:val="21"/>
        </w:rPr>
      </w:pPr>
      <w:r>
        <w:rPr>
          <w:rFonts w:hint="eastAsia" w:ascii="宋体" w:hAnsi="宋体"/>
          <w:bCs/>
          <w:szCs w:val="21"/>
        </w:rPr>
        <w:t>（一）经营范围包含技术咨询、教育咨询和数据处理</w:t>
      </w:r>
    </w:p>
    <w:p w14:paraId="559B487B">
      <w:pPr>
        <w:spacing w:line="276" w:lineRule="auto"/>
        <w:rPr>
          <w:rFonts w:hint="eastAsia" w:ascii="宋体" w:hAnsi="宋体"/>
          <w:bCs/>
          <w:szCs w:val="21"/>
        </w:rPr>
      </w:pPr>
      <w:r>
        <w:rPr>
          <w:rFonts w:hint="eastAsia" w:ascii="宋体" w:hAnsi="宋体"/>
          <w:bCs/>
          <w:szCs w:val="21"/>
        </w:rPr>
        <w:t>（二）供应商需提供在中国裁判文书网（https://wenshu.court.gov.cn/）的查询截图，不能有记录。</w:t>
      </w:r>
    </w:p>
    <w:p w14:paraId="0EC36C61">
      <w:pPr>
        <w:spacing w:line="276" w:lineRule="auto"/>
        <w:rPr>
          <w:rFonts w:ascii="宋体" w:hAnsi="宋体"/>
          <w:bCs/>
          <w:szCs w:val="21"/>
        </w:rPr>
      </w:pPr>
      <w:r>
        <w:rPr>
          <w:rFonts w:hint="eastAsia" w:ascii="宋体" w:hAnsi="宋体"/>
          <w:bCs/>
          <w:szCs w:val="21"/>
        </w:rPr>
        <w:t>4</w:t>
      </w:r>
      <w:r>
        <w:rPr>
          <w:rFonts w:ascii="宋体" w:hAnsi="宋体"/>
          <w:bCs/>
          <w:szCs w:val="21"/>
        </w:rPr>
        <w:t>.本项目不接受联合体投标。</w:t>
      </w:r>
    </w:p>
    <w:bookmarkEnd w:id="0"/>
    <w:p w14:paraId="785C6EC8">
      <w:pPr>
        <w:spacing w:line="276" w:lineRule="auto"/>
        <w:contextualSpacing/>
        <w:jc w:val="left"/>
        <w:rPr>
          <w:rFonts w:ascii="Calibri" w:hAnsi="Calibri" w:eastAsiaTheme="minorEastAsia"/>
          <w:bCs/>
        </w:rPr>
      </w:pPr>
    </w:p>
    <w:p w14:paraId="291B53A5">
      <w:pPr>
        <w:pStyle w:val="15"/>
        <w:numPr>
          <w:ilvl w:val="0"/>
          <w:numId w:val="1"/>
        </w:numPr>
        <w:spacing w:line="276" w:lineRule="auto"/>
        <w:ind w:left="782" w:hanging="782" w:firstLineChars="0"/>
        <w:contextualSpacing/>
        <w:rPr>
          <w:rFonts w:asciiTheme="minorEastAsia" w:hAnsiTheme="minorEastAsia" w:eastAsiaTheme="minorEastAsia"/>
          <w:b/>
          <w:bCs/>
          <w:color w:val="000000"/>
          <w:sz w:val="28"/>
          <w:szCs w:val="21"/>
        </w:rPr>
      </w:pPr>
      <w:r>
        <w:rPr>
          <w:rFonts w:hint="eastAsia" w:asciiTheme="minorEastAsia" w:hAnsiTheme="minorEastAsia" w:eastAsiaTheme="minorEastAsia"/>
          <w:b/>
          <w:bCs/>
          <w:color w:val="000000"/>
          <w:sz w:val="28"/>
          <w:szCs w:val="21"/>
        </w:rPr>
        <w:t>项目要求及技术需求</w:t>
      </w:r>
    </w:p>
    <w:p w14:paraId="3DD77A5F">
      <w:pPr>
        <w:spacing w:before="156" w:beforeLines="50" w:after="156" w:afterLines="50" w:line="276" w:lineRule="auto"/>
        <w:contextualSpacing/>
        <w:rPr>
          <w:rFonts w:asciiTheme="minorEastAsia" w:hAnsiTheme="minorEastAsia" w:eastAsiaTheme="minorEastAsia"/>
          <w:b/>
          <w:color w:val="2E75B6" w:themeColor="accent1" w:themeShade="BF"/>
          <w:sz w:val="28"/>
          <w:szCs w:val="22"/>
        </w:rPr>
      </w:pPr>
      <w:r>
        <w:rPr>
          <w:rFonts w:hint="eastAsia" w:asciiTheme="minorEastAsia" w:hAnsiTheme="minorEastAsia" w:eastAsiaTheme="minorEastAsia"/>
          <w:b/>
          <w:color w:val="2E75B6" w:themeColor="accent1" w:themeShade="BF"/>
          <w:sz w:val="28"/>
        </w:rPr>
        <w:t>内容要求：</w:t>
      </w:r>
    </w:p>
    <w:p w14:paraId="0E7E7132">
      <w:pPr>
        <w:spacing w:line="276" w:lineRule="auto"/>
        <w:ind w:firstLine="420"/>
        <w:contextualSpacing/>
        <w:rPr>
          <w:rFonts w:cs="Arial" w:asciiTheme="minorEastAsia" w:hAnsiTheme="minorEastAsia" w:eastAsiaTheme="minorEastAsia"/>
          <w:szCs w:val="21"/>
        </w:rPr>
      </w:pPr>
      <w:r>
        <w:rPr>
          <w:rFonts w:hint="eastAsia" w:cs="Arial" w:asciiTheme="minorEastAsia" w:hAnsiTheme="minorEastAsia" w:eastAsiaTheme="minorEastAsia"/>
          <w:szCs w:val="21"/>
        </w:rPr>
        <w:t>根据教育部及各省教育厅对年报内容的需求，制定有针对性的调研问卷，完全覆盖就业质量年报要求所需的内容。报告大纲根据教育主管部门要求编制，确保年报内容完备。内容应包括但不限于以下内容：</w:t>
      </w:r>
    </w:p>
    <w:tbl>
      <w:tblPr>
        <w:tblStyle w:val="9"/>
        <w:tblW w:w="839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29"/>
        <w:gridCol w:w="6365"/>
      </w:tblGrid>
      <w:tr w14:paraId="14CFDF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jc w:val="center"/>
        </w:trPr>
        <w:tc>
          <w:tcPr>
            <w:tcW w:w="202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67E01BE">
            <w:pPr>
              <w:spacing w:line="276" w:lineRule="auto"/>
              <w:contextualSpacing/>
              <w:jc w:val="center"/>
              <w:rPr>
                <w:b/>
                <w:szCs w:val="21"/>
              </w:rPr>
            </w:pPr>
            <w:r>
              <w:rPr>
                <w:rFonts w:hint="eastAsia" w:hAnsi="宋体"/>
                <w:b/>
                <w:szCs w:val="21"/>
              </w:rPr>
              <w:t>需求指标</w:t>
            </w:r>
          </w:p>
        </w:tc>
        <w:tc>
          <w:tcPr>
            <w:tcW w:w="6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B158D05">
            <w:pPr>
              <w:spacing w:line="276" w:lineRule="auto"/>
              <w:contextualSpacing/>
              <w:jc w:val="center"/>
              <w:rPr>
                <w:b/>
                <w:szCs w:val="21"/>
              </w:rPr>
            </w:pPr>
            <w:r>
              <w:rPr>
                <w:rFonts w:hint="eastAsia" w:hAnsi="宋体"/>
                <w:b/>
                <w:szCs w:val="21"/>
              </w:rPr>
              <w:t>指标说明</w:t>
            </w:r>
          </w:p>
        </w:tc>
      </w:tr>
      <w:tr w14:paraId="3EC39A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jc w:val="center"/>
        </w:trPr>
        <w:tc>
          <w:tcPr>
            <w:tcW w:w="2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5AE733D">
            <w:pPr>
              <w:spacing w:line="276" w:lineRule="auto"/>
              <w:contextualSpacing/>
              <w:jc w:val="left"/>
              <w:rPr>
                <w:szCs w:val="21"/>
              </w:rPr>
            </w:pPr>
            <w:r>
              <w:rPr>
                <w:rFonts w:hint="eastAsia" w:hAnsi="宋体"/>
                <w:szCs w:val="21"/>
              </w:rPr>
              <w:t>就业基本情况</w:t>
            </w:r>
          </w:p>
        </w:tc>
        <w:tc>
          <w:tcPr>
            <w:tcW w:w="6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087A4A2">
            <w:pPr>
              <w:spacing w:line="276" w:lineRule="auto"/>
              <w:contextualSpacing/>
              <w:rPr>
                <w:szCs w:val="21"/>
              </w:rPr>
            </w:pPr>
            <w:r>
              <w:rPr>
                <w:rFonts w:hint="eastAsia" w:hAnsi="宋体"/>
                <w:szCs w:val="21"/>
              </w:rPr>
              <w:t>包含毕业生的规模和结构、毕业生的毕业去向落实率及去向、毕业生的就业流向（包含行业职业、用人单位、地区流向）、毕业生的升学情况、创业情况。</w:t>
            </w:r>
          </w:p>
        </w:tc>
      </w:tr>
      <w:tr w14:paraId="3003B4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jc w:val="center"/>
        </w:trPr>
        <w:tc>
          <w:tcPr>
            <w:tcW w:w="2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10C891B">
            <w:pPr>
              <w:tabs>
                <w:tab w:val="left" w:pos="2145"/>
              </w:tabs>
              <w:spacing w:line="276" w:lineRule="auto"/>
              <w:contextualSpacing/>
              <w:jc w:val="left"/>
              <w:rPr>
                <w:szCs w:val="21"/>
              </w:rPr>
            </w:pPr>
            <w:r>
              <w:rPr>
                <w:rFonts w:hint="eastAsia"/>
                <w:bCs/>
                <w:szCs w:val="21"/>
              </w:rPr>
              <w:t>就业主要特点</w:t>
            </w:r>
          </w:p>
        </w:tc>
        <w:tc>
          <w:tcPr>
            <w:tcW w:w="6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8F4BD02">
            <w:pPr>
              <w:spacing w:line="276" w:lineRule="auto"/>
              <w:contextualSpacing/>
              <w:rPr>
                <w:szCs w:val="21"/>
              </w:rPr>
            </w:pPr>
            <w:r>
              <w:rPr>
                <w:rFonts w:hint="eastAsia" w:hAnsi="宋体"/>
                <w:szCs w:val="21"/>
              </w:rPr>
              <w:t>包含毕业生对自身求职过程的评价、对学校就业服务工作情况、创新创业教育情况的反馈，同时由学校提供其促进毕业生就业的政策措施，供应商整理并展示在报告中。</w:t>
            </w:r>
          </w:p>
        </w:tc>
      </w:tr>
      <w:tr w14:paraId="706A87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jc w:val="center"/>
        </w:trPr>
        <w:tc>
          <w:tcPr>
            <w:tcW w:w="2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9286E6D">
            <w:pPr>
              <w:tabs>
                <w:tab w:val="left" w:pos="795"/>
              </w:tabs>
              <w:spacing w:line="276" w:lineRule="auto"/>
              <w:contextualSpacing/>
              <w:jc w:val="left"/>
              <w:rPr>
                <w:szCs w:val="21"/>
              </w:rPr>
            </w:pPr>
            <w:r>
              <w:rPr>
                <w:rFonts w:hint="eastAsia"/>
                <w:bCs/>
                <w:szCs w:val="21"/>
              </w:rPr>
              <w:t>就业相关分析</w:t>
            </w:r>
          </w:p>
        </w:tc>
        <w:tc>
          <w:tcPr>
            <w:tcW w:w="6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F210285">
            <w:pPr>
              <w:spacing w:line="276" w:lineRule="auto"/>
              <w:contextualSpacing/>
              <w:rPr>
                <w:szCs w:val="21"/>
              </w:rPr>
            </w:pPr>
            <w:r>
              <w:rPr>
                <w:rFonts w:hint="eastAsia" w:hAnsi="宋体"/>
                <w:szCs w:val="21"/>
              </w:rPr>
              <w:t>分析毕业生的就业状况，包含毕业生就业的工作与专业相关度、就业现状满意度等指标，反映毕业生的就业质量。</w:t>
            </w:r>
          </w:p>
        </w:tc>
      </w:tr>
      <w:tr w14:paraId="55AEC5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jc w:val="center"/>
        </w:trPr>
        <w:tc>
          <w:tcPr>
            <w:tcW w:w="2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1E1E0C3">
            <w:pPr>
              <w:spacing w:line="276" w:lineRule="auto"/>
              <w:contextualSpacing/>
              <w:jc w:val="left"/>
              <w:rPr>
                <w:szCs w:val="21"/>
              </w:rPr>
            </w:pPr>
            <w:r>
              <w:rPr>
                <w:rFonts w:hint="eastAsia"/>
                <w:bCs/>
                <w:szCs w:val="21"/>
              </w:rPr>
              <w:t>就业发展趋势分析</w:t>
            </w:r>
          </w:p>
        </w:tc>
        <w:tc>
          <w:tcPr>
            <w:tcW w:w="6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1787860">
            <w:pPr>
              <w:spacing w:line="276" w:lineRule="auto"/>
              <w:contextualSpacing/>
              <w:rPr>
                <w:szCs w:val="21"/>
              </w:rPr>
            </w:pPr>
            <w:r>
              <w:rPr>
                <w:rFonts w:hint="eastAsia" w:hAnsi="宋体"/>
                <w:szCs w:val="21"/>
              </w:rPr>
              <w:t>包含毕业生的毕业去向、就业流向、就业质量的变化趋势，根据毕业生的就业趋势数据撰写就业趋势性研判的内容。</w:t>
            </w:r>
          </w:p>
        </w:tc>
      </w:tr>
      <w:tr w14:paraId="4E4DE0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jc w:val="center"/>
        </w:trPr>
        <w:tc>
          <w:tcPr>
            <w:tcW w:w="202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CCA7D2F">
            <w:pPr>
              <w:spacing w:line="276" w:lineRule="auto"/>
              <w:contextualSpacing/>
              <w:jc w:val="left"/>
              <w:rPr>
                <w:bCs/>
                <w:szCs w:val="21"/>
              </w:rPr>
            </w:pPr>
            <w:r>
              <w:rPr>
                <w:rFonts w:hint="eastAsia"/>
                <w:bCs/>
                <w:szCs w:val="21"/>
              </w:rPr>
              <w:t>对教育教学的反馈</w:t>
            </w:r>
          </w:p>
        </w:tc>
        <w:tc>
          <w:tcPr>
            <w:tcW w:w="6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F313868">
            <w:pPr>
              <w:spacing w:line="276" w:lineRule="auto"/>
              <w:contextualSpacing/>
              <w:rPr>
                <w:rFonts w:hAnsi="宋体"/>
                <w:szCs w:val="21"/>
              </w:rPr>
            </w:pPr>
            <w:r>
              <w:rPr>
                <w:rFonts w:hint="eastAsia" w:hAnsi="宋体"/>
                <w:szCs w:val="21"/>
              </w:rPr>
              <w:t>分析毕业生对人才培养的反馈，包含毕业生对学校的满意度、对教学和能力培养情况的评价，根据就业和培养反馈数据从人才培养等方面撰写改进措施，学校也可以提供就业对招生、专业设置、人才培养反馈方面的内容，供应商整理并展示在报告中。</w:t>
            </w:r>
          </w:p>
        </w:tc>
      </w:tr>
    </w:tbl>
    <w:p w14:paraId="042AEA4A">
      <w:pPr>
        <w:spacing w:before="156" w:beforeLines="50" w:after="156" w:afterLines="50" w:line="276" w:lineRule="auto"/>
        <w:contextualSpacing/>
        <w:jc w:val="left"/>
        <w:rPr>
          <w:rFonts w:asciiTheme="minorEastAsia" w:hAnsiTheme="minorEastAsia" w:eastAsiaTheme="minorEastAsia"/>
          <w:b/>
          <w:color w:val="2E75B6" w:themeColor="accent1" w:themeShade="BF"/>
          <w:sz w:val="28"/>
          <w:szCs w:val="22"/>
        </w:rPr>
      </w:pPr>
      <w:bookmarkStart w:id="1" w:name="_Hlk17103907"/>
      <w:bookmarkStart w:id="2" w:name="_Hlk26455432"/>
      <w:r>
        <w:rPr>
          <w:rFonts w:hint="eastAsia" w:asciiTheme="minorEastAsia" w:hAnsiTheme="minorEastAsia" w:eastAsiaTheme="minorEastAsia"/>
          <w:b/>
          <w:color w:val="2E75B6" w:themeColor="accent1" w:themeShade="BF"/>
          <w:sz w:val="28"/>
        </w:rPr>
        <w:t>技术需求：</w:t>
      </w:r>
    </w:p>
    <w:p w14:paraId="7D6AD9EB">
      <w:pPr>
        <w:spacing w:line="276" w:lineRule="auto"/>
        <w:contextualSpacing/>
        <w:jc w:val="left"/>
        <w:rPr>
          <w:rFonts w:ascii="Calibri" w:hAnsi="Calibri" w:eastAsiaTheme="minorEastAsia"/>
          <w:color w:val="000000"/>
          <w:u w:val="single"/>
        </w:rPr>
      </w:pPr>
      <w:r>
        <w:rPr>
          <w:rFonts w:ascii="Calibri" w:hAnsi="Calibri" w:eastAsiaTheme="minorEastAsia"/>
          <w:color w:val="000000"/>
        </w:rPr>
        <w:t>1</w:t>
      </w:r>
      <w:r>
        <w:rPr>
          <w:rFonts w:hint="eastAsia" w:ascii="Calibri" w:hAnsi="Calibri" w:eastAsiaTheme="minorEastAsia"/>
          <w:color w:val="000000"/>
        </w:rPr>
        <w:t>.</w:t>
      </w:r>
      <w:r>
        <w:rPr>
          <w:rFonts w:hint="eastAsia" w:ascii="Calibri" w:hAnsi="Calibri" w:eastAsiaTheme="minorEastAsia"/>
          <w:b/>
          <w:color w:val="000000"/>
        </w:rPr>
        <w:t>项目进度查询系统：</w:t>
      </w:r>
      <w:r>
        <w:rPr>
          <w:rFonts w:hint="eastAsia" w:ascii="Calibri" w:hAnsi="Calibri" w:eastAsiaTheme="minorEastAsia"/>
          <w:color w:val="000000"/>
        </w:rPr>
        <w:t>供应商须提供一套数据查询系统，让我校在调研过程中以及调研完成后，能够通过该系统实时了解项目进展以及查看样本回收情况。供应商须免费为我校进行此系统的维护工作。</w:t>
      </w:r>
    </w:p>
    <w:p w14:paraId="0736FFB1">
      <w:pPr>
        <w:spacing w:line="276" w:lineRule="auto"/>
        <w:contextualSpacing/>
        <w:jc w:val="left"/>
        <w:rPr>
          <w:rFonts w:ascii="Calibri" w:hAnsi="Calibri" w:eastAsiaTheme="minorEastAsia"/>
          <w:color w:val="000000"/>
        </w:rPr>
      </w:pPr>
      <w:r>
        <w:rPr>
          <w:rFonts w:ascii="Calibri" w:hAnsi="Calibri" w:eastAsiaTheme="minorEastAsia"/>
          <w:color w:val="000000"/>
        </w:rPr>
        <w:t>2</w:t>
      </w:r>
      <w:r>
        <w:rPr>
          <w:rFonts w:hint="eastAsia" w:ascii="Calibri" w:hAnsi="Calibri" w:eastAsiaTheme="minorEastAsia"/>
          <w:color w:val="000000"/>
        </w:rPr>
        <w:t>.</w:t>
      </w:r>
      <w:r>
        <w:rPr>
          <w:rFonts w:hint="eastAsia" w:ascii="Calibri" w:hAnsi="Calibri" w:eastAsiaTheme="minorEastAsia"/>
          <w:b/>
          <w:color w:val="000000"/>
        </w:rPr>
        <w:t>调研要求：</w:t>
      </w:r>
      <w:r>
        <w:rPr>
          <w:rFonts w:hint="eastAsia" w:ascii="宋体" w:hAnsi="宋体"/>
          <w:color w:val="000000"/>
          <w:lang w:val="en-GB"/>
        </w:rPr>
        <w:t>为学校提供后台监控系统账号，以便学校随时了解答题进展</w:t>
      </w:r>
      <w:r>
        <w:rPr>
          <w:rFonts w:hint="eastAsia" w:ascii="Calibri" w:hAnsi="Calibri" w:eastAsiaTheme="minorEastAsia"/>
          <w:color w:val="000000"/>
        </w:rPr>
        <w:t>。</w:t>
      </w:r>
    </w:p>
    <w:p w14:paraId="63FBCB64">
      <w:pPr>
        <w:spacing w:line="276" w:lineRule="auto"/>
        <w:contextualSpacing/>
        <w:jc w:val="left"/>
        <w:rPr>
          <w:rFonts w:ascii="Calibri" w:hAnsi="Calibri" w:eastAsiaTheme="minorEastAsia"/>
          <w:color w:val="000000"/>
        </w:rPr>
      </w:pPr>
      <w:r>
        <w:rPr>
          <w:rFonts w:ascii="Calibri" w:hAnsi="Calibri" w:eastAsiaTheme="minorEastAsia"/>
          <w:color w:val="000000"/>
        </w:rPr>
        <w:t>3</w:t>
      </w:r>
      <w:r>
        <w:rPr>
          <w:rFonts w:hint="eastAsia" w:ascii="Calibri" w:hAnsi="Calibri" w:eastAsiaTheme="minorEastAsia"/>
          <w:color w:val="000000"/>
        </w:rPr>
        <w:t>.</w:t>
      </w:r>
      <w:r>
        <w:rPr>
          <w:rFonts w:hint="eastAsia" w:ascii="Calibri" w:hAnsi="Calibri" w:eastAsiaTheme="minorEastAsia"/>
          <w:b/>
          <w:color w:val="000000"/>
        </w:rPr>
        <w:t>保障答题真实性：</w:t>
      </w:r>
      <w:r>
        <w:rPr>
          <w:rFonts w:hint="eastAsia" w:ascii="Calibri" w:hAnsi="Calibri" w:eastAsiaTheme="minorEastAsia"/>
          <w:color w:val="000000"/>
        </w:rPr>
        <w:t>供应商须在调研完成后提供此次调研所有原始数据库，我校可通过数据库内容抽查毕业生真实答题情况。</w:t>
      </w:r>
    </w:p>
    <w:p w14:paraId="4DB6ADF8">
      <w:pPr>
        <w:spacing w:line="276" w:lineRule="auto"/>
        <w:contextualSpacing/>
        <w:jc w:val="left"/>
        <w:rPr>
          <w:rFonts w:ascii="Calibri" w:hAnsi="Calibri" w:eastAsiaTheme="minorEastAsia"/>
          <w:b/>
          <w:bCs/>
          <w:color w:val="000000"/>
        </w:rPr>
      </w:pPr>
      <w:r>
        <w:rPr>
          <w:rFonts w:ascii="Calibri" w:hAnsi="Calibri" w:eastAsiaTheme="minorEastAsia"/>
          <w:color w:val="000000"/>
        </w:rPr>
        <w:t>4</w:t>
      </w:r>
      <w:r>
        <w:rPr>
          <w:rFonts w:hint="eastAsia" w:ascii="Calibri" w:hAnsi="Calibri" w:eastAsiaTheme="minorEastAsia"/>
          <w:color w:val="000000"/>
        </w:rPr>
        <w:t>.</w:t>
      </w:r>
      <w:r>
        <w:rPr>
          <w:rFonts w:hint="eastAsia" w:ascii="Calibri" w:hAnsi="Calibri" w:eastAsiaTheme="minorEastAsia"/>
          <w:b/>
          <w:bCs/>
          <w:color w:val="000000"/>
        </w:rPr>
        <w:t>数据安全性：</w:t>
      </w:r>
      <w:bookmarkStart w:id="3" w:name="_Hlk17103878"/>
      <w:r>
        <w:rPr>
          <w:rFonts w:hint="eastAsia" w:ascii="宋体" w:hAnsi="宋体"/>
          <w:color w:val="000000"/>
          <w:lang w:val="en-GB"/>
        </w:rPr>
        <w:t>供应商</w:t>
      </w:r>
      <w:bookmarkEnd w:id="3"/>
      <w:r>
        <w:rPr>
          <w:rFonts w:hint="eastAsia" w:ascii="宋体" w:hAnsi="宋体"/>
          <w:color w:val="000000"/>
          <w:lang w:val="en-GB"/>
        </w:rPr>
        <w:t>应保障相关信息安全。整体项目能够保证数据安全性，有专用邮件服务器进行数据交换，确保原始数据的保密。</w:t>
      </w:r>
    </w:p>
    <w:p w14:paraId="743CD97C">
      <w:pPr>
        <w:spacing w:line="276" w:lineRule="auto"/>
        <w:contextualSpacing/>
        <w:jc w:val="left"/>
        <w:rPr>
          <w:rFonts w:ascii="Calibri" w:hAnsi="Calibri" w:cs="Arial" w:eastAsiaTheme="minorEastAsia"/>
          <w:szCs w:val="21"/>
        </w:rPr>
      </w:pPr>
      <w:r>
        <w:rPr>
          <w:rFonts w:ascii="Calibri" w:hAnsi="Calibri" w:eastAsiaTheme="minorEastAsia"/>
          <w:color w:val="000000"/>
        </w:rPr>
        <w:t>5</w:t>
      </w:r>
      <w:r>
        <w:rPr>
          <w:rFonts w:hint="eastAsia" w:ascii="Calibri" w:hAnsi="Calibri" w:eastAsiaTheme="minorEastAsia"/>
          <w:color w:val="000000"/>
        </w:rPr>
        <w:t>.</w:t>
      </w:r>
      <w:r>
        <w:rPr>
          <w:rFonts w:hint="eastAsia" w:ascii="Calibri" w:hAnsi="Calibri" w:cs="Arial" w:eastAsiaTheme="minorEastAsia"/>
          <w:b/>
          <w:szCs w:val="21"/>
        </w:rPr>
        <w:t>薪资与能力测评报告：</w:t>
      </w:r>
      <w:r>
        <w:rPr>
          <w:rFonts w:hint="eastAsia" w:ascii="Calibri" w:hAnsi="Calibri" w:eastAsiaTheme="minorEastAsia"/>
          <w:color w:val="000000"/>
        </w:rPr>
        <w:t>供应商须</w:t>
      </w:r>
      <w:r>
        <w:rPr>
          <w:rFonts w:hint="eastAsia" w:ascii="Calibri" w:hAnsi="Calibri" w:cs="Arial" w:eastAsiaTheme="minorEastAsia"/>
          <w:szCs w:val="21"/>
        </w:rPr>
        <w:t>在每位毕业生完成答题后，为答题者出具他个人的薪资与能力测评报告。让我校毕业生能够通过报告看到自己与同届毕业生在相同职业岗位上的薪资、能力水平的对比。</w:t>
      </w:r>
    </w:p>
    <w:p w14:paraId="5D705472">
      <w:pPr>
        <w:spacing w:line="276" w:lineRule="auto"/>
        <w:contextualSpacing/>
        <w:jc w:val="left"/>
        <w:rPr>
          <w:rFonts w:ascii="Calibri" w:hAnsi="Calibri" w:eastAsiaTheme="minorEastAsia"/>
          <w:color w:val="000000"/>
        </w:rPr>
      </w:pPr>
      <w:r>
        <w:rPr>
          <w:rFonts w:ascii="Calibri" w:hAnsi="Calibri" w:eastAsiaTheme="minorEastAsia"/>
          <w:color w:val="000000"/>
        </w:rPr>
        <w:t>6</w:t>
      </w:r>
      <w:r>
        <w:rPr>
          <w:rFonts w:hint="eastAsia" w:ascii="Calibri" w:hAnsi="Calibri" w:eastAsiaTheme="minorEastAsia"/>
          <w:color w:val="000000"/>
        </w:rPr>
        <w:t>.</w:t>
      </w:r>
      <w:r>
        <w:rPr>
          <w:rFonts w:hint="eastAsia" w:ascii="Calibri" w:hAnsi="Calibri" w:eastAsiaTheme="minorEastAsia"/>
          <w:b/>
          <w:bCs/>
          <w:color w:val="000000"/>
        </w:rPr>
        <w:t>分析要求：</w:t>
      </w:r>
      <w:r>
        <w:rPr>
          <w:rFonts w:hint="eastAsia" w:ascii="Calibri" w:hAnsi="Calibri" w:eastAsiaTheme="minorEastAsia"/>
          <w:color w:val="000000"/>
        </w:rPr>
        <w:t>分析报告内容需细化到专业。</w:t>
      </w:r>
    </w:p>
    <w:p w14:paraId="3964708E">
      <w:pPr>
        <w:spacing w:before="156" w:beforeLines="50" w:after="156" w:afterLines="50" w:line="276" w:lineRule="auto"/>
        <w:contextualSpacing/>
        <w:jc w:val="left"/>
        <w:rPr>
          <w:rFonts w:ascii="Calibri" w:hAnsi="Calibri" w:eastAsiaTheme="minorEastAsia"/>
          <w:b/>
          <w:color w:val="2E75B6" w:themeColor="accent1" w:themeShade="BF"/>
          <w:sz w:val="28"/>
        </w:rPr>
      </w:pPr>
      <w:r>
        <w:rPr>
          <w:rFonts w:hint="eastAsia" w:ascii="Calibri" w:hAnsi="Calibri" w:eastAsiaTheme="minorEastAsia"/>
          <w:b/>
          <w:color w:val="2E75B6" w:themeColor="accent1" w:themeShade="BF"/>
          <w:sz w:val="28"/>
        </w:rPr>
        <w:t>交付成果：</w:t>
      </w:r>
    </w:p>
    <w:p w14:paraId="5D3EDAF0">
      <w:pPr>
        <w:spacing w:line="276" w:lineRule="auto"/>
        <w:contextualSpacing/>
        <w:jc w:val="left"/>
        <w:rPr>
          <w:rFonts w:ascii="Calibri" w:hAnsi="Calibri" w:eastAsiaTheme="minorEastAsia"/>
          <w:color w:val="000000"/>
        </w:rPr>
      </w:pPr>
      <w:r>
        <w:rPr>
          <w:rFonts w:ascii="Calibri" w:hAnsi="Calibri" w:eastAsiaTheme="minorEastAsia"/>
          <w:color w:val="000000"/>
        </w:rPr>
        <w:t>1</w:t>
      </w:r>
      <w:r>
        <w:rPr>
          <w:rFonts w:hint="eastAsia" w:ascii="Calibri" w:hAnsi="Calibri" w:eastAsiaTheme="minorEastAsia"/>
          <w:color w:val="000000"/>
        </w:rPr>
        <w:t>.按照以上要求</w:t>
      </w:r>
      <w:bookmarkStart w:id="4" w:name="_GoBack"/>
      <w:bookmarkEnd w:id="4"/>
      <w:r>
        <w:rPr>
          <w:rFonts w:hint="eastAsia" w:ascii="Calibri" w:hAnsi="Calibri" w:eastAsiaTheme="minorEastAsia"/>
          <w:color w:val="000000"/>
        </w:rPr>
        <w:t>出具我校</w:t>
      </w:r>
      <w:r>
        <w:rPr>
          <w:rFonts w:ascii="Calibri" w:hAnsi="Calibri" w:eastAsiaTheme="minorEastAsia"/>
          <w:color w:val="000000"/>
        </w:rPr>
        <w:t>2024</w:t>
      </w:r>
      <w:r>
        <w:rPr>
          <w:rFonts w:hint="eastAsia" w:ascii="Calibri" w:hAnsi="Calibri" w:eastAsiaTheme="minorEastAsia"/>
          <w:color w:val="000000"/>
        </w:rPr>
        <w:t>届毕业生就业质量年度报告；</w:t>
      </w:r>
    </w:p>
    <w:p w14:paraId="4F6223D8">
      <w:pPr>
        <w:spacing w:line="276" w:lineRule="auto"/>
        <w:contextualSpacing/>
        <w:jc w:val="left"/>
        <w:rPr>
          <w:rFonts w:ascii="Calibri" w:hAnsi="Calibri" w:eastAsiaTheme="minorEastAsia"/>
          <w:color w:val="000000"/>
        </w:rPr>
      </w:pPr>
      <w:r>
        <w:rPr>
          <w:rFonts w:ascii="Calibri" w:hAnsi="Calibri" w:eastAsiaTheme="minorEastAsia"/>
          <w:color w:val="000000"/>
        </w:rPr>
        <w:t>2</w:t>
      </w:r>
      <w:r>
        <w:rPr>
          <w:rFonts w:hint="eastAsia" w:ascii="Calibri" w:hAnsi="Calibri" w:eastAsiaTheme="minorEastAsia"/>
          <w:color w:val="000000"/>
        </w:rPr>
        <w:t>.项目进度查询系统；</w:t>
      </w:r>
    </w:p>
    <w:p w14:paraId="0305FC93">
      <w:pPr>
        <w:widowControl/>
        <w:spacing w:line="276" w:lineRule="auto"/>
        <w:contextualSpacing/>
        <w:jc w:val="left"/>
        <w:rPr>
          <w:rFonts w:ascii="Calibri" w:hAnsi="Calibri" w:eastAsiaTheme="minorEastAsia"/>
          <w:color w:val="000000"/>
        </w:rPr>
      </w:pPr>
      <w:r>
        <w:rPr>
          <w:rFonts w:ascii="Calibri" w:hAnsi="Calibri" w:eastAsiaTheme="minorEastAsia"/>
          <w:color w:val="000000"/>
        </w:rPr>
        <w:t>3</w:t>
      </w:r>
      <w:r>
        <w:rPr>
          <w:rFonts w:hint="eastAsia" w:ascii="Calibri" w:hAnsi="Calibri" w:eastAsiaTheme="minorEastAsia"/>
          <w:color w:val="000000"/>
        </w:rPr>
        <w:t>.调研原始数据库。</w:t>
      </w:r>
    </w:p>
    <w:p w14:paraId="4033DADE">
      <w:pPr>
        <w:spacing w:line="276" w:lineRule="auto"/>
        <w:rPr>
          <w:rFonts w:ascii="宋体" w:hAnsi="宋体" w:cs="宋体"/>
          <w:szCs w:val="21"/>
        </w:rPr>
      </w:pPr>
      <w:r>
        <w:rPr>
          <w:rFonts w:ascii="宋体" w:hAnsi="宋体" w:cs="宋体"/>
          <w:szCs w:val="21"/>
        </w:rPr>
        <w:t>4.</w:t>
      </w:r>
      <w:r>
        <w:rPr>
          <w:rFonts w:hint="eastAsia" w:ascii="宋体" w:hAnsi="宋体" w:cs="宋体"/>
          <w:szCs w:val="21"/>
        </w:rPr>
        <w:t>★供应商须向采购人提供高校数据库管理平台（可供学校自主查阅教学教务、专业建设、就业、质量年报、战略规划、新生、</w:t>
      </w:r>
      <w:r>
        <w:rPr>
          <w:rFonts w:ascii="宋体" w:hAnsi="宋体" w:cs="宋体"/>
          <w:szCs w:val="21"/>
        </w:rPr>
        <w:t>学生事务</w:t>
      </w:r>
      <w:r>
        <w:rPr>
          <w:rFonts w:hint="eastAsia" w:ascii="宋体" w:hAnsi="宋体" w:cs="宋体"/>
          <w:szCs w:val="21"/>
        </w:rPr>
        <w:t>、</w:t>
      </w:r>
      <w:r>
        <w:rPr>
          <w:rFonts w:ascii="宋体" w:hAnsi="宋体" w:cs="宋体"/>
          <w:szCs w:val="21"/>
        </w:rPr>
        <w:t>招生宣传</w:t>
      </w:r>
      <w:r>
        <w:rPr>
          <w:rFonts w:hint="eastAsia" w:ascii="宋体" w:hAnsi="宋体" w:cs="宋体"/>
          <w:szCs w:val="21"/>
        </w:rPr>
        <w:t>、</w:t>
      </w:r>
      <w:r>
        <w:rPr>
          <w:rFonts w:ascii="宋体" w:hAnsi="宋体" w:cs="宋体"/>
          <w:szCs w:val="21"/>
        </w:rPr>
        <w:t>教师发展</w:t>
      </w:r>
      <w:r>
        <w:rPr>
          <w:rFonts w:hint="eastAsia" w:ascii="宋体" w:hAnsi="宋体" w:cs="宋体"/>
          <w:szCs w:val="21"/>
        </w:rPr>
        <w:t>、</w:t>
      </w:r>
      <w:r>
        <w:rPr>
          <w:rFonts w:ascii="宋体" w:hAnsi="宋体" w:cs="宋体"/>
          <w:szCs w:val="21"/>
        </w:rPr>
        <w:t>校园规划</w:t>
      </w:r>
      <w:r>
        <w:rPr>
          <w:rFonts w:hint="eastAsia" w:ascii="宋体" w:hAnsi="宋体" w:cs="宋体"/>
          <w:szCs w:val="21"/>
        </w:rPr>
        <w:t>、</w:t>
      </w:r>
      <w:r>
        <w:rPr>
          <w:rFonts w:ascii="宋体" w:hAnsi="宋体" w:cs="宋体"/>
          <w:szCs w:val="21"/>
        </w:rPr>
        <w:t>财务管理等方面的研究文章以及其他高校的案例</w:t>
      </w:r>
      <w:r>
        <w:rPr>
          <w:rFonts w:hint="eastAsia" w:ascii="宋体" w:hAnsi="宋体" w:cs="宋体"/>
          <w:szCs w:val="21"/>
        </w:rPr>
        <w:t>的平台），</w:t>
      </w:r>
      <w:r>
        <w:rPr>
          <w:rFonts w:ascii="宋体" w:hAnsi="宋体" w:cs="宋体"/>
          <w:szCs w:val="21"/>
        </w:rPr>
        <w:t>该平台的全部文章均为供应商原创</w:t>
      </w:r>
      <w:r>
        <w:rPr>
          <w:rFonts w:hint="eastAsia" w:ascii="宋体" w:hAnsi="宋体" w:cs="宋体"/>
          <w:szCs w:val="21"/>
        </w:rPr>
        <w:t>。</w:t>
      </w:r>
    </w:p>
    <w:p w14:paraId="6273E695">
      <w:pPr>
        <w:spacing w:line="276" w:lineRule="auto"/>
        <w:contextualSpacing/>
        <w:jc w:val="left"/>
        <w:rPr>
          <w:rFonts w:hint="eastAsia" w:ascii="Calibri" w:hAnsi="Calibri" w:cs="Arial" w:eastAsiaTheme="minorEastAsia"/>
          <w:szCs w:val="21"/>
        </w:rPr>
      </w:pPr>
      <w:r>
        <w:rPr>
          <w:rFonts w:ascii="宋体" w:hAnsi="宋体" w:cs="宋体"/>
          <w:szCs w:val="21"/>
        </w:rPr>
        <w:t>5.</w:t>
      </w:r>
      <w:r>
        <w:rPr>
          <w:rFonts w:hint="eastAsia" w:ascii="宋体" w:hAnsi="宋体" w:cs="宋体"/>
          <w:szCs w:val="21"/>
        </w:rPr>
        <w:t>★供应商须向采购人提供全国高职大学生就业</w:t>
      </w:r>
      <w:r>
        <w:rPr>
          <w:rFonts w:ascii="宋体" w:hAnsi="宋体" w:cs="宋体"/>
          <w:szCs w:val="21"/>
        </w:rPr>
        <w:t>年度报告</w:t>
      </w:r>
      <w:r>
        <w:rPr>
          <w:rFonts w:hint="eastAsia" w:ascii="宋体" w:hAnsi="宋体" w:cs="宋体"/>
          <w:szCs w:val="21"/>
        </w:rPr>
        <w:t>，报告</w:t>
      </w:r>
      <w:r>
        <w:rPr>
          <w:rFonts w:ascii="宋体" w:hAnsi="宋体" w:cs="宋体"/>
          <w:szCs w:val="21"/>
        </w:rPr>
        <w:t>由学生</w:t>
      </w:r>
      <w:r>
        <w:rPr>
          <w:rFonts w:hint="eastAsia" w:ascii="宋体" w:hAnsi="宋体" w:cs="宋体"/>
          <w:szCs w:val="21"/>
        </w:rPr>
        <w:t>就业发展趋势、学生就业去向等构成，并需逐步探索建立不同维度质量评价的指标体系。既要体现高校质量提升的缩影，也是对学校强化内涵建设的引导。</w:t>
      </w:r>
    </w:p>
    <w:p w14:paraId="3E7D27FD">
      <w:pPr>
        <w:spacing w:line="276" w:lineRule="auto"/>
        <w:rPr>
          <w:rFonts w:hint="eastAsia"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★供应商须向采购人提供智能化辅助教学系统，系统应具备如下功能：电子化签到、提问，解决大班教学面临的困难，学习分组，游戏化教学模式以及对学生和教师的教学行为监测等。</w:t>
      </w:r>
    </w:p>
    <w:p w14:paraId="5B289DA0">
      <w:pPr>
        <w:widowControl/>
        <w:spacing w:line="276" w:lineRule="auto"/>
        <w:contextualSpacing/>
        <w:jc w:val="left"/>
        <w:rPr>
          <w:rFonts w:hint="eastAsia" w:ascii="Calibri" w:hAnsi="Calibri" w:cs="宋体"/>
          <w:kern w:val="0"/>
          <w:sz w:val="24"/>
        </w:rPr>
      </w:pPr>
    </w:p>
    <w:p w14:paraId="2F45C75C">
      <w:pPr>
        <w:widowControl/>
        <w:spacing w:line="276" w:lineRule="auto"/>
        <w:contextualSpacing/>
        <w:jc w:val="left"/>
        <w:rPr>
          <w:rFonts w:ascii="Calibri" w:hAnsi="Calibri" w:eastAsiaTheme="minorEastAsia"/>
          <w:color w:val="000000"/>
        </w:rPr>
      </w:pPr>
      <w:r>
        <w:rPr>
          <w:rFonts w:hint="eastAsia" w:ascii="Calibri" w:hAnsi="Calibri" w:eastAsiaTheme="minorEastAsia"/>
          <w:color w:val="000000"/>
        </w:rPr>
        <w:t>注：项目执行过程中如因我校工作需求、项目升级等原因导致的大纲调整，则以最终实际执行大纲为准。</w:t>
      </w:r>
    </w:p>
    <w:bookmarkEnd w:id="1"/>
    <w:bookmarkEnd w:id="2"/>
    <w:p w14:paraId="5D814050">
      <w:pPr>
        <w:pStyle w:val="15"/>
        <w:numPr>
          <w:ilvl w:val="0"/>
          <w:numId w:val="1"/>
        </w:numPr>
        <w:spacing w:line="276" w:lineRule="auto"/>
        <w:ind w:left="782" w:hanging="782" w:firstLineChars="0"/>
        <w:contextualSpacing/>
        <w:rPr>
          <w:rFonts w:asciiTheme="minorEastAsia" w:hAnsiTheme="minorEastAsia" w:eastAsiaTheme="minorEastAsia"/>
          <w:b/>
          <w:bCs/>
          <w:color w:val="000000"/>
          <w:sz w:val="28"/>
          <w:szCs w:val="21"/>
        </w:rPr>
      </w:pPr>
      <w:r>
        <w:rPr>
          <w:rFonts w:hint="eastAsia" w:asciiTheme="minorEastAsia" w:hAnsiTheme="minorEastAsia" w:eastAsiaTheme="minorEastAsia"/>
          <w:b/>
          <w:bCs/>
          <w:color w:val="000000"/>
          <w:sz w:val="28"/>
          <w:szCs w:val="21"/>
        </w:rPr>
        <w:t>商务要求</w:t>
      </w:r>
    </w:p>
    <w:p w14:paraId="428D206B">
      <w:pPr>
        <w:spacing w:before="156" w:beforeLines="50" w:after="156" w:afterLines="50" w:line="276" w:lineRule="auto"/>
        <w:contextualSpacing/>
        <w:jc w:val="left"/>
        <w:rPr>
          <w:rFonts w:asciiTheme="minorEastAsia" w:hAnsiTheme="minorEastAsia" w:eastAsiaTheme="minorEastAsia"/>
          <w:b/>
          <w:color w:val="2E75B6" w:themeColor="accent1" w:themeShade="BF"/>
          <w:sz w:val="28"/>
        </w:rPr>
      </w:pPr>
      <w:r>
        <w:rPr>
          <w:rFonts w:hint="eastAsia" w:asciiTheme="minorEastAsia" w:hAnsiTheme="minorEastAsia" w:eastAsiaTheme="minorEastAsia"/>
          <w:b/>
          <w:color w:val="2E75B6" w:themeColor="accent1" w:themeShade="BF"/>
          <w:sz w:val="28"/>
        </w:rPr>
        <w:t>服务要求：</w:t>
      </w:r>
    </w:p>
    <w:p w14:paraId="3B217D2B">
      <w:pPr>
        <w:spacing w:line="276" w:lineRule="auto"/>
        <w:contextualSpacing/>
        <w:rPr>
          <w:rFonts w:ascii="Calibri" w:hAnsi="Calibri" w:eastAsiaTheme="minorEastAsia"/>
          <w:bCs/>
          <w:szCs w:val="22"/>
        </w:rPr>
      </w:pPr>
      <w:r>
        <w:rPr>
          <w:rFonts w:ascii="Calibri" w:hAnsi="Calibri" w:eastAsiaTheme="minorEastAsia"/>
          <w:bCs/>
        </w:rPr>
        <w:t>1</w:t>
      </w:r>
      <w:r>
        <w:rPr>
          <w:rFonts w:hint="eastAsia" w:ascii="Calibri" w:hAnsi="Calibri" w:eastAsiaTheme="minorEastAsia"/>
          <w:bCs/>
        </w:rPr>
        <w:t>.</w:t>
      </w:r>
      <w:r>
        <w:rPr>
          <w:rFonts w:ascii="Calibri" w:hAnsi="Calibri" w:eastAsiaTheme="minorEastAsia"/>
          <w:bCs/>
        </w:rPr>
        <w:t>供应商将负责问卷的总体设计，数据收集的技术支持</w:t>
      </w:r>
      <w:r>
        <w:rPr>
          <w:rFonts w:hint="eastAsia" w:ascii="Calibri" w:hAnsi="Calibri" w:eastAsiaTheme="minorEastAsia"/>
          <w:bCs/>
        </w:rPr>
        <w:t>，</w:t>
      </w:r>
      <w:r>
        <w:rPr>
          <w:rFonts w:ascii="Calibri" w:hAnsi="Calibri" w:eastAsiaTheme="minorEastAsia"/>
          <w:bCs/>
        </w:rPr>
        <w:t>数据清理，研究分析和撰写报告；</w:t>
      </w:r>
    </w:p>
    <w:p w14:paraId="0ECB9B5D">
      <w:pPr>
        <w:spacing w:line="276" w:lineRule="auto"/>
        <w:contextualSpacing/>
        <w:rPr>
          <w:rFonts w:ascii="Calibri" w:hAnsi="Calibri" w:eastAsiaTheme="minorEastAsia"/>
          <w:bCs/>
        </w:rPr>
      </w:pPr>
      <w:r>
        <w:rPr>
          <w:rFonts w:ascii="Calibri" w:hAnsi="Calibri" w:eastAsiaTheme="minorEastAsia"/>
          <w:bCs/>
        </w:rPr>
        <w:t>2</w:t>
      </w:r>
      <w:r>
        <w:rPr>
          <w:rFonts w:hint="eastAsia" w:ascii="Calibri" w:hAnsi="Calibri" w:eastAsiaTheme="minorEastAsia"/>
          <w:bCs/>
        </w:rPr>
        <w:t>.</w:t>
      </w:r>
      <w:r>
        <w:rPr>
          <w:rFonts w:ascii="Calibri" w:hAnsi="Calibri" w:eastAsiaTheme="minorEastAsia"/>
          <w:bCs/>
        </w:rPr>
        <w:t>项目过程中承诺提供一名项目管理专员协助学校进行项目过程中的管理与维护工作；</w:t>
      </w:r>
    </w:p>
    <w:p w14:paraId="7BE5CA26">
      <w:pPr>
        <w:spacing w:line="276" w:lineRule="auto"/>
        <w:contextualSpacing/>
        <w:rPr>
          <w:rFonts w:ascii="Calibri" w:hAnsi="Calibri" w:eastAsiaTheme="minorEastAsia"/>
          <w:bCs/>
        </w:rPr>
      </w:pPr>
      <w:r>
        <w:rPr>
          <w:rFonts w:ascii="Calibri" w:hAnsi="Calibri" w:eastAsiaTheme="minorEastAsia"/>
          <w:bCs/>
        </w:rPr>
        <w:t>3</w:t>
      </w:r>
      <w:r>
        <w:rPr>
          <w:rFonts w:hint="eastAsia" w:ascii="Calibri" w:hAnsi="Calibri" w:eastAsiaTheme="minorEastAsia"/>
          <w:bCs/>
        </w:rPr>
        <w:t>.</w:t>
      </w:r>
      <w:r>
        <w:rPr>
          <w:rFonts w:ascii="Calibri" w:hAnsi="Calibri" w:eastAsiaTheme="minorEastAsia"/>
          <w:bCs/>
        </w:rPr>
        <w:t>调研结束后，供应商提供给学校有针对性的诊断分析。通过科学的指标体系，</w:t>
      </w:r>
      <w:r>
        <w:rPr>
          <w:rFonts w:ascii="Calibri" w:hAnsi="Calibri" w:eastAsiaTheme="minorEastAsia"/>
          <w:b/>
        </w:rPr>
        <w:t>监测社会需求情况</w:t>
      </w:r>
      <w:r>
        <w:rPr>
          <w:rFonts w:ascii="Calibri" w:hAnsi="Calibri" w:eastAsiaTheme="minorEastAsia"/>
          <w:bCs/>
        </w:rPr>
        <w:t>，并且将获得返回的清理后</w:t>
      </w:r>
      <w:r>
        <w:rPr>
          <w:rFonts w:hint="eastAsia" w:ascii="Calibri" w:hAnsi="Calibri" w:eastAsiaTheme="minorEastAsia"/>
          <w:bCs/>
        </w:rPr>
        <w:t>原始</w:t>
      </w:r>
      <w:r>
        <w:rPr>
          <w:rFonts w:ascii="Calibri" w:hAnsi="Calibri" w:eastAsiaTheme="minorEastAsia"/>
          <w:bCs/>
        </w:rPr>
        <w:t>数据库，不同层级的管理者及教师可以根据工作需要从各种角度深入挖掘数据信息，为日常工作、学术研究和管理决策等作为依据参考；</w:t>
      </w:r>
    </w:p>
    <w:p w14:paraId="3988FDFB">
      <w:pPr>
        <w:spacing w:line="276" w:lineRule="auto"/>
        <w:contextualSpacing/>
        <w:rPr>
          <w:rFonts w:ascii="Calibri" w:hAnsi="Calibri" w:eastAsiaTheme="minorEastAsia"/>
          <w:bCs/>
        </w:rPr>
      </w:pPr>
      <w:r>
        <w:rPr>
          <w:rFonts w:ascii="Calibri" w:hAnsi="Calibri" w:eastAsiaTheme="minorEastAsia"/>
          <w:bCs/>
        </w:rPr>
        <w:t>4</w:t>
      </w:r>
      <w:r>
        <w:rPr>
          <w:rFonts w:hint="eastAsia" w:ascii="Calibri" w:hAnsi="Calibri" w:eastAsiaTheme="minorEastAsia"/>
          <w:bCs/>
        </w:rPr>
        <w:t>.</w:t>
      </w:r>
      <w:r>
        <w:rPr>
          <w:rFonts w:ascii="Calibri" w:hAnsi="Calibri" w:eastAsiaTheme="minorEastAsia"/>
          <w:bCs/>
        </w:rPr>
        <w:t>数据报告出来后，学校遇到指标不理解的地方，供应商负责说明。</w:t>
      </w:r>
    </w:p>
    <w:p w14:paraId="260E7E1C">
      <w:pPr>
        <w:spacing w:line="276" w:lineRule="auto"/>
        <w:contextualSpacing/>
        <w:jc w:val="left"/>
        <w:rPr>
          <w:rFonts w:asciiTheme="minorEastAsia" w:hAnsiTheme="minorEastAsia" w:eastAsiaTheme="minorEastAsia"/>
          <w:b/>
          <w:color w:val="2E75B6" w:themeColor="accent1" w:themeShade="BF"/>
          <w:sz w:val="28"/>
        </w:rPr>
      </w:pPr>
      <w:r>
        <w:rPr>
          <w:rFonts w:hint="eastAsia" w:asciiTheme="minorEastAsia" w:hAnsiTheme="minorEastAsia" w:eastAsiaTheme="minorEastAsia"/>
          <w:b/>
          <w:color w:val="2E75B6" w:themeColor="accent1" w:themeShade="BF"/>
          <w:sz w:val="28"/>
        </w:rPr>
        <w:t>交货时间：</w:t>
      </w:r>
    </w:p>
    <w:p w14:paraId="1508BA56">
      <w:pPr>
        <w:pStyle w:val="15"/>
        <w:numPr>
          <w:ilvl w:val="0"/>
          <w:numId w:val="2"/>
        </w:numPr>
        <w:spacing w:line="276" w:lineRule="auto"/>
        <w:ind w:firstLineChars="0"/>
        <w:contextualSpacing/>
        <w:rPr>
          <w:rFonts w:ascii="Calibri" w:hAnsi="Calibri" w:eastAsiaTheme="minorEastAsia"/>
          <w:bCs/>
          <w:sz w:val="21"/>
          <w:szCs w:val="21"/>
        </w:rPr>
      </w:pPr>
      <w:r>
        <w:rPr>
          <w:rFonts w:hint="eastAsia" w:ascii="Calibri" w:hAnsi="Calibri" w:eastAsiaTheme="minorEastAsia"/>
          <w:bCs/>
          <w:sz w:val="21"/>
          <w:szCs w:val="21"/>
        </w:rPr>
        <w:t>交货地点：新疆应用职业技术学院</w:t>
      </w:r>
    </w:p>
    <w:p w14:paraId="0AE137A2">
      <w:pPr>
        <w:pStyle w:val="15"/>
        <w:numPr>
          <w:ilvl w:val="0"/>
          <w:numId w:val="2"/>
        </w:numPr>
        <w:spacing w:line="276" w:lineRule="auto"/>
        <w:ind w:firstLineChars="0"/>
        <w:contextualSpacing/>
        <w:rPr>
          <w:rFonts w:ascii="Calibri" w:hAnsi="Calibri" w:eastAsiaTheme="minorEastAsia"/>
          <w:bCs/>
          <w:sz w:val="21"/>
          <w:szCs w:val="21"/>
        </w:rPr>
      </w:pPr>
      <w:r>
        <w:rPr>
          <w:rFonts w:hint="eastAsia" w:ascii="Calibri" w:hAnsi="Calibri" w:eastAsiaTheme="minorEastAsia"/>
          <w:bCs/>
          <w:sz w:val="21"/>
          <w:szCs w:val="21"/>
        </w:rPr>
        <w:t>交付时间：项目启动调研后</w:t>
      </w:r>
      <w:r>
        <w:rPr>
          <w:rFonts w:hint="eastAsia" w:ascii="Calibri" w:hAnsi="Calibri" w:eastAsiaTheme="minorEastAsia"/>
          <w:bCs/>
          <w:sz w:val="21"/>
          <w:szCs w:val="21"/>
          <w:lang w:val="en-US" w:eastAsia="zh-CN"/>
        </w:rPr>
        <w:t>4</w:t>
      </w:r>
      <w:r>
        <w:rPr>
          <w:rFonts w:ascii="Calibri" w:hAnsi="Calibri" w:eastAsiaTheme="minorEastAsia"/>
          <w:bCs/>
          <w:sz w:val="21"/>
          <w:szCs w:val="21"/>
        </w:rPr>
        <w:t>5</w:t>
      </w:r>
      <w:r>
        <w:rPr>
          <w:rFonts w:hint="eastAsia" w:ascii="Calibri" w:hAnsi="Calibri" w:eastAsiaTheme="minorEastAsia"/>
          <w:bCs/>
          <w:sz w:val="21"/>
          <w:szCs w:val="21"/>
        </w:rPr>
        <w:t>个工作日内交付。</w:t>
      </w:r>
    </w:p>
    <w:p w14:paraId="581F6C0C">
      <w:pPr>
        <w:spacing w:before="156" w:beforeLines="50" w:after="156" w:afterLines="50" w:line="276" w:lineRule="auto"/>
        <w:contextualSpacing/>
        <w:jc w:val="left"/>
        <w:rPr>
          <w:rFonts w:asciiTheme="minorEastAsia" w:hAnsiTheme="minorEastAsia" w:eastAsiaTheme="minorEastAsia"/>
          <w:b/>
          <w:color w:val="2E75B6" w:themeColor="accent1" w:themeShade="BF"/>
          <w:sz w:val="28"/>
        </w:rPr>
      </w:pPr>
      <w:r>
        <w:rPr>
          <w:rFonts w:hint="eastAsia" w:asciiTheme="minorEastAsia" w:hAnsiTheme="minorEastAsia" w:eastAsiaTheme="minorEastAsia"/>
          <w:b/>
          <w:color w:val="2E75B6" w:themeColor="accent1" w:themeShade="BF"/>
          <w:sz w:val="28"/>
        </w:rPr>
        <w:t>付款条件：</w:t>
      </w:r>
    </w:p>
    <w:p w14:paraId="4880F3BB">
      <w:pPr>
        <w:spacing w:line="276" w:lineRule="auto"/>
        <w:contextualSpacing/>
        <w:rPr>
          <w:rFonts w:ascii="Calibri" w:hAnsi="Calibri" w:cs="仿宋" w:eastAsiaTheme="minorEastAsia"/>
          <w:sz w:val="24"/>
        </w:rPr>
      </w:pPr>
      <w:r>
        <w:rPr>
          <w:rFonts w:hint="eastAsia" w:ascii="Calibri" w:hAnsi="Calibri" w:cs="Arial" w:eastAsiaTheme="minorEastAsia"/>
          <w:color w:val="000000"/>
        </w:rPr>
        <w:t>项目验收合格后</w:t>
      </w:r>
      <w:r>
        <w:rPr>
          <w:rFonts w:ascii="Calibri" w:hAnsi="Calibri" w:cs="Arial" w:eastAsiaTheme="minorEastAsia"/>
          <w:color w:val="000000"/>
        </w:rPr>
        <w:t>支付项目全款，乙方开具正式发票。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C0012F"/>
    <w:multiLevelType w:val="multilevel"/>
    <w:tmpl w:val="42C001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3E7402"/>
    <w:multiLevelType w:val="multilevel"/>
    <w:tmpl w:val="5C3E7402"/>
    <w:lvl w:ilvl="0" w:tentative="0">
      <w:start w:val="1"/>
      <w:numFmt w:val="japaneseCounting"/>
      <w:lvlText w:val="%1、"/>
      <w:lvlJc w:val="left"/>
      <w:pPr>
        <w:ind w:left="1260" w:hanging="7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lNmVhMDBkNGNkOTM1OTRjNzVjODM5YmZmZWE3MzAifQ=="/>
  </w:docVars>
  <w:rsids>
    <w:rsidRoot w:val="00FA6E6B"/>
    <w:rsid w:val="0001676B"/>
    <w:rsid w:val="00027D8C"/>
    <w:rsid w:val="00041985"/>
    <w:rsid w:val="000739CF"/>
    <w:rsid w:val="000746E8"/>
    <w:rsid w:val="00084BB8"/>
    <w:rsid w:val="00085128"/>
    <w:rsid w:val="000B20BE"/>
    <w:rsid w:val="000C1113"/>
    <w:rsid w:val="000C1BBC"/>
    <w:rsid w:val="000D0D45"/>
    <w:rsid w:val="000D6E7D"/>
    <w:rsid w:val="000F1E9D"/>
    <w:rsid w:val="0011307D"/>
    <w:rsid w:val="00156B9F"/>
    <w:rsid w:val="00167A9F"/>
    <w:rsid w:val="001A5B53"/>
    <w:rsid w:val="001A6213"/>
    <w:rsid w:val="001B0721"/>
    <w:rsid w:val="001B5EDE"/>
    <w:rsid w:val="001C20B3"/>
    <w:rsid w:val="001C34E0"/>
    <w:rsid w:val="001C673C"/>
    <w:rsid w:val="001D0AC4"/>
    <w:rsid w:val="001D0D4B"/>
    <w:rsid w:val="001E1B20"/>
    <w:rsid w:val="001E7F84"/>
    <w:rsid w:val="001F2261"/>
    <w:rsid w:val="002269C2"/>
    <w:rsid w:val="00253D34"/>
    <w:rsid w:val="00275787"/>
    <w:rsid w:val="002768C9"/>
    <w:rsid w:val="00297759"/>
    <w:rsid w:val="002D29BE"/>
    <w:rsid w:val="002F2B1A"/>
    <w:rsid w:val="00342C4C"/>
    <w:rsid w:val="00364FD8"/>
    <w:rsid w:val="00371F35"/>
    <w:rsid w:val="003C39A4"/>
    <w:rsid w:val="003D0C00"/>
    <w:rsid w:val="004076AD"/>
    <w:rsid w:val="00410C48"/>
    <w:rsid w:val="004341B6"/>
    <w:rsid w:val="00462C90"/>
    <w:rsid w:val="00481B4E"/>
    <w:rsid w:val="00493B2F"/>
    <w:rsid w:val="00495D79"/>
    <w:rsid w:val="004E0D23"/>
    <w:rsid w:val="004E55FD"/>
    <w:rsid w:val="00543915"/>
    <w:rsid w:val="005439E3"/>
    <w:rsid w:val="0057265F"/>
    <w:rsid w:val="0057735D"/>
    <w:rsid w:val="00584BCF"/>
    <w:rsid w:val="00584FC4"/>
    <w:rsid w:val="00585F56"/>
    <w:rsid w:val="005A0516"/>
    <w:rsid w:val="005D44BB"/>
    <w:rsid w:val="00621CD2"/>
    <w:rsid w:val="006253BD"/>
    <w:rsid w:val="00635497"/>
    <w:rsid w:val="00651534"/>
    <w:rsid w:val="00671E0E"/>
    <w:rsid w:val="006750E3"/>
    <w:rsid w:val="00693722"/>
    <w:rsid w:val="0069485A"/>
    <w:rsid w:val="006B4422"/>
    <w:rsid w:val="006C045A"/>
    <w:rsid w:val="006C239D"/>
    <w:rsid w:val="006D1292"/>
    <w:rsid w:val="006E4CAA"/>
    <w:rsid w:val="006F0903"/>
    <w:rsid w:val="00711ABF"/>
    <w:rsid w:val="00714222"/>
    <w:rsid w:val="00742667"/>
    <w:rsid w:val="00747EE7"/>
    <w:rsid w:val="00763903"/>
    <w:rsid w:val="00777945"/>
    <w:rsid w:val="00794C6B"/>
    <w:rsid w:val="007A2450"/>
    <w:rsid w:val="007C29CC"/>
    <w:rsid w:val="007D4E0E"/>
    <w:rsid w:val="007E6EB7"/>
    <w:rsid w:val="008004E4"/>
    <w:rsid w:val="0089364E"/>
    <w:rsid w:val="00896EF3"/>
    <w:rsid w:val="008B6196"/>
    <w:rsid w:val="008C11B0"/>
    <w:rsid w:val="008F0346"/>
    <w:rsid w:val="009629E8"/>
    <w:rsid w:val="009B06E1"/>
    <w:rsid w:val="00A13354"/>
    <w:rsid w:val="00A3233E"/>
    <w:rsid w:val="00A52AB7"/>
    <w:rsid w:val="00A60368"/>
    <w:rsid w:val="00A61464"/>
    <w:rsid w:val="00AC5083"/>
    <w:rsid w:val="00AD6665"/>
    <w:rsid w:val="00AE3D15"/>
    <w:rsid w:val="00AF5401"/>
    <w:rsid w:val="00AF77B2"/>
    <w:rsid w:val="00AF790B"/>
    <w:rsid w:val="00B07CA4"/>
    <w:rsid w:val="00B31EF2"/>
    <w:rsid w:val="00B33C92"/>
    <w:rsid w:val="00B41671"/>
    <w:rsid w:val="00B42764"/>
    <w:rsid w:val="00BA79A8"/>
    <w:rsid w:val="00BE1864"/>
    <w:rsid w:val="00BE33A3"/>
    <w:rsid w:val="00BE7222"/>
    <w:rsid w:val="00BE7A78"/>
    <w:rsid w:val="00C01B14"/>
    <w:rsid w:val="00C13930"/>
    <w:rsid w:val="00C148BD"/>
    <w:rsid w:val="00C56E94"/>
    <w:rsid w:val="00C604A7"/>
    <w:rsid w:val="00C85897"/>
    <w:rsid w:val="00C95EA8"/>
    <w:rsid w:val="00CD764D"/>
    <w:rsid w:val="00D202BD"/>
    <w:rsid w:val="00D53BF0"/>
    <w:rsid w:val="00D578CE"/>
    <w:rsid w:val="00D738C4"/>
    <w:rsid w:val="00DB1237"/>
    <w:rsid w:val="00DB1FDD"/>
    <w:rsid w:val="00DB4460"/>
    <w:rsid w:val="00DC15A1"/>
    <w:rsid w:val="00DD56E1"/>
    <w:rsid w:val="00DE2AA2"/>
    <w:rsid w:val="00E04DE7"/>
    <w:rsid w:val="00E073E2"/>
    <w:rsid w:val="00E11495"/>
    <w:rsid w:val="00E134B7"/>
    <w:rsid w:val="00E26410"/>
    <w:rsid w:val="00E31B38"/>
    <w:rsid w:val="00E93496"/>
    <w:rsid w:val="00E95F95"/>
    <w:rsid w:val="00EC15C7"/>
    <w:rsid w:val="00EF0E50"/>
    <w:rsid w:val="00F11EA5"/>
    <w:rsid w:val="00F14C07"/>
    <w:rsid w:val="00F55FE1"/>
    <w:rsid w:val="00F67F77"/>
    <w:rsid w:val="00F72035"/>
    <w:rsid w:val="00F90220"/>
    <w:rsid w:val="00F92953"/>
    <w:rsid w:val="00FA6E6B"/>
    <w:rsid w:val="00FC586B"/>
    <w:rsid w:val="00FD3CBB"/>
    <w:rsid w:val="00FE4EFA"/>
    <w:rsid w:val="2E341342"/>
    <w:rsid w:val="2E351EDB"/>
    <w:rsid w:val="319D73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link w:val="20"/>
    <w:semiHidden/>
    <w:unhideWhenUsed/>
    <w:uiPriority w:val="99"/>
    <w:rPr>
      <w:rFonts w:ascii="宋体"/>
      <w:sz w:val="18"/>
      <w:szCs w:val="18"/>
    </w:rPr>
  </w:style>
  <w:style w:type="paragraph" w:styleId="3">
    <w:name w:val="annotation text"/>
    <w:basedOn w:val="1"/>
    <w:link w:val="21"/>
    <w:unhideWhenUsed/>
    <w:qFormat/>
    <w:uiPriority w:val="99"/>
    <w:pPr>
      <w:jc w:val="left"/>
    </w:pPr>
  </w:style>
  <w:style w:type="paragraph" w:styleId="4">
    <w:name w:val="Balloon Text"/>
    <w:basedOn w:val="1"/>
    <w:link w:val="23"/>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2"/>
    <w:semiHidden/>
    <w:unhideWhenUsed/>
    <w:qFormat/>
    <w:uiPriority w:val="99"/>
    <w:rPr>
      <w:b/>
      <w:bCs/>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link w:val="16"/>
    <w:qFormat/>
    <w:uiPriority w:val="34"/>
    <w:pPr>
      <w:widowControl/>
      <w:ind w:firstLine="420" w:firstLineChars="200"/>
      <w:jc w:val="left"/>
    </w:pPr>
    <w:rPr>
      <w:kern w:val="0"/>
      <w:sz w:val="24"/>
    </w:rPr>
  </w:style>
  <w:style w:type="character" w:customStyle="1" w:styleId="16">
    <w:name w:val="列出段落 字符"/>
    <w:link w:val="15"/>
    <w:qFormat/>
    <w:locked/>
    <w:uiPriority w:val="0"/>
    <w:rPr>
      <w:rFonts w:ascii="Times New Roman" w:hAnsi="Times New Roman" w:eastAsia="宋体" w:cs="Times New Roman"/>
      <w:kern w:val="0"/>
      <w:sz w:val="24"/>
      <w:szCs w:val="24"/>
    </w:rPr>
  </w:style>
  <w:style w:type="character" w:customStyle="1" w:styleId="17">
    <w:name w:val="fontp"/>
    <w:basedOn w:val="10"/>
    <w:qFormat/>
    <w:uiPriority w:val="0"/>
  </w:style>
  <w:style w:type="paragraph" w:customStyle="1" w:styleId="18">
    <w:name w:val="列出段落1"/>
    <w:basedOn w:val="1"/>
    <w:qFormat/>
    <w:uiPriority w:val="34"/>
    <w:pPr>
      <w:ind w:firstLine="420" w:firstLineChars="200"/>
    </w:pPr>
    <w:rPr>
      <w:rFonts w:ascii="Calibri" w:hAnsi="Calibri"/>
      <w:szCs w:val="22"/>
    </w:rPr>
  </w:style>
  <w:style w:type="paragraph" w:customStyle="1" w:styleId="19">
    <w:name w:val="列出段落2"/>
    <w:basedOn w:val="1"/>
    <w:qFormat/>
    <w:uiPriority w:val="99"/>
    <w:pPr>
      <w:ind w:firstLine="420" w:firstLineChars="200"/>
    </w:pPr>
    <w:rPr>
      <w:rFonts w:ascii="Calibri" w:hAnsi="Calibri"/>
      <w:szCs w:val="22"/>
    </w:rPr>
  </w:style>
  <w:style w:type="character" w:customStyle="1" w:styleId="20">
    <w:name w:val="文档结构图 字符"/>
    <w:basedOn w:val="10"/>
    <w:link w:val="2"/>
    <w:semiHidden/>
    <w:qFormat/>
    <w:uiPriority w:val="99"/>
    <w:rPr>
      <w:rFonts w:ascii="宋体" w:hAnsi="Times New Roman" w:eastAsia="宋体" w:cs="Times New Roman"/>
      <w:sz w:val="18"/>
      <w:szCs w:val="18"/>
    </w:rPr>
  </w:style>
  <w:style w:type="character" w:customStyle="1" w:styleId="21">
    <w:name w:val="批注文字 字符"/>
    <w:basedOn w:val="10"/>
    <w:link w:val="3"/>
    <w:qFormat/>
    <w:uiPriority w:val="99"/>
    <w:rPr>
      <w:rFonts w:ascii="Times New Roman" w:hAnsi="Times New Roman" w:eastAsia="宋体" w:cs="Times New Roman"/>
      <w:szCs w:val="24"/>
    </w:rPr>
  </w:style>
  <w:style w:type="character" w:customStyle="1" w:styleId="22">
    <w:name w:val="批注主题 字符"/>
    <w:basedOn w:val="21"/>
    <w:link w:val="7"/>
    <w:semiHidden/>
    <w:qFormat/>
    <w:uiPriority w:val="99"/>
    <w:rPr>
      <w:rFonts w:ascii="Times New Roman" w:hAnsi="Times New Roman" w:eastAsia="宋体" w:cs="Times New Roman"/>
      <w:b/>
      <w:bCs/>
      <w:szCs w:val="24"/>
    </w:rPr>
  </w:style>
  <w:style w:type="character" w:customStyle="1" w:styleId="23">
    <w:name w:val="批注框文本 字符"/>
    <w:basedOn w:val="10"/>
    <w:link w:val="4"/>
    <w:semiHidden/>
    <w:qFormat/>
    <w:uiPriority w:val="99"/>
    <w:rPr>
      <w:rFonts w:ascii="Times New Roman" w:hAnsi="Times New Roman" w:eastAsia="宋体" w:cs="Times New Roman"/>
      <w:sz w:val="18"/>
      <w:szCs w:val="18"/>
    </w:rPr>
  </w:style>
  <w:style w:type="paragraph" w:customStyle="1" w:styleId="2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1981</Words>
  <Characters>2042</Characters>
  <Lines>14</Lines>
  <Paragraphs>4</Paragraphs>
  <TotalTime>5</TotalTime>
  <ScaleCrop>false</ScaleCrop>
  <LinksUpToDate>false</LinksUpToDate>
  <CharactersWithSpaces>2042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2024-09-25T07:23:00Z</dcterms:created>
  <dc:creator>baiy10</dc:creator>
  <cp:lastModifiedBy>凤尾竹1410189234</cp:lastModifiedBy>
  <dcterms:modified xsi:type="dcterms:W3CDTF">2024-09-26T04:04:13Z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D43BEEEEE87240F79B2A8024AEC8AFD0_13</vt:lpwstr>
  </property>
</Properties>
</file>