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547C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新疆维吾尔自治区人民医院白鸟湖医院（西安交通大学第二附属医院新疆医院）餐厅及专家公寓其他柜类家具采购项目</w:t>
      </w:r>
    </w:p>
    <w:p w14:paraId="0819F61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商务要求</w:t>
      </w:r>
    </w:p>
    <w:p w14:paraId="2D9A8610">
      <w:pPr>
        <w:keepNext w:val="0"/>
        <w:keepLines w:val="0"/>
        <w:pageBreakBefore w:val="0"/>
        <w:numPr>
          <w:ilvl w:val="0"/>
          <w:numId w:val="1"/>
        </w:numPr>
        <w:kinsoku/>
        <w:wordWrap/>
        <w:overflowPunct/>
        <w:topLinePunct w:val="0"/>
        <w:bidi w:val="0"/>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申请人的资格要求：</w:t>
      </w:r>
    </w:p>
    <w:p w14:paraId="227FFA71">
      <w:pPr>
        <w:keepNext w:val="0"/>
        <w:keepLines w:val="0"/>
        <w:pageBreakBefore w:val="0"/>
        <w:widowControl w:val="0"/>
        <w:numPr>
          <w:ilvl w:val="1"/>
          <w:numId w:val="1"/>
        </w:numPr>
        <w:kinsoku/>
        <w:wordWrap/>
        <w:overflowPunct/>
        <w:topLinePunct w:val="0"/>
        <w:autoSpaceDE/>
        <w:autoSpaceDN/>
        <w:bidi w:val="0"/>
        <w:adjustRightInd w:val="0"/>
        <w:snapToGrid/>
        <w:spacing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符合政府采购法第二十二条第一款规定的条件，</w:t>
      </w:r>
      <w:r>
        <w:rPr>
          <w:rFonts w:hint="eastAsia" w:ascii="宋体" w:hAnsi="宋体" w:eastAsia="宋体" w:cs="宋体"/>
          <w:color w:val="auto"/>
          <w:sz w:val="28"/>
          <w:szCs w:val="28"/>
          <w:highlight w:val="none"/>
        </w:rPr>
        <w:t>并提供下列材料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 xml:space="preserve"> </w:t>
      </w:r>
    </w:p>
    <w:p w14:paraId="2EE90350">
      <w:pPr>
        <w:keepNext w:val="0"/>
        <w:keepLines w:val="0"/>
        <w:pageBreakBefore w:val="0"/>
        <w:widowControl w:val="0"/>
        <w:numPr>
          <w:ilvl w:val="2"/>
          <w:numId w:val="1"/>
        </w:numPr>
        <w:kinsoku/>
        <w:wordWrap/>
        <w:overflowPunct/>
        <w:topLinePunct w:val="0"/>
        <w:autoSpaceDE/>
        <w:autoSpaceDN/>
        <w:bidi w:val="0"/>
        <w:adjustRightInd w:val="0"/>
        <w:snapToGrid/>
        <w:spacing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t>法人或者其他组织的营业执照等证明文件，自然人的身份证明；</w:t>
      </w:r>
    </w:p>
    <w:p w14:paraId="20233E96">
      <w:pPr>
        <w:keepNext w:val="0"/>
        <w:keepLines w:val="0"/>
        <w:pageBreakBefore w:val="0"/>
        <w:widowControl w:val="0"/>
        <w:numPr>
          <w:ilvl w:val="2"/>
          <w:numId w:val="1"/>
        </w:numPr>
        <w:kinsoku/>
        <w:wordWrap/>
        <w:overflowPunct/>
        <w:topLinePunct w:val="0"/>
        <w:autoSpaceDE/>
        <w:autoSpaceDN/>
        <w:bidi w:val="0"/>
        <w:adjustRightInd w:val="0"/>
        <w:snapToGrid/>
        <w:spacing w:line="36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具备履行合同所必需的设备和专业技术能力的</w:t>
      </w:r>
      <w:r>
        <w:rPr>
          <w:rFonts w:hint="eastAsia" w:ascii="宋体" w:hAnsi="宋体" w:eastAsia="宋体" w:cs="宋体"/>
          <w:color w:val="auto"/>
          <w:sz w:val="28"/>
          <w:szCs w:val="28"/>
          <w:highlight w:val="none"/>
          <w:lang w:val="en-US" w:eastAsia="zh-CN"/>
        </w:rPr>
        <w:t>声明函</w:t>
      </w:r>
      <w:r>
        <w:rPr>
          <w:rFonts w:hint="eastAsia" w:ascii="宋体" w:hAnsi="宋体" w:eastAsia="宋体" w:cs="宋体"/>
          <w:color w:val="auto"/>
          <w:sz w:val="28"/>
          <w:szCs w:val="28"/>
          <w:highlight w:val="none"/>
        </w:rPr>
        <w:t>；</w:t>
      </w:r>
    </w:p>
    <w:p w14:paraId="23EA35A2">
      <w:pPr>
        <w:keepNext w:val="0"/>
        <w:keepLines w:val="0"/>
        <w:pageBreakBefore w:val="0"/>
        <w:widowControl w:val="0"/>
        <w:numPr>
          <w:ilvl w:val="2"/>
          <w:numId w:val="1"/>
        </w:numPr>
        <w:kinsoku/>
        <w:wordWrap/>
        <w:overflowPunct/>
        <w:topLinePunct w:val="0"/>
        <w:autoSpaceDE/>
        <w:autoSpaceDN/>
        <w:bidi w:val="0"/>
        <w:adjustRightInd w:val="0"/>
        <w:snapToGrid/>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参加政府采购活动前3年内在经营活动中没有重大违法记录</w:t>
      </w:r>
      <w:r>
        <w:rPr>
          <w:rFonts w:hint="eastAsia" w:ascii="宋体" w:hAnsi="宋体" w:eastAsia="宋体" w:cs="宋体"/>
          <w:color w:val="auto"/>
          <w:sz w:val="28"/>
          <w:szCs w:val="28"/>
          <w:highlight w:val="none"/>
          <w:lang w:val="en-US" w:eastAsia="zh-CN"/>
        </w:rPr>
        <w:t>及无被执行记录</w:t>
      </w:r>
      <w:r>
        <w:rPr>
          <w:rFonts w:hint="eastAsia" w:ascii="宋体" w:hAnsi="宋体" w:eastAsia="宋体" w:cs="宋体"/>
          <w:color w:val="auto"/>
          <w:sz w:val="28"/>
          <w:szCs w:val="28"/>
          <w:highlight w:val="none"/>
        </w:rPr>
        <w:t>的书面声明；</w:t>
      </w:r>
    </w:p>
    <w:p w14:paraId="261F03E9">
      <w:pPr>
        <w:keepNext w:val="0"/>
        <w:keepLines w:val="0"/>
        <w:pageBreakBefore w:val="0"/>
        <w:widowControl w:val="0"/>
        <w:numPr>
          <w:ilvl w:val="2"/>
          <w:numId w:val="1"/>
        </w:numPr>
        <w:kinsoku/>
        <w:wordWrap/>
        <w:overflowPunct/>
        <w:topLinePunct w:val="0"/>
        <w:autoSpaceDE/>
        <w:autoSpaceDN/>
        <w:bidi w:val="0"/>
        <w:adjustRightInd w:val="0"/>
        <w:snapToGrid/>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未被“信用中国”网站（www.creditchina.gov.cn）</w:t>
      </w:r>
      <w:r>
        <w:rPr>
          <w:rFonts w:hint="eastAsia" w:ascii="宋体" w:hAnsi="宋体" w:eastAsia="宋体" w:cs="宋体"/>
          <w:color w:val="auto"/>
          <w:sz w:val="28"/>
          <w:szCs w:val="28"/>
          <w:highlight w:val="none"/>
          <w:lang w:eastAsia="zh-CN"/>
        </w:rPr>
        <w:t>、“中国政府采购网"(www.ccgp.gov.cn)</w:t>
      </w:r>
      <w:r>
        <w:rPr>
          <w:rFonts w:hint="eastAsia" w:ascii="宋体" w:hAnsi="宋体" w:eastAsia="宋体" w:cs="宋体"/>
          <w:color w:val="auto"/>
          <w:sz w:val="28"/>
          <w:szCs w:val="28"/>
          <w:highlight w:val="none"/>
        </w:rPr>
        <w:t>列入失信被执行人、重大税收违法案件当事人名单、政府采购严重失信行为记录名单。（提供网页截图）</w:t>
      </w:r>
      <w:r>
        <w:rPr>
          <w:rFonts w:hint="eastAsia" w:ascii="宋体" w:hAnsi="宋体" w:eastAsia="宋体" w:cs="宋体"/>
          <w:color w:val="auto"/>
          <w:sz w:val="28"/>
          <w:szCs w:val="28"/>
          <w:highlight w:val="none"/>
          <w:lang w:eastAsia="zh-CN"/>
        </w:rPr>
        <w:t>；</w:t>
      </w:r>
    </w:p>
    <w:p w14:paraId="22489E74">
      <w:pPr>
        <w:keepNext w:val="0"/>
        <w:keepLines w:val="0"/>
        <w:pageBreakBefore w:val="0"/>
        <w:widowControl w:val="0"/>
        <w:numPr>
          <w:ilvl w:val="1"/>
          <w:numId w:val="1"/>
        </w:numPr>
        <w:kinsoku/>
        <w:wordWrap/>
        <w:overflowPunct/>
        <w:topLinePunct w:val="0"/>
        <w:autoSpaceDE/>
        <w:autoSpaceDN/>
        <w:bidi w:val="0"/>
        <w:adjustRightInd w:val="0"/>
        <w:snapToGrid/>
        <w:spacing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本项目的特定资格要求：（</w:t>
      </w:r>
      <w:r>
        <w:rPr>
          <w:rFonts w:hint="eastAsia" w:ascii="宋体" w:hAnsi="宋体" w:eastAsia="宋体" w:cs="宋体"/>
          <w:color w:val="auto"/>
          <w:sz w:val="28"/>
          <w:szCs w:val="28"/>
          <w:highlight w:val="none"/>
          <w:lang w:val="en-US" w:eastAsia="zh-CN"/>
        </w:rPr>
        <w:t>需提供供应商资格声明函</w:t>
      </w:r>
      <w:r>
        <w:rPr>
          <w:rFonts w:hint="eastAsia" w:ascii="宋体" w:hAnsi="宋体" w:eastAsia="宋体" w:cs="宋体"/>
          <w:sz w:val="28"/>
          <w:szCs w:val="28"/>
          <w:lang w:val="en-US" w:eastAsia="zh-CN"/>
        </w:rPr>
        <w:t>）</w:t>
      </w:r>
    </w:p>
    <w:p w14:paraId="0B9E7066">
      <w:pPr>
        <w:keepNext w:val="0"/>
        <w:keepLines w:val="0"/>
        <w:pageBreakBefore w:val="0"/>
        <w:widowControl w:val="0"/>
        <w:numPr>
          <w:ilvl w:val="2"/>
          <w:numId w:val="1"/>
        </w:numPr>
        <w:kinsoku/>
        <w:wordWrap/>
        <w:overflowPunct/>
        <w:topLinePunct w:val="0"/>
        <w:autoSpaceDE/>
        <w:autoSpaceDN/>
        <w:bidi w:val="0"/>
        <w:adjustRightInd w:val="0"/>
        <w:snapToGrid/>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资格要求：</w:t>
      </w:r>
    </w:p>
    <w:p w14:paraId="61E986EA">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Chars="20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与采购人存在利害关系可能影响招标公正性的法人、其他组织或者个人，不得参加投标。</w:t>
      </w:r>
    </w:p>
    <w:p w14:paraId="22337663">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Chars="20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供应商单位负责人为同一人或者存在直接控股、管理关系的不同供应商，不得参加同一合同项下的政府采购活动。</w:t>
      </w:r>
    </w:p>
    <w:p w14:paraId="33BB4FBB">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Chars="20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供应商处于被责令停业、财产被接管、冻结和破产状态，以及投标资格被取消或者被暂停且在暂停期内</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不得参加投标</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违反前</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款规定的，</w:t>
      </w:r>
      <w:r>
        <w:rPr>
          <w:rFonts w:hint="eastAsia" w:ascii="宋体" w:hAnsi="宋体" w:eastAsia="宋体" w:cs="宋体"/>
          <w:color w:val="auto"/>
          <w:sz w:val="28"/>
          <w:szCs w:val="28"/>
          <w:highlight w:val="none"/>
          <w:lang w:val="en-US" w:eastAsia="zh-CN"/>
        </w:rPr>
        <w:t>相关投标均无效</w:t>
      </w:r>
      <w:r>
        <w:rPr>
          <w:rFonts w:hint="eastAsia" w:ascii="宋体" w:hAnsi="宋体" w:eastAsia="宋体" w:cs="宋体"/>
          <w:color w:val="auto"/>
          <w:sz w:val="28"/>
          <w:szCs w:val="28"/>
          <w:highlight w:val="none"/>
        </w:rPr>
        <w:t>；</w:t>
      </w:r>
    </w:p>
    <w:p w14:paraId="6AD95A12">
      <w:pPr>
        <w:keepNext w:val="0"/>
        <w:keepLines w:val="0"/>
        <w:pageBreakBefore w:val="0"/>
        <w:widowControl w:val="0"/>
        <w:numPr>
          <w:ilvl w:val="2"/>
          <w:numId w:val="1"/>
        </w:numPr>
        <w:kinsoku/>
        <w:wordWrap/>
        <w:overflowPunct/>
        <w:topLinePunct w:val="0"/>
        <w:autoSpaceDE/>
        <w:autoSpaceDN/>
        <w:bidi w:val="0"/>
        <w:adjustRightInd w:val="0"/>
        <w:snapToGrid/>
        <w:spacing w:line="36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本项目不接受联合体进行竞价，不接受分包。</w:t>
      </w:r>
    </w:p>
    <w:p w14:paraId="0792971E">
      <w:pPr>
        <w:pStyle w:val="2"/>
        <w:rPr>
          <w:rFonts w:hint="eastAsia"/>
          <w:lang w:val="en-US" w:eastAsia="zh-CN"/>
        </w:rPr>
      </w:pPr>
      <w:r>
        <w:rPr>
          <w:rFonts w:hint="eastAsia" w:hAnsi="宋体" w:eastAsia="宋体" w:cs="宋体"/>
          <w:color w:val="auto"/>
          <w:sz w:val="28"/>
          <w:szCs w:val="28"/>
          <w:highlight w:val="none"/>
          <w:lang w:val="en-US" w:eastAsia="zh-CN"/>
        </w:rPr>
        <w:t xml:space="preserve"> （3）本文件中带“</w:t>
      </w:r>
      <w:r>
        <w:rPr>
          <w:rFonts w:hint="eastAsia" w:ascii="宋体" w:hAnsi="宋体" w:eastAsia="宋体" w:cs="宋体"/>
          <w:kern w:val="2"/>
          <w:sz w:val="28"/>
          <w:szCs w:val="28"/>
          <w:lang w:val="en-US" w:eastAsia="zh-CN" w:bidi="ar-SA"/>
        </w:rPr>
        <w:t>★</w:t>
      </w:r>
      <w:r>
        <w:rPr>
          <w:rFonts w:hint="eastAsia" w:hAnsi="宋体" w:eastAsia="宋体" w:cs="宋体"/>
          <w:kern w:val="2"/>
          <w:sz w:val="28"/>
          <w:szCs w:val="28"/>
          <w:lang w:val="en-US" w:eastAsia="zh-CN" w:bidi="ar-SA"/>
        </w:rPr>
        <w:t>”的文件要求，投标人需完全响应。</w:t>
      </w:r>
    </w:p>
    <w:p w14:paraId="20294A5E">
      <w:pPr>
        <w:keepNext w:val="0"/>
        <w:keepLines w:val="0"/>
        <w:pageBreakBefore w:val="0"/>
        <w:numPr>
          <w:ilvl w:val="0"/>
          <w:numId w:val="1"/>
        </w:numPr>
        <w:kinsoku/>
        <w:wordWrap/>
        <w:overflowPunct/>
        <w:topLinePunct w:val="0"/>
        <w:bidi w:val="0"/>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报价要求：</w:t>
      </w:r>
    </w:p>
    <w:p w14:paraId="608B6BEF">
      <w:pPr>
        <w:keepNext w:val="0"/>
        <w:keepLines w:val="0"/>
        <w:pageBreakBefore w:val="0"/>
        <w:widowControl w:val="0"/>
        <w:numPr>
          <w:ilvl w:val="1"/>
          <w:numId w:val="1"/>
        </w:numPr>
        <w:kinsoku/>
        <w:wordWrap/>
        <w:overflowPunct/>
        <w:topLinePunct w:val="0"/>
        <w:autoSpaceDE/>
        <w:autoSpaceDN/>
        <w:bidi w:val="0"/>
        <w:adjustRightInd w:val="0"/>
        <w:snapToGrid/>
        <w:spacing w:line="360" w:lineRule="auto"/>
        <w:ind w:left="0" w:leftChars="0"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项目控制价：</w:t>
      </w:r>
      <w:r>
        <w:rPr>
          <w:rFonts w:hint="eastAsia" w:ascii="宋体" w:hAnsi="宋体" w:eastAsia="宋体" w:cs="宋体"/>
          <w:b/>
          <w:bCs/>
          <w:sz w:val="28"/>
          <w:szCs w:val="28"/>
          <w:u w:val="single"/>
          <w:lang w:val="en-US" w:eastAsia="zh-CN"/>
        </w:rPr>
        <w:t>44700元</w:t>
      </w:r>
    </w:p>
    <w:p w14:paraId="70534F7F">
      <w:pPr>
        <w:keepNext w:val="0"/>
        <w:keepLines w:val="0"/>
        <w:pageBreakBefore w:val="0"/>
        <w:widowControl w:val="0"/>
        <w:numPr>
          <w:ilvl w:val="1"/>
          <w:numId w:val="1"/>
        </w:numPr>
        <w:kinsoku/>
        <w:wordWrap/>
        <w:overflowPunct/>
        <w:topLinePunct w:val="0"/>
        <w:autoSpaceDE/>
        <w:autoSpaceDN/>
        <w:bidi w:val="0"/>
        <w:adjustRightInd w:val="0"/>
        <w:snapToGrid/>
        <w:spacing w:line="360"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一次报价（包干价），如出现两个以上报价，作无效标。</w:t>
      </w:r>
    </w:p>
    <w:p w14:paraId="5594C5CF">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highlight w:val="none"/>
        </w:rPr>
        <w:t>本</w:t>
      </w:r>
      <w:r>
        <w:rPr>
          <w:rFonts w:hint="eastAsia" w:ascii="宋体" w:hAnsi="宋体" w:eastAsia="宋体" w:cs="宋体"/>
          <w:sz w:val="28"/>
          <w:szCs w:val="28"/>
        </w:rPr>
        <w:t>项目为</w:t>
      </w:r>
      <w:r>
        <w:rPr>
          <w:rFonts w:hint="eastAsia" w:ascii="宋体" w:hAnsi="宋体" w:eastAsia="宋体" w:cs="宋体"/>
          <w:color w:val="auto"/>
          <w:sz w:val="28"/>
          <w:szCs w:val="28"/>
          <w:highlight w:val="none"/>
        </w:rPr>
        <w:t>交钥匙工程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设备须达到甲方最终正常使用要求，不再支付任何额外费用</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rPr>
        <w:t>项目所需运输费、保险、税费、安装调试费、培训费等均包含在单台货物（设备）的报价中，不得单列。投标人在填报投标报价明细表（或分项报价表）时上述运输、保险、安装、税费、伴随服务等</w:t>
      </w:r>
      <w:r>
        <w:rPr>
          <w:rFonts w:hint="eastAsia" w:ascii="宋体" w:hAnsi="宋体" w:eastAsia="宋体" w:cs="宋体"/>
          <w:sz w:val="28"/>
          <w:szCs w:val="28"/>
          <w:lang w:val="en-US" w:eastAsia="zh-CN"/>
        </w:rPr>
        <w:t>所有</w:t>
      </w:r>
      <w:r>
        <w:rPr>
          <w:rFonts w:hint="eastAsia" w:ascii="宋体" w:hAnsi="宋体" w:eastAsia="宋体" w:cs="宋体"/>
          <w:sz w:val="28"/>
          <w:szCs w:val="28"/>
        </w:rPr>
        <w:t>费用须包含在货物（或设备）单价中，不得将运输、保险、安装、税费、伴随服务等相关费用单独填报</w:t>
      </w:r>
      <w:r>
        <w:rPr>
          <w:rFonts w:hint="eastAsia" w:ascii="宋体" w:hAnsi="宋体" w:eastAsia="宋体" w:cs="宋体"/>
          <w:sz w:val="28"/>
          <w:szCs w:val="28"/>
          <w:lang w:eastAsia="zh-CN"/>
        </w:rPr>
        <w:t>。</w:t>
      </w:r>
    </w:p>
    <w:p w14:paraId="0869AC49">
      <w:pPr>
        <w:keepNext w:val="0"/>
        <w:keepLines w:val="0"/>
        <w:pageBreakBefore w:val="0"/>
        <w:widowControl w:val="0"/>
        <w:numPr>
          <w:ilvl w:val="1"/>
          <w:numId w:val="1"/>
        </w:numPr>
        <w:kinsoku/>
        <w:wordWrap/>
        <w:overflowPunct/>
        <w:topLinePunct w:val="0"/>
        <w:autoSpaceDE/>
        <w:autoSpaceDN/>
        <w:bidi w:val="0"/>
        <w:adjustRightInd w:val="0"/>
        <w:snapToGrid/>
        <w:spacing w:line="360"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报价明细要求：</w:t>
      </w:r>
    </w:p>
    <w:p w14:paraId="7D4D44D3">
      <w:pPr>
        <w:pStyle w:val="2"/>
        <w:keepNext w:val="0"/>
        <w:keepLines w:val="0"/>
        <w:pageBreakBefore w:val="0"/>
        <w:kinsoku/>
        <w:wordWrap/>
        <w:overflowPunct/>
        <w:topLinePunct w:val="0"/>
        <w:bidi w:val="0"/>
        <w:spacing w:line="360" w:lineRule="auto"/>
        <w:textAlignment w:val="auto"/>
        <w:rPr>
          <w:rFonts w:hint="eastAsia"/>
          <w:lang w:val="en-US" w:eastAsia="zh-CN"/>
        </w:rPr>
      </w:pPr>
      <w:r>
        <w:rPr>
          <w:rFonts w:hint="eastAsia" w:ascii="宋体" w:hAnsi="宋体" w:eastAsia="宋体" w:cs="宋体"/>
          <w:kern w:val="2"/>
          <w:sz w:val="28"/>
          <w:szCs w:val="28"/>
          <w:lang w:val="en-US" w:eastAsia="zh-CN" w:bidi="ar-SA"/>
        </w:rPr>
        <w:t>★响应文件明细报价表内容中必须提供投标产品名称、品牌、产</w:t>
      </w:r>
      <w:r>
        <w:rPr>
          <w:rFonts w:hint="eastAsia" w:hAnsi="宋体" w:eastAsia="宋体" w:cs="宋体"/>
          <w:kern w:val="2"/>
          <w:sz w:val="28"/>
          <w:szCs w:val="28"/>
          <w:lang w:val="en-US" w:eastAsia="zh-CN" w:bidi="ar-SA"/>
        </w:rPr>
        <w:t>品</w:t>
      </w:r>
      <w:r>
        <w:rPr>
          <w:rFonts w:hint="eastAsia" w:ascii="宋体" w:hAnsi="宋体" w:eastAsia="宋体" w:cs="宋体"/>
          <w:kern w:val="2"/>
          <w:sz w:val="28"/>
          <w:szCs w:val="28"/>
          <w:lang w:val="en-US" w:eastAsia="zh-CN" w:bidi="ar-SA"/>
        </w:rPr>
        <w:t>规格、单价</w:t>
      </w:r>
      <w:r>
        <w:rPr>
          <w:rFonts w:hint="eastAsia" w:hAnsi="宋体" w:eastAsia="宋体" w:cs="宋体"/>
          <w:kern w:val="2"/>
          <w:sz w:val="28"/>
          <w:szCs w:val="28"/>
          <w:lang w:val="en-US" w:eastAsia="zh-CN" w:bidi="ar-SA"/>
        </w:rPr>
        <w:t>（不得超过最高单价）</w:t>
      </w:r>
      <w:r>
        <w:rPr>
          <w:rFonts w:hint="eastAsia" w:ascii="宋体" w:hAnsi="宋体" w:eastAsia="宋体" w:cs="宋体"/>
          <w:kern w:val="2"/>
          <w:sz w:val="28"/>
          <w:szCs w:val="28"/>
          <w:lang w:val="en-US" w:eastAsia="zh-CN" w:bidi="ar-SA"/>
        </w:rPr>
        <w:t>、详细参数。</w:t>
      </w:r>
    </w:p>
    <w:p w14:paraId="044DED4D">
      <w:pPr>
        <w:keepNext w:val="0"/>
        <w:keepLines w:val="0"/>
        <w:pageBreakBefore w:val="0"/>
        <w:numPr>
          <w:ilvl w:val="0"/>
          <w:numId w:val="1"/>
        </w:numPr>
        <w:kinsoku/>
        <w:wordWrap/>
        <w:overflowPunct/>
        <w:topLinePunct w:val="0"/>
        <w:bidi w:val="0"/>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付款方式</w:t>
      </w:r>
    </w:p>
    <w:p w14:paraId="3DE6042E">
      <w:pPr>
        <w:keepNext w:val="0"/>
        <w:keepLines w:val="0"/>
        <w:pageBreakBefore w:val="0"/>
        <w:widowControl w:val="0"/>
        <w:numPr>
          <w:ilvl w:val="1"/>
          <w:numId w:val="1"/>
        </w:numPr>
        <w:kinsoku/>
        <w:wordWrap/>
        <w:overflowPunct/>
        <w:topLinePunct w:val="0"/>
        <w:autoSpaceDE/>
        <w:autoSpaceDN/>
        <w:bidi w:val="0"/>
        <w:adjustRightInd w:val="0"/>
        <w:snapToGrid/>
        <w:spacing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甲方单位验收合格后，按医院账期一次性向乙方支付合同总金额100%款项。</w:t>
      </w:r>
    </w:p>
    <w:p w14:paraId="03E6DE47">
      <w:pPr>
        <w:keepNext w:val="0"/>
        <w:keepLines w:val="0"/>
        <w:pageBreakBefore w:val="0"/>
        <w:numPr>
          <w:ilvl w:val="0"/>
          <w:numId w:val="1"/>
        </w:numPr>
        <w:kinsoku/>
        <w:wordWrap/>
        <w:overflowPunct/>
        <w:topLinePunct w:val="0"/>
        <w:bidi w:val="0"/>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售后服务质保期要求：</w:t>
      </w:r>
    </w:p>
    <w:p w14:paraId="1C4C03D1">
      <w:pPr>
        <w:pStyle w:val="2"/>
        <w:keepNext w:val="0"/>
        <w:keepLines w:val="0"/>
        <w:pageBreakBefore w:val="0"/>
        <w:kinsoku/>
        <w:wordWrap/>
        <w:overflowPunct/>
        <w:topLinePunct w:val="0"/>
        <w:bidi w:val="0"/>
        <w:spacing w:line="360" w:lineRule="auto"/>
        <w:textAlignment w:val="auto"/>
        <w:rPr>
          <w:rFonts w:hint="eastAsia" w:ascii="宋体" w:hAnsi="宋体" w:eastAsia="宋体" w:cs="宋体"/>
          <w:kern w:val="2"/>
          <w:sz w:val="28"/>
          <w:szCs w:val="28"/>
          <w:lang w:val="en-US" w:eastAsia="zh-CN" w:bidi="ar-SA"/>
        </w:rPr>
      </w:pPr>
      <w:r>
        <w:rPr>
          <w:rFonts w:hint="eastAsia" w:hAnsi="宋体" w:eastAsia="宋体" w:cs="宋体"/>
          <w:kern w:val="2"/>
          <w:sz w:val="28"/>
          <w:szCs w:val="28"/>
          <w:lang w:val="en-US" w:eastAsia="zh-CN" w:bidi="ar-SA"/>
        </w:rPr>
        <w:t>质保期</w:t>
      </w:r>
      <w:r>
        <w:rPr>
          <w:rFonts w:hint="eastAsia" w:ascii="宋体" w:hAnsi="宋体" w:eastAsia="宋体" w:cs="宋体"/>
          <w:kern w:val="2"/>
          <w:sz w:val="28"/>
          <w:szCs w:val="28"/>
          <w:lang w:val="en-US" w:eastAsia="zh-CN" w:bidi="ar-SA"/>
        </w:rPr>
        <w:t>为</w:t>
      </w:r>
      <w:r>
        <w:rPr>
          <w:rFonts w:hint="eastAsia" w:hAnsi="宋体" w:eastAsia="宋体" w:cs="宋体"/>
          <w:kern w:val="2"/>
          <w:sz w:val="28"/>
          <w:szCs w:val="28"/>
          <w:lang w:val="en-US" w:eastAsia="zh-CN" w:bidi="ar-SA"/>
        </w:rPr>
        <w:t>1年</w:t>
      </w:r>
      <w:r>
        <w:rPr>
          <w:rFonts w:hint="eastAsia" w:ascii="宋体" w:hAnsi="宋体" w:eastAsia="宋体" w:cs="宋体"/>
          <w:kern w:val="2"/>
          <w:sz w:val="28"/>
          <w:szCs w:val="28"/>
          <w:lang w:val="en-US" w:eastAsia="zh-CN" w:bidi="ar-SA"/>
        </w:rPr>
        <w:t>，从</w:t>
      </w:r>
      <w:r>
        <w:rPr>
          <w:rFonts w:hint="eastAsia" w:hAnsi="宋体" w:eastAsia="宋体" w:cs="宋体"/>
          <w:kern w:val="2"/>
          <w:sz w:val="28"/>
          <w:szCs w:val="28"/>
          <w:lang w:val="en-US" w:eastAsia="zh-CN" w:bidi="ar-SA"/>
        </w:rPr>
        <w:t>货物</w:t>
      </w:r>
      <w:r>
        <w:rPr>
          <w:rFonts w:hint="eastAsia" w:ascii="宋体" w:hAnsi="宋体" w:eastAsia="宋体" w:cs="宋体"/>
          <w:kern w:val="2"/>
          <w:sz w:val="28"/>
          <w:szCs w:val="28"/>
          <w:lang w:val="en-US" w:eastAsia="zh-CN" w:bidi="ar-SA"/>
        </w:rPr>
        <w:t>验收合格之日起计算。乙方承诺质保期内提供免费维护保养，且自甲方通知维护之日起，</w:t>
      </w:r>
      <w:r>
        <w:rPr>
          <w:rFonts w:hint="eastAsia"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t>小时内即可响应</w:t>
      </w:r>
      <w:r>
        <w:rPr>
          <w:rFonts w:hint="eastAsia" w:hAnsi="宋体" w:eastAsia="宋体" w:cs="宋体"/>
          <w:kern w:val="2"/>
          <w:sz w:val="28"/>
          <w:szCs w:val="28"/>
          <w:lang w:val="en-US" w:eastAsia="zh-CN" w:bidi="ar-SA"/>
        </w:rPr>
        <w:t>,48小时</w:t>
      </w:r>
      <w:r>
        <w:rPr>
          <w:rFonts w:hint="eastAsia" w:ascii="宋体" w:hAnsi="宋体" w:eastAsia="宋体" w:cs="宋体"/>
          <w:kern w:val="2"/>
          <w:sz w:val="28"/>
          <w:szCs w:val="28"/>
          <w:lang w:val="en-US" w:eastAsia="zh-CN" w:bidi="ar-SA"/>
        </w:rPr>
        <w:t>解决设备问题不可收取任何费用。（质保期开始之日：为设备验收合格之日起）</w:t>
      </w:r>
    </w:p>
    <w:p w14:paraId="4E7D4351">
      <w:pPr>
        <w:keepNext w:val="0"/>
        <w:keepLines w:val="0"/>
        <w:pageBreakBefore w:val="0"/>
        <w:numPr>
          <w:ilvl w:val="0"/>
          <w:numId w:val="1"/>
        </w:numPr>
        <w:kinsoku/>
        <w:wordWrap/>
        <w:overflowPunct/>
        <w:topLinePunct w:val="0"/>
        <w:bidi w:val="0"/>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kern w:val="2"/>
          <w:sz w:val="28"/>
          <w:szCs w:val="28"/>
          <w:lang w:val="en-US" w:eastAsia="zh-CN" w:bidi="ar-SA"/>
        </w:rPr>
        <w:t>★</w:t>
      </w:r>
      <w:r>
        <w:rPr>
          <w:rFonts w:hint="eastAsia" w:ascii="宋体" w:hAnsi="宋体" w:eastAsia="宋体" w:cs="宋体"/>
          <w:b/>
          <w:bCs/>
          <w:sz w:val="28"/>
          <w:szCs w:val="28"/>
          <w:lang w:val="en-US" w:eastAsia="zh-CN"/>
        </w:rPr>
        <w:t>响应需求：</w:t>
      </w:r>
    </w:p>
    <w:p w14:paraId="092EA19A">
      <w:pPr>
        <w:keepNext w:val="0"/>
        <w:keepLines w:val="0"/>
        <w:pageBreakBefore w:val="0"/>
        <w:widowControl w:val="0"/>
        <w:numPr>
          <w:ilvl w:val="1"/>
          <w:numId w:val="1"/>
        </w:numPr>
        <w:kinsoku/>
        <w:wordWrap/>
        <w:overflowPunct/>
        <w:topLinePunct w:val="0"/>
        <w:autoSpaceDE/>
        <w:autoSpaceDN/>
        <w:bidi w:val="0"/>
        <w:adjustRightInd w:val="0"/>
        <w:snapToGrid/>
        <w:spacing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投标人所投产品需完全响应招标参数且提供真实有效的产品检测报告及原材料检测报告（原件备查网址可查）；</w:t>
      </w:r>
    </w:p>
    <w:p w14:paraId="23A6C429">
      <w:pPr>
        <w:keepNext w:val="0"/>
        <w:keepLines w:val="0"/>
        <w:pageBreakBefore w:val="0"/>
        <w:widowControl w:val="0"/>
        <w:numPr>
          <w:ilvl w:val="1"/>
          <w:numId w:val="1"/>
        </w:numPr>
        <w:kinsoku/>
        <w:wordWrap/>
        <w:overflowPunct/>
        <w:topLinePunct w:val="0"/>
        <w:autoSpaceDE/>
        <w:autoSpaceDN/>
        <w:bidi w:val="0"/>
        <w:adjustRightInd w:val="0"/>
        <w:snapToGrid/>
        <w:spacing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供货期：合同签订后3-5个工作日内供货；</w:t>
      </w:r>
    </w:p>
    <w:p w14:paraId="1A362A22">
      <w:pPr>
        <w:keepNext w:val="0"/>
        <w:keepLines w:val="0"/>
        <w:pageBreakBefore w:val="0"/>
        <w:widowControl w:val="0"/>
        <w:numPr>
          <w:ilvl w:val="1"/>
          <w:numId w:val="1"/>
        </w:numPr>
        <w:kinsoku/>
        <w:wordWrap/>
        <w:overflowPunct/>
        <w:topLinePunct w:val="0"/>
        <w:autoSpaceDE/>
        <w:autoSpaceDN/>
        <w:bidi w:val="0"/>
        <w:adjustRightInd w:val="0"/>
        <w:snapToGrid/>
        <w:spacing w:line="360" w:lineRule="auto"/>
        <w:ind w:left="0" w:lef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投标单位竞价响应期间内需提供核心产品样品（核心产品：床头柜），检测报告随样品一并送达，未提供者视为放弃。样品送至：西安交通大学第二附属医院新疆医院。</w:t>
      </w:r>
    </w:p>
    <w:p w14:paraId="6BAB14EA">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14:paraId="1A501A2F">
      <w:pPr>
        <w:keepNext w:val="0"/>
        <w:keepLines w:val="0"/>
        <w:pageBreakBefore w:val="0"/>
        <w:numPr>
          <w:ilvl w:val="0"/>
          <w:numId w:val="1"/>
        </w:numPr>
        <w:kinsoku/>
        <w:wordWrap/>
        <w:overflowPunct/>
        <w:topLinePunct w:val="0"/>
        <w:bidi w:val="0"/>
        <w:spacing w:line="360" w:lineRule="auto"/>
        <w:textAlignment w:val="auto"/>
        <w:rPr>
          <w:rFonts w:hint="eastAsia" w:ascii="宋体" w:hAnsi="宋体" w:eastAsia="宋体" w:cs="宋体"/>
          <w:b/>
          <w:bCs/>
          <w:sz w:val="28"/>
          <w:szCs w:val="28"/>
          <w:lang w:val="en-US" w:eastAsia="zh-CN"/>
        </w:rPr>
        <w:sectPr>
          <w:pgSz w:w="11906" w:h="16838"/>
          <w:pgMar w:top="1440" w:right="1800" w:bottom="1440" w:left="1800" w:header="851" w:footer="992" w:gutter="0"/>
          <w:cols w:space="425" w:num="1"/>
          <w:docGrid w:type="lines" w:linePitch="312" w:charSpace="0"/>
        </w:sectPr>
      </w:pPr>
    </w:p>
    <w:p w14:paraId="522C9FE1">
      <w:pPr>
        <w:keepNext w:val="0"/>
        <w:keepLines w:val="0"/>
        <w:pageBreakBefore w:val="0"/>
        <w:numPr>
          <w:ilvl w:val="0"/>
          <w:numId w:val="1"/>
        </w:numPr>
        <w:kinsoku/>
        <w:wordWrap/>
        <w:overflowPunct/>
        <w:topLinePunct w:val="0"/>
        <w:bidi w:val="0"/>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采购清单</w:t>
      </w:r>
    </w:p>
    <w:tbl>
      <w:tblPr>
        <w:tblStyle w:val="3"/>
        <w:tblW w:w="158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1084"/>
        <w:gridCol w:w="1027"/>
        <w:gridCol w:w="8216"/>
        <w:gridCol w:w="715"/>
        <w:gridCol w:w="600"/>
        <w:gridCol w:w="923"/>
        <w:gridCol w:w="946"/>
        <w:gridCol w:w="1661"/>
      </w:tblGrid>
      <w:tr w14:paraId="73AF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blHeader/>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D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03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4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8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3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详细参数</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C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135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单位</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6D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最高单价（元）</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9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最高总价（元</w:t>
            </w:r>
            <w:bookmarkStart w:id="0" w:name="_GoBack"/>
            <w:bookmarkEnd w:id="0"/>
            <w:r>
              <w:rPr>
                <w:rFonts w:hint="eastAsia" w:ascii="宋体" w:hAnsi="宋体" w:eastAsia="宋体" w:cs="宋体"/>
                <w:i w:val="0"/>
                <w:iCs w:val="0"/>
                <w:color w:val="000000"/>
                <w:kern w:val="0"/>
                <w:sz w:val="21"/>
                <w:szCs w:val="21"/>
                <w:u w:val="none"/>
                <w:lang w:val="en-US" w:eastAsia="zh-CN" w:bidi="ar"/>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E1EC">
            <w:pPr>
              <w:jc w:val="center"/>
              <w:rPr>
                <w:rFonts w:hint="eastAsia" w:ascii="宋体" w:hAnsi="宋体" w:eastAsia="宋体" w:cs="宋体"/>
                <w:i w:val="0"/>
                <w:iCs w:val="0"/>
                <w:color w:val="000000"/>
                <w:sz w:val="21"/>
                <w:szCs w:val="21"/>
                <w:u w:val="none"/>
              </w:rPr>
            </w:pPr>
          </w:p>
        </w:tc>
      </w:tr>
      <w:tr w14:paraId="15C75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E7A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4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茶水柜</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3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8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ED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1.框架：采用优质实木制作。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kern w:val="2"/>
                <w:sz w:val="21"/>
                <w:szCs w:val="21"/>
                <w:lang w:val="en-US" w:eastAsia="zh-CN" w:bidi="ar-SA"/>
              </w:rPr>
              <w:t>★</w:t>
            </w:r>
            <w:r>
              <w:rPr>
                <w:rFonts w:hint="eastAsia" w:ascii="宋体" w:hAnsi="宋体" w:eastAsia="宋体" w:cs="宋体"/>
                <w:i w:val="0"/>
                <w:iCs w:val="0"/>
                <w:color w:val="000000"/>
                <w:kern w:val="0"/>
                <w:sz w:val="21"/>
                <w:szCs w:val="21"/>
                <w:u w:val="none"/>
                <w:lang w:val="en-US" w:eastAsia="zh-CN" w:bidi="ar"/>
              </w:rPr>
              <w:t>2.面漆：GB/T 23985-2009《色漆和清漆挥发性有机化合物(VOC)含量的测定差值法》GB 18581-2020《木器涂料中有害物质限量》GB/T 23993-2009《水性涂料中甲醛含量的测定 乙酰丙酮分光光度法》GB/T 23986-2009《色漆和清漆 挥发性有机化合物(VOC)含量的测定 气相色谱法》GB/T 23990-2009《涂料中苯、甲苯、乙苯和二甲苯含量的测定 气相色谱法》GB/T 31414-2015《水性涂料 表面活性剂的测定 烷基酚聚氧乙烯醚》HJ2537-2014《环境标志产品技术要求 水性涂料》挥发性有机化合物(VOC)含量≤30g/L，有害物质限量的限量值要求未检出，游离甲醛≤6mg/kg，乙二醇醚及其酯类的总量(乙二醇甲醚、乙二醇甲醚醋酸酯、乙二醇乙醚、乙二醇乙醚醋酸酯、二乙二醇丁醚醋酸酯)均未检出。（需提供检测报告，原件备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kern w:val="2"/>
                <w:sz w:val="21"/>
                <w:szCs w:val="21"/>
                <w:lang w:val="en-US" w:eastAsia="zh-CN" w:bidi="ar-SA"/>
              </w:rPr>
              <w:t>★</w:t>
            </w:r>
            <w:r>
              <w:rPr>
                <w:rFonts w:hint="eastAsia" w:ascii="宋体" w:hAnsi="宋体" w:eastAsia="宋体" w:cs="宋体"/>
                <w:i w:val="0"/>
                <w:iCs w:val="0"/>
                <w:color w:val="000000"/>
                <w:kern w:val="0"/>
                <w:sz w:val="21"/>
                <w:szCs w:val="21"/>
                <w:u w:val="none"/>
                <w:lang w:val="en-US" w:eastAsia="zh-CN" w:bidi="ar"/>
              </w:rPr>
              <w:t>3.底漆：GB/T 23985-2009《色漆和清漆挥发性有机化合物(VOC)含量的测定差值法》GB 18581-2020《木器涂料中有害物质限量》GB/T 23993-2009《水性涂料中甲醛含量的测定 乙酰丙酮分光光度法》GB/T 23986-2009《色漆和清漆 挥发性有机化合物(VOC)含量的测定 气相色谱法》GB/T 23990-2009《涂料中苯、甲苯、乙苯和二甲苯含量的测定 气相色谱法》GB/T 31414-2015《水性涂料 表面活性剂的测定 烷基酚聚氧乙烯醚》HJ2537-2014《环境标志产品技术要求 水性涂料》挥发性有机化合物(VOC)含量≤30g/L，有害物质限量的限量值要求未检出，游离甲醛≤6mg/kg，乙二醇醚及其酯类的总量(乙二醇甲醚、乙二醇甲醚醋酸酯、乙二醇乙醚、乙二醇乙醚醋酸酯、二乙二醇丁醚醋酸酯)均未检出。（需提供检测报告，原件备查）</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9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B4B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D6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2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661" w:type="dxa"/>
            <w:tcBorders>
              <w:top w:val="single" w:color="000000" w:sz="4" w:space="0"/>
              <w:left w:val="single" w:color="000000" w:sz="4" w:space="0"/>
              <w:bottom w:val="nil"/>
              <w:right w:val="single" w:color="000000" w:sz="4" w:space="0"/>
            </w:tcBorders>
            <w:shd w:val="clear" w:color="auto" w:fill="auto"/>
            <w:noWrap/>
            <w:vAlign w:val="center"/>
          </w:tcPr>
          <w:p w14:paraId="37CEF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26035</wp:posOffset>
                  </wp:positionH>
                  <wp:positionV relativeFrom="paragraph">
                    <wp:posOffset>367665</wp:posOffset>
                  </wp:positionV>
                  <wp:extent cx="959485" cy="967105"/>
                  <wp:effectExtent l="0" t="0" r="12065" b="4445"/>
                  <wp:wrapNone/>
                  <wp:docPr id="14" name="图片_11"/>
                  <wp:cNvGraphicFramePr/>
                  <a:graphic xmlns:a="http://schemas.openxmlformats.org/drawingml/2006/main">
                    <a:graphicData uri="http://schemas.openxmlformats.org/drawingml/2006/picture">
                      <pic:pic xmlns:pic="http://schemas.openxmlformats.org/drawingml/2006/picture">
                        <pic:nvPicPr>
                          <pic:cNvPr id="14" name="图片_11"/>
                          <pic:cNvPicPr/>
                        </pic:nvPicPr>
                        <pic:blipFill>
                          <a:blip r:embed="rId4"/>
                          <a:stretch>
                            <a:fillRect/>
                          </a:stretch>
                        </pic:blipFill>
                        <pic:spPr>
                          <a:xfrm>
                            <a:off x="0" y="0"/>
                            <a:ext cx="959485" cy="967105"/>
                          </a:xfrm>
                          <a:prstGeom prst="rect">
                            <a:avLst/>
                          </a:prstGeom>
                          <a:noFill/>
                          <a:ln>
                            <a:noFill/>
                          </a:ln>
                        </pic:spPr>
                      </pic:pic>
                    </a:graphicData>
                  </a:graphic>
                </wp:anchor>
              </w:drawing>
            </w:r>
          </w:p>
        </w:tc>
      </w:tr>
      <w:tr w14:paraId="68B3D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CD8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2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2"/>
                <w:sz w:val="21"/>
                <w:szCs w:val="21"/>
                <w:lang w:val="en-US" w:eastAsia="zh-CN" w:bidi="ar-SA"/>
              </w:rPr>
              <w:t>★</w:t>
            </w:r>
            <w:r>
              <w:rPr>
                <w:rFonts w:hint="eastAsia" w:ascii="宋体" w:hAnsi="宋体" w:eastAsia="宋体" w:cs="宋体"/>
                <w:i w:val="0"/>
                <w:iCs w:val="0"/>
                <w:color w:val="000000"/>
                <w:kern w:val="0"/>
                <w:sz w:val="21"/>
                <w:szCs w:val="21"/>
                <w:u w:val="none"/>
                <w:lang w:val="en-US" w:eastAsia="zh-CN" w:bidi="ar"/>
              </w:rPr>
              <w:t>床头柜</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AF2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450*400*450mm</w:t>
            </w:r>
          </w:p>
        </w:tc>
        <w:tc>
          <w:tcPr>
            <w:tcW w:w="8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13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2"/>
                <w:sz w:val="21"/>
                <w:szCs w:val="21"/>
                <w:lang w:val="en-US" w:eastAsia="zh-CN" w:bidi="ar-SA"/>
              </w:rPr>
              <w:t>★</w:t>
            </w:r>
            <w:r>
              <w:rPr>
                <w:rFonts w:hint="eastAsia" w:ascii="宋体" w:hAnsi="宋体" w:eastAsia="宋体" w:cs="宋体"/>
                <w:i w:val="0"/>
                <w:iCs w:val="0"/>
                <w:color w:val="000000"/>
                <w:kern w:val="0"/>
                <w:sz w:val="21"/>
                <w:szCs w:val="21"/>
                <w:u w:val="none"/>
                <w:lang w:val="en-US" w:eastAsia="zh-CN" w:bidi="ar"/>
              </w:rPr>
              <w:t>1.E0级实木颗粒板：GB/T39600-2021《人造板及其制品甲醛释放量分级》，甲醛释放量(气候箱法)E0级未检出，规格尺寸及其偏差符合标准、外观质量符合标准、密度符合标准、含水率符合标准、静曲强度≥28MPa、弹性模量≥3800MPa、板面握螺钉力≥1800N、板边握螺钉力≥1500N，苯未检出，甲苯未检出，二甲苯未检出，TV0C未检出。（需提供检测报告，原件备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kern w:val="2"/>
                <w:sz w:val="21"/>
                <w:szCs w:val="21"/>
                <w:lang w:val="en-US" w:eastAsia="zh-CN" w:bidi="ar-SA"/>
              </w:rPr>
              <w:t>★</w:t>
            </w:r>
            <w:r>
              <w:rPr>
                <w:rFonts w:hint="eastAsia" w:ascii="宋体" w:hAnsi="宋体" w:eastAsia="宋体" w:cs="宋体"/>
                <w:i w:val="0"/>
                <w:iCs w:val="0"/>
                <w:color w:val="000000"/>
                <w:kern w:val="0"/>
                <w:sz w:val="21"/>
                <w:szCs w:val="21"/>
                <w:u w:val="none"/>
                <w:lang w:val="en-US" w:eastAsia="zh-CN" w:bidi="ar"/>
              </w:rPr>
              <w:t>2.PVC封边条：PVC封边QB/T 4463-2013《家具用封边条技术要求》。、塑料封边条-耐开裂性(耐龟裂性)1级、塑料封边条-耐光色牢度(灰色样卡)5级、塑料封边条-甲醛释放量＜0.01mg/L、塑料封边条-氯乙烯单体＜0.01mg/kg、塑料封边条-可迁移元素(可溶性重金属)-铅(Pb)＜0.01mg/kg、塑料封边条-可迁移元素(可溶性重金属)-镉(Cd)＜0.01mg/kg、塑料封边条-可迁移元素(可溶性重金属)-铬(Cr)＜0.01mg/kg、塑料封边条-可迁移元素(可溶性重金属)-汞(Hg)＜0.01mg/kg、塑料封边条-可迁移元素(可溶性重金属)-砷(As)＜0.01mg/kg、塑料封边条 可迁移元素(可溶性重金属庾力)-钡(Ba)＜0.01mg/kg、塑料封边条-可迁移元素(可溶性重金属)-锑(Sb)塑料封边条-可迁移元素(可溶性重金属)-硒(Se)＜0.01mg/kg、塑料封边条-邻苯二甲酸酯(DBP、BBP、DEHP、DNOP、DINP和DIDP)的总量＜0.0%、塑料封边条-多溴联苯(PBB)＜0.01mg/kg、塑料封边条 多溴联苯醚(PBDE)＜0.01mg/kg。（需提供检测报告，原件备查）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kern w:val="2"/>
                <w:sz w:val="21"/>
                <w:szCs w:val="21"/>
                <w:lang w:val="en-US" w:eastAsia="zh-CN" w:bidi="ar-SA"/>
              </w:rPr>
              <w:t>★</w:t>
            </w:r>
            <w:r>
              <w:rPr>
                <w:rFonts w:hint="eastAsia" w:ascii="宋体" w:hAnsi="宋体" w:eastAsia="宋体" w:cs="宋体"/>
                <w:i w:val="0"/>
                <w:iCs w:val="0"/>
                <w:color w:val="000000"/>
                <w:kern w:val="0"/>
                <w:sz w:val="21"/>
                <w:szCs w:val="21"/>
                <w:u w:val="none"/>
                <w:lang w:val="en-US" w:eastAsia="zh-CN" w:bidi="ar"/>
              </w:rPr>
              <w:t>3.三合一连接件：GB/T 3325-2017《金属家具通用技术条件》GB/T 28203-2011《家具用连接件技术要求及试验方法》GB/T 10125-2021《人造气氛腐蚀试验 盐雾试验》QB/T 3826-1999《轻工产品金属镀层和化学处理层的耐腐蚀试验方法 中性盐雾试(NSS)法》QB/T 3827-1999《轻工产品金属镀层和化学处理层的耐腐蚀试验方法 乙酸盐雾试验(ASS)法》。、中性盐雾试验 18h 10级、乙酸盐雾试验 18h 10级、三合一偏心连接件偏心体抗压强度＞310N、金属件-喷涂层符合要求、金属件-喷涂层符合要求、腐蚀率 0%、金属表面耐腐蚀等级 10级。（需提供检测报告，原件备查）</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4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0FE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66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0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35100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5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55880</wp:posOffset>
                  </wp:positionH>
                  <wp:positionV relativeFrom="paragraph">
                    <wp:posOffset>-182880</wp:posOffset>
                  </wp:positionV>
                  <wp:extent cx="909955" cy="928370"/>
                  <wp:effectExtent l="0" t="0" r="4445" b="5080"/>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r:embed="rId5"/>
                          <a:stretch>
                            <a:fillRect/>
                          </a:stretch>
                        </pic:blipFill>
                        <pic:spPr>
                          <a:xfrm>
                            <a:off x="0" y="0"/>
                            <a:ext cx="909955" cy="928370"/>
                          </a:xfrm>
                          <a:prstGeom prst="rect">
                            <a:avLst/>
                          </a:prstGeom>
                          <a:noFill/>
                          <a:ln>
                            <a:noFill/>
                          </a:ln>
                        </pic:spPr>
                      </pic:pic>
                    </a:graphicData>
                  </a:graphic>
                </wp:anchor>
              </w:drawing>
            </w:r>
          </w:p>
        </w:tc>
      </w:tr>
      <w:tr w14:paraId="3405F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620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3277">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25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3FDC">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56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B6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D5F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85F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44700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D4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bdr w:val="single" w:color="000000" w:sz="4" w:space="0"/>
                <w:lang w:val="en-US" w:eastAsia="zh-CN" w:bidi="ar"/>
              </w:rPr>
            </w:pPr>
          </w:p>
        </w:tc>
      </w:tr>
    </w:tbl>
    <w:p w14:paraId="22FBF8B9">
      <w:pPr>
        <w:pStyle w:val="2"/>
        <w:rPr>
          <w:rFonts w:hint="default"/>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8E239"/>
    <w:multiLevelType w:val="multilevel"/>
    <w:tmpl w:val="8588E239"/>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
    <w:nsid w:val="C9C578FA"/>
    <w:multiLevelType w:val="singleLevel"/>
    <w:tmpl w:val="C9C578FA"/>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NjNlODlhNzhkZTk4NDYxYWFiMmIyMDYwZmYwZmUifQ=="/>
  </w:docVars>
  <w:rsids>
    <w:rsidRoot w:val="0B124172"/>
    <w:rsid w:val="01FB40D3"/>
    <w:rsid w:val="02C24BC6"/>
    <w:rsid w:val="06020126"/>
    <w:rsid w:val="08DD3C99"/>
    <w:rsid w:val="0A50153D"/>
    <w:rsid w:val="0A9810CB"/>
    <w:rsid w:val="0B124172"/>
    <w:rsid w:val="0C39331B"/>
    <w:rsid w:val="0EA145C3"/>
    <w:rsid w:val="1000643B"/>
    <w:rsid w:val="102313C5"/>
    <w:rsid w:val="107C5F4B"/>
    <w:rsid w:val="15763D45"/>
    <w:rsid w:val="162E461F"/>
    <w:rsid w:val="17F81AB0"/>
    <w:rsid w:val="195F6208"/>
    <w:rsid w:val="1B962973"/>
    <w:rsid w:val="1C705992"/>
    <w:rsid w:val="1DC31AF1"/>
    <w:rsid w:val="26345C82"/>
    <w:rsid w:val="29787C34"/>
    <w:rsid w:val="2B3E28F7"/>
    <w:rsid w:val="2B783E2A"/>
    <w:rsid w:val="2BE94E19"/>
    <w:rsid w:val="2E871D01"/>
    <w:rsid w:val="2EB437D2"/>
    <w:rsid w:val="2FD41AF9"/>
    <w:rsid w:val="2FF06D0B"/>
    <w:rsid w:val="314F1BC2"/>
    <w:rsid w:val="36674E7D"/>
    <w:rsid w:val="38741AEF"/>
    <w:rsid w:val="38B16CBE"/>
    <w:rsid w:val="467546BA"/>
    <w:rsid w:val="470C5CCC"/>
    <w:rsid w:val="4CD64F4D"/>
    <w:rsid w:val="4EB90C71"/>
    <w:rsid w:val="55BA3C34"/>
    <w:rsid w:val="569E48CE"/>
    <w:rsid w:val="58E760B5"/>
    <w:rsid w:val="5A867A7D"/>
    <w:rsid w:val="5C205EFD"/>
    <w:rsid w:val="5CC01A36"/>
    <w:rsid w:val="5E070ED0"/>
    <w:rsid w:val="5E1C409B"/>
    <w:rsid w:val="5F405510"/>
    <w:rsid w:val="5FBD6443"/>
    <w:rsid w:val="61E30258"/>
    <w:rsid w:val="63B23587"/>
    <w:rsid w:val="6472185A"/>
    <w:rsid w:val="699254C9"/>
    <w:rsid w:val="6A4D0376"/>
    <w:rsid w:val="6B9D0D67"/>
    <w:rsid w:val="6EA840E4"/>
    <w:rsid w:val="70C53B59"/>
    <w:rsid w:val="717B6C34"/>
    <w:rsid w:val="729E1396"/>
    <w:rsid w:val="76D850D4"/>
    <w:rsid w:val="77E226BF"/>
    <w:rsid w:val="7B310FBD"/>
    <w:rsid w:val="7C515E8A"/>
    <w:rsid w:val="7CED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autoSpaceDE w:val="0"/>
      <w:autoSpaceDN w:val="0"/>
      <w:adjustRightInd w:val="0"/>
      <w:ind w:firstLine="420"/>
      <w:jc w:val="left"/>
    </w:pPr>
    <w:rPr>
      <w:rFonts w:ascii="宋体"/>
      <w:kern w:val="0"/>
      <w:sz w:val="24"/>
      <w:szCs w:val="20"/>
    </w:rPr>
  </w:style>
  <w:style w:type="paragraph" w:customStyle="1" w:styleId="5">
    <w:name w:val="Normal_1_0"/>
    <w:autoRedefine/>
    <w:qFormat/>
    <w:uiPriority w:val="0"/>
    <w:pPr>
      <w:widowControl w:val="0"/>
      <w:jc w:val="both"/>
    </w:pPr>
    <w:rPr>
      <w:rFonts w:ascii="Calibri" w:hAnsi="Calibri"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2355</Words>
  <Characters>2909</Characters>
  <Lines>0</Lines>
  <Paragraphs>0</Paragraphs>
  <TotalTime>2</TotalTime>
  <ScaleCrop>false</ScaleCrop>
  <LinksUpToDate>false</LinksUpToDate>
  <CharactersWithSpaces>2954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2024-09-25T10:08:00Z</dcterms:created>
  <dc:creator>bobo</dc:creator>
  <cp:lastModifiedBy>bobo</cp:lastModifiedBy>
  <dcterms:modified xsi:type="dcterms:W3CDTF">2024-10-31T10:24:16Z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CF9286A1745945058109754255E282CA_13</vt:lpwstr>
  </property>
</Properties>
</file>