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7E645">
      <w:pPr>
        <w:widowControl/>
        <w:jc w:val="center"/>
        <w:textAlignment w:val="center"/>
        <w:rPr>
          <w:rFonts w:hint="eastAsia" w:ascii="宋体" w:hAnsi="宋体" w:eastAsia="宋体" w:cs="宋体"/>
          <w:b w:val="0"/>
          <w:bCs w:val="0"/>
          <w:color w:val="000000"/>
          <w:kern w:val="0"/>
          <w:sz w:val="21"/>
          <w:szCs w:val="21"/>
          <w:lang w:bidi="ar"/>
        </w:rPr>
      </w:pPr>
    </w:p>
    <w:tbl>
      <w:tblPr>
        <w:tblStyle w:val="12"/>
        <w:tblW w:w="0" w:type="auto"/>
        <w:tblInd w:w="88" w:type="dxa"/>
        <w:tblLayout w:type="fixed"/>
        <w:tblCellMar>
          <w:top w:w="0" w:type="dxa"/>
          <w:left w:w="108" w:type="dxa"/>
          <w:bottom w:w="0" w:type="dxa"/>
          <w:right w:w="108" w:type="dxa"/>
        </w:tblCellMar>
      </w:tblPr>
      <w:tblGrid>
        <w:gridCol w:w="732"/>
        <w:gridCol w:w="950"/>
        <w:gridCol w:w="6959"/>
        <w:gridCol w:w="1140"/>
        <w:gridCol w:w="900"/>
      </w:tblGrid>
      <w:tr w14:paraId="7E7418BF">
        <w:tblPrEx>
          <w:tblCellMar>
            <w:top w:w="0" w:type="dxa"/>
            <w:left w:w="108" w:type="dxa"/>
            <w:bottom w:w="0" w:type="dxa"/>
            <w:right w:w="108" w:type="dxa"/>
          </w:tblCellMar>
        </w:tblPrEx>
        <w:trPr>
          <w:trHeight w:val="80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0B0C569C">
            <w:pPr>
              <w:widowControl/>
              <w:jc w:val="center"/>
              <w:textAlignment w:val="center"/>
              <w:rPr>
                <w:rFonts w:hint="eastAsia" w:ascii="宋体" w:hAnsi="宋体" w:eastAsia="宋体" w:cs="宋体"/>
                <w:b w:val="0"/>
                <w:bCs w:val="0"/>
                <w:color w:val="auto"/>
                <w:sz w:val="21"/>
                <w:szCs w:val="21"/>
                <w:highlight w:val="none"/>
              </w:rPr>
            </w:pPr>
            <w:bookmarkStart w:id="0" w:name="_GoBack"/>
            <w:bookmarkEnd w:id="0"/>
            <w:r>
              <w:rPr>
                <w:rFonts w:hint="eastAsia" w:ascii="宋体" w:hAnsi="宋体" w:eastAsia="宋体" w:cs="宋体"/>
                <w:b w:val="0"/>
                <w:bCs w:val="0"/>
                <w:color w:val="auto"/>
                <w:kern w:val="0"/>
                <w:sz w:val="21"/>
                <w:szCs w:val="21"/>
                <w:highlight w:val="none"/>
                <w:lang w:bidi="ar"/>
              </w:rPr>
              <w:t>编号</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61C76D6E">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名称</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14:paraId="7C721A83">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参数</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A5C2ACB">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数量</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A0A90A7">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单位</w:t>
            </w:r>
          </w:p>
        </w:tc>
      </w:tr>
      <w:tr w14:paraId="6F5CBA85">
        <w:tblPrEx>
          <w:tblCellMar>
            <w:top w:w="0" w:type="dxa"/>
            <w:left w:w="108" w:type="dxa"/>
            <w:bottom w:w="0" w:type="dxa"/>
            <w:right w:w="108" w:type="dxa"/>
          </w:tblCellMar>
        </w:tblPrEx>
        <w:trPr>
          <w:trHeight w:val="816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4D481F95">
            <w:pPr>
              <w:widowControl/>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bidi="ar"/>
              </w:rPr>
              <w:t>1</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14:paraId="4C041791">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
              </w:rPr>
              <w:t>新疆科技学院嵌入式应用技术课程资源建设项目</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14:paraId="13E26AFF">
            <w:pPr>
              <w:shd w:val="clear" w:color="auto" w:fill="auto"/>
              <w:adjustRightInd w:val="0"/>
              <w:snapToGrid w:val="0"/>
              <w:spacing w:line="24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课程整体建设需求：</w:t>
            </w:r>
          </w:p>
          <w:p w14:paraId="366EEBF6">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门《嵌入式应用技术》课程制作。其中微课视频45节，总时长不少于400分钟；课件不少于45个。完成相应的课程资源建设内容：微课制作、内容优化、文本加工等内容。整门课程资源建设基于工作过程进行课程的整体设计和单元设计，区别于正常上课课件，设计适合学生自主学习的PPT教学课件1套，根据课程特点设计该课程的资源包装风格设计方案1套，设计精美的课件模板1套、视频包装模板1套；</w:t>
            </w:r>
          </w:p>
          <w:p w14:paraId="2E14FCB8">
            <w:pPr>
              <w:shd w:val="clear" w:color="auto" w:fill="auto"/>
              <w:adjustRightInd w:val="0"/>
              <w:snapToGrid w:val="0"/>
              <w:spacing w:line="24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1.视频制作要求：微课视频45节，每节8—15分钟。</w:t>
            </w:r>
          </w:p>
          <w:p w14:paraId="6DC13A28">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(1)视频信号源</w:t>
            </w:r>
          </w:p>
          <w:p w14:paraId="1AD15E65">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①稳定性：全片图像同步性能稳定，无失步现象，CTL同步控制信号必须连续：图像无抖动跳跃，色彩无突变，编辑点处图像稳定。</w:t>
            </w:r>
          </w:p>
          <w:p w14:paraId="67F41B93">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②信噪比：图像信噪比不低于 55dB，无明显杂波。</w:t>
            </w:r>
          </w:p>
          <w:p w14:paraId="5C36C1EF">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③色调：白平衡正确，无明显偏色，多机拍摄的镜头衔接处无明显色差。</w:t>
            </w:r>
          </w:p>
          <w:p w14:paraId="3D214393">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④视频电平：视频全讯号幅度为 1Ⅴp-p，最大不超过 1.1Ⅴp-p。其中，消隐电平为0V 时，白电平幅度 0.7Ⅴp-p，同步信号-0.3V，色同步信号幅度0.3Vp-p(以消隐线上下对称)，全片一致。</w:t>
            </w:r>
          </w:p>
          <w:p w14:paraId="588BD7C8">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(2)音频信号源</w:t>
            </w:r>
          </w:p>
          <w:p w14:paraId="468FC436">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①声道：中文内容音频信号记录于第1声道，音乐、音效、同期声记录于第2声道，若有其他文字解说记录于第 3 声道(如录音设备无第3声道,则录于第2声道)。</w:t>
            </w:r>
          </w:p>
          <w:p w14:paraId="1A5EBCFA">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②电平指标：-2db——-8dB声音应无明显失真、放音过冲、过弱。</w:t>
            </w:r>
          </w:p>
          <w:p w14:paraId="5AD06934">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③音频信噪比不低于48dB。</w:t>
            </w:r>
          </w:p>
          <w:p w14:paraId="1681B771">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④声音和画面要求同步，无交流声或其他杂音等缺陷。</w:t>
            </w:r>
          </w:p>
          <w:p w14:paraId="5B9704C2">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⑤伴音清晰、饱满、圆润，无失真、噪声杂音干扰、音量忽大忽小现象。解说声与现场声无明显比例失调，解说声与背景音乐无明显比例失调。</w:t>
            </w:r>
          </w:p>
          <w:p w14:paraId="5593AB73">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(3)视频压缩格式及技术参数</w:t>
            </w:r>
          </w:p>
          <w:p w14:paraId="206EEC57">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①视频压缩采用 H.264/AVC(MPEG-4 Part10)编码、使用二次编码、不包含字幕的MP4格式。</w:t>
            </w:r>
          </w:p>
          <w:p w14:paraId="18F6D946">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②视频码流率：动态码流的最低码率不得低于1024Kbps</w:t>
            </w:r>
          </w:p>
          <w:p w14:paraId="2766D582">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③视频分辨率</w:t>
            </w:r>
          </w:p>
          <w:p w14:paraId="0B0A7D57">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前期采用标清4:3拍摄时，设定为720×576；前期采用高清16:9拍摄时，设定为1280 ×720或1920×1080。</w:t>
            </w:r>
          </w:p>
          <w:p w14:paraId="6D731AB0">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④视频画幅宽高比</w:t>
            </w:r>
          </w:p>
          <w:p w14:paraId="6281F59A">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分辨率设定为720×576的，选定4:3</w:t>
            </w:r>
          </w:p>
          <w:p w14:paraId="6D24BFF6">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分辨率设定为1280×720或1920×1080的，选定16:9</w:t>
            </w:r>
          </w:p>
          <w:p w14:paraId="7688E721">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⑤视频帧率为25帧/秒</w:t>
            </w:r>
          </w:p>
          <w:p w14:paraId="68D375AD">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⑥扫描方式采用逐行扫描</w:t>
            </w:r>
          </w:p>
          <w:p w14:paraId="3B82D622">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(4)音频压缩格式及技术参数</w:t>
            </w:r>
          </w:p>
          <w:p w14:paraId="32694100">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①音频压缩采用AAC(MPEG4 Part3)格式</w:t>
            </w:r>
          </w:p>
          <w:p w14:paraId="07748600">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②采样率不低于48KHz</w:t>
            </w:r>
          </w:p>
          <w:p w14:paraId="1AAA124D">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③音频码流率128Kbps(恒定)</w:t>
            </w:r>
          </w:p>
          <w:p w14:paraId="7FA0F530">
            <w:pPr>
              <w:shd w:val="clear" w:color="auto" w:fill="auto"/>
              <w:adjustRightInd w:val="0"/>
              <w:snapToGrid w:val="0"/>
              <w:spacing w:line="24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④必须是双声道，必须做混音处理。</w:t>
            </w:r>
          </w:p>
          <w:p w14:paraId="1424ECAA">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(5)封装。采用MP4封装。</w:t>
            </w:r>
          </w:p>
          <w:p w14:paraId="7B6616CB">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(6)命名要求：文件命名应直接指明资源所属课程、章节及性质。(如学校有新要求以学校文件为准) 。</w:t>
            </w:r>
          </w:p>
          <w:p w14:paraId="4E9B633A">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(7)内容和版权要求：视频内容应忠实于原文献，完整有序，版权不存在争议；符合我国法律法规，尊重各民族风俗习惯。</w:t>
            </w:r>
          </w:p>
          <w:p w14:paraId="312E72FA">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(8)拍摄成品总体要求：视频图像清晰，景别合理，剪辑流畅，画面优美，视频文件大小适中，适合网络播放。</w:t>
            </w:r>
          </w:p>
          <w:p w14:paraId="1CE89DC5">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2.演示文稿 (PPT)制作</w:t>
            </w:r>
          </w:p>
          <w:p w14:paraId="546E4F14">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(1)制作原则</w:t>
            </w:r>
          </w:p>
          <w:p w14:paraId="2ED74570">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①演示文稿要求集文字、图形、图像、声音。</w:t>
            </w:r>
          </w:p>
          <w:p w14:paraId="3B0F8F6C">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②页面设置要求符合高清格式比例，幻灯片大小为“全屏显示16:9”。</w:t>
            </w:r>
          </w:p>
          <w:p w14:paraId="126325D3">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③整体效果应风格统一、色彩协调、美观大方。</w:t>
            </w:r>
          </w:p>
          <w:p w14:paraId="6805DBB7">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(2)背景</w:t>
            </w:r>
          </w:p>
          <w:p w14:paraId="3660B21F">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①背景色以简洁适中饱和度为主(颜色保持在一至两种背景色系内) ；</w:t>
            </w:r>
          </w:p>
          <w:p w14:paraId="585C694E">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②背景和场景不宜变化过多；</w:t>
            </w:r>
          </w:p>
          <w:p w14:paraId="02F9E0FD">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③文字、图形等内容应与背景对比醒目。</w:t>
            </w:r>
          </w:p>
          <w:p w14:paraId="73645D36">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(3)色调</w:t>
            </w:r>
          </w:p>
          <w:p w14:paraId="64B81513">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①色彩的选配应与课程科目主旨相吻合；</w:t>
            </w:r>
          </w:p>
          <w:p w14:paraId="06D549B1">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②每一短视频或一系列短视频在配色上应体现出系统性，可选一种主色调再加上一至两种辅助色进行匹配；</w:t>
            </w:r>
          </w:p>
          <w:p w14:paraId="2F6B07F9">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③同一屏里文字不宜超出三种颜色。</w:t>
            </w:r>
          </w:p>
          <w:p w14:paraId="1DC30434">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(4)字距与行距</w:t>
            </w:r>
          </w:p>
          <w:p w14:paraId="5A597332">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①标题：在文字少的情形下，字距放宽一倍体现舒展性；</w:t>
            </w:r>
          </w:p>
          <w:p w14:paraId="5D5ACAE2">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②正文：行距使用1行或1.5行，便于阅读。</w:t>
            </w:r>
          </w:p>
          <w:p w14:paraId="77D286F0">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(5)配图</w:t>
            </w:r>
          </w:p>
          <w:p w14:paraId="6F3880D6">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①图像应清晰并能反映出内容主题思想，分辨率应达到72dpi以上；</w:t>
            </w:r>
          </w:p>
          <w:p w14:paraId="40E22DBD">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②图片不可加长或压窄，防止变形；</w:t>
            </w:r>
          </w:p>
          <w:p w14:paraId="4AFDA535">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③图形使用应通俗易懂，便于理解。</w:t>
            </w:r>
          </w:p>
          <w:p w14:paraId="752E98E5">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(6)修饰</w:t>
            </w:r>
          </w:p>
          <w:p w14:paraId="3089F2B2">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①细线条的运用比粗线条更显精致；</w:t>
            </w:r>
          </w:p>
          <w:p w14:paraId="37AE2E67">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②扁平式的装饰更接近时代审美；</w:t>
            </w:r>
          </w:p>
          <w:p w14:paraId="0A2EFA70">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③有趣味的装饰通常更能吸引人。</w:t>
            </w:r>
          </w:p>
          <w:p w14:paraId="3C9BAA56">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(7)版权来源</w:t>
            </w:r>
          </w:p>
          <w:p w14:paraId="20329184">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素材选用注意版权，涉及版权问题须加入“版权来源”信息。</w:t>
            </w:r>
          </w:p>
          <w:p w14:paraId="4F5F946D">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3.后期制作要求</w:t>
            </w:r>
          </w:p>
          <w:p w14:paraId="64098735">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(1)使用专业的非线性编辑系统对源视频进行最基本的处理 (如剪辑、抠像、颜色校正、双声道处理) 。</w:t>
            </w:r>
          </w:p>
          <w:p w14:paraId="427DAD1F">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声音和画面要求同步，无交流声或其他杂音等缺陷，无明显失真、放音过冲、过弱。伴音清晰、饱满、圆润，无失真、噪声杂音干扰、音量忽大忽小现象。解说声与现场声、背景音乐无明显比例失调。音频信噪比不低于48dB。</w:t>
            </w:r>
          </w:p>
          <w:p w14:paraId="392B0CB4">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(3)后期特效保证画面美观、色彩真实，符合摄影构图规则。老师视频必须具备人物特写、知识点特效展示、人物中景等场景。场景切换自然流畅，色彩无突变，画面无晃动、抖动、模糊聚焦和镜头频繁拉伸等。</w:t>
            </w:r>
          </w:p>
          <w:p w14:paraId="0F0D722C">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(4)根据编导脚本进行编辑片花和引文中的背景板、特定的背景音乐、音乐场景特效、引文字体、字体颜色、构图排版、转场特效、基本剪辑、音视频调整与衔接工作。</w:t>
            </w:r>
          </w:p>
          <w:p w14:paraId="5586F19C">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(5)根据每个课程的内容提供片头及片尾案例策划不少于2套，片头特效包含二维动画制作，片头时长不超10秒，包含学校LOGO、课程名称、讲次、主讲教师姓名、专业技术职务。</w:t>
            </w:r>
          </w:p>
          <w:p w14:paraId="6B94F460">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(6)根据要求把成品视频转换成高清、标清、网络播放等AVI、MPEG、MP4、MOV、FLV格式等。</w:t>
            </w:r>
          </w:p>
          <w:p w14:paraId="78067E74">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(7)根据学院主讲教师要求对进行修改。</w:t>
            </w:r>
          </w:p>
          <w:p w14:paraId="78B3708A">
            <w:pPr>
              <w:shd w:val="clear" w:color="auto" w:fill="auto"/>
              <w:adjustRightInd w:val="0"/>
              <w:snapToGrid w:val="0"/>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4.课程运行</w:t>
            </w:r>
          </w:p>
          <w:p w14:paraId="7967DB0E">
            <w:pPr>
              <w:shd w:val="clear" w:color="auto" w:fill="auto"/>
              <w:adjustRightInd w:val="0"/>
              <w:snapToGrid w:val="0"/>
              <w:spacing w:line="240" w:lineRule="auto"/>
              <w:ind w:firstLine="420" w:firstLineChars="20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提供视频、微课、PPT等资源制作源文件。并按照课程建设负责人的要求将课程建设内容上传至学校指定的在线开放课程平台。</w:t>
            </w:r>
          </w:p>
          <w:p w14:paraId="0EDF39B0">
            <w:pPr>
              <w:shd w:val="clear" w:color="auto" w:fill="auto"/>
              <w:adjustRightInd w:val="0"/>
              <w:snapToGrid w:val="0"/>
              <w:spacing w:line="240" w:lineRule="auto"/>
              <w:ind w:firstLine="420" w:firstLineChars="200"/>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课程上线运行，此次课程建设项目包括课程视频制作</w:t>
            </w:r>
            <w:r>
              <w:rPr>
                <w:rFonts w:hint="eastAsia" w:ascii="宋体" w:hAnsi="宋体" w:eastAsia="宋体" w:cs="宋体"/>
                <w:color w:val="auto"/>
                <w:kern w:val="2"/>
                <w:sz w:val="21"/>
                <w:szCs w:val="21"/>
                <w:highlight w:val="none"/>
                <w:lang w:val="en-US" w:eastAsia="zh-CN" w:bidi="ar-SA"/>
              </w:rPr>
              <w:t>及运营</w:t>
            </w:r>
            <w:r>
              <w:rPr>
                <w:rFonts w:hint="default" w:ascii="宋体" w:hAnsi="宋体" w:eastAsia="宋体" w:cs="宋体"/>
                <w:color w:val="auto"/>
                <w:kern w:val="2"/>
                <w:sz w:val="21"/>
                <w:szCs w:val="21"/>
                <w:highlight w:val="none"/>
                <w:lang w:val="en-US" w:eastAsia="zh-CN" w:bidi="ar-SA"/>
              </w:rPr>
              <w:t>，以达到国家在线</w:t>
            </w:r>
            <w:r>
              <w:rPr>
                <w:rFonts w:hint="eastAsia" w:ascii="宋体" w:hAnsi="宋体" w:eastAsia="宋体" w:cs="宋体"/>
                <w:color w:val="auto"/>
                <w:kern w:val="2"/>
                <w:sz w:val="21"/>
                <w:szCs w:val="21"/>
                <w:highlight w:val="none"/>
                <w:lang w:val="en-US" w:eastAsia="zh-CN" w:bidi="ar-SA"/>
              </w:rPr>
              <w:t>一流</w:t>
            </w:r>
            <w:r>
              <w:rPr>
                <w:rFonts w:hint="default" w:ascii="宋体" w:hAnsi="宋体" w:eastAsia="宋体" w:cs="宋体"/>
                <w:color w:val="auto"/>
                <w:kern w:val="2"/>
                <w:sz w:val="21"/>
                <w:szCs w:val="21"/>
                <w:highlight w:val="none"/>
                <w:lang w:val="en-US" w:eastAsia="zh-CN" w:bidi="ar-SA"/>
              </w:rPr>
              <w:t>课程开放标准。并提供具有国家教育部认可的课程平台推广服务，符合国家在线</w:t>
            </w:r>
            <w:r>
              <w:rPr>
                <w:rFonts w:hint="eastAsia" w:ascii="宋体" w:hAnsi="宋体" w:eastAsia="宋体" w:cs="宋体"/>
                <w:color w:val="auto"/>
                <w:kern w:val="2"/>
                <w:sz w:val="21"/>
                <w:szCs w:val="21"/>
                <w:highlight w:val="none"/>
                <w:lang w:val="en-US" w:eastAsia="zh-CN" w:bidi="ar-SA"/>
              </w:rPr>
              <w:t>一流</w:t>
            </w:r>
            <w:r>
              <w:rPr>
                <w:rFonts w:hint="default" w:ascii="宋体" w:hAnsi="宋体" w:eastAsia="宋体" w:cs="宋体"/>
                <w:color w:val="auto"/>
                <w:kern w:val="2"/>
                <w:sz w:val="21"/>
                <w:szCs w:val="21"/>
                <w:highlight w:val="none"/>
                <w:lang w:val="en-US" w:eastAsia="zh-CN" w:bidi="ar-SA"/>
              </w:rPr>
              <w:t>课程运行标准</w:t>
            </w:r>
            <w:r>
              <w:rPr>
                <w:rFonts w:hint="eastAsia" w:ascii="宋体" w:hAnsi="宋体" w:eastAsia="宋体" w:cs="宋体"/>
                <w:color w:val="auto"/>
                <w:kern w:val="2"/>
                <w:sz w:val="21"/>
                <w:szCs w:val="21"/>
                <w:highlight w:val="none"/>
                <w:lang w:val="en-US" w:eastAsia="zh-CN" w:bidi="ar-SA"/>
              </w:rPr>
              <w:t>。对课程在平台上运行的情况进行数据分析，出具分析报告，明确分析课程数据需要优化的内容并提供优化方案。</w:t>
            </w:r>
          </w:p>
          <w:p w14:paraId="79FAFD89">
            <w:pPr>
              <w:pStyle w:val="11"/>
              <w:ind w:firstLine="211"/>
              <w:jc w:val="both"/>
              <w:rPr>
                <w:rFonts w:hint="default" w:ascii="宋体" w:hAnsi="宋体" w:eastAsia="宋体" w:cs="宋体"/>
                <w:b w:val="0"/>
                <w:bCs w:val="0"/>
                <w:color w:val="auto"/>
                <w:sz w:val="21"/>
                <w:szCs w:val="21"/>
                <w:highlight w:val="none"/>
                <w:lang w:val="en-US" w:eastAsia="zh-CN" w:bidi="ar"/>
              </w:rPr>
            </w:pPr>
          </w:p>
          <w:p w14:paraId="3E781DA3">
            <w:pPr>
              <w:pStyle w:val="11"/>
              <w:ind w:firstLine="211"/>
              <w:jc w:val="both"/>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bidi="ar"/>
              </w:rPr>
              <w:t>（其他要求）</w:t>
            </w:r>
          </w:p>
          <w:p w14:paraId="0C8AB998">
            <w:pPr>
              <w:pStyle w:val="11"/>
              <w:ind w:firstLine="211"/>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投标企业报价时需上传：</w:t>
            </w:r>
          </w:p>
          <w:p w14:paraId="58125496">
            <w:pPr>
              <w:pStyle w:val="11"/>
              <w:ind w:firstLine="211"/>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1.公司营业执照；</w:t>
            </w:r>
          </w:p>
          <w:p w14:paraId="068F92D9">
            <w:pPr>
              <w:pStyle w:val="11"/>
              <w:ind w:firstLine="211"/>
              <w:jc w:val="both"/>
              <w:rPr>
                <w:rFonts w:hint="eastAsia" w:ascii="宋体" w:hAnsi="宋体" w:eastAsia="宋体" w:cs="宋体"/>
                <w:b/>
                <w:bCs/>
                <w:color w:val="auto"/>
                <w:sz w:val="21"/>
                <w:szCs w:val="21"/>
                <w:highlight w:val="none"/>
                <w:lang w:eastAsia="zh-CN" w:bidi="ar"/>
              </w:rPr>
            </w:pPr>
            <w:r>
              <w:rPr>
                <w:rFonts w:hint="eastAsia" w:ascii="宋体" w:hAnsi="宋体" w:eastAsia="宋体" w:cs="宋体"/>
                <w:b/>
                <w:bCs/>
                <w:color w:val="auto"/>
                <w:sz w:val="21"/>
                <w:szCs w:val="21"/>
                <w:highlight w:val="none"/>
              </w:rPr>
              <w:t xml:space="preserve"> 2.信用中国截图；</w:t>
            </w:r>
          </w:p>
          <w:p w14:paraId="76C445BE">
            <w:pPr>
              <w:pStyle w:val="11"/>
              <w:ind w:firstLine="211"/>
              <w:jc w:val="both"/>
              <w:rPr>
                <w:rFonts w:hint="eastAsia" w:ascii="宋体" w:hAnsi="宋体" w:eastAsia="宋体" w:cs="宋体"/>
                <w:b/>
                <w:bCs/>
                <w:color w:val="auto"/>
                <w:sz w:val="21"/>
                <w:szCs w:val="21"/>
                <w:highlight w:val="none"/>
                <w:lang w:bidi="ar"/>
              </w:rPr>
            </w:pPr>
            <w:r>
              <w:rPr>
                <w:rFonts w:hint="eastAsia" w:ascii="宋体" w:hAnsi="宋体" w:eastAsia="宋体" w:cs="宋体"/>
                <w:b/>
                <w:bCs/>
                <w:color w:val="auto"/>
                <w:sz w:val="21"/>
                <w:szCs w:val="21"/>
                <w:highlight w:val="none"/>
                <w:lang w:eastAsia="zh-CN" w:bidi="ar"/>
              </w:rPr>
              <w:t xml:space="preserve"> 3.</w:t>
            </w:r>
            <w:r>
              <w:rPr>
                <w:rFonts w:hint="eastAsia" w:ascii="宋体" w:hAnsi="宋体" w:eastAsia="宋体" w:cs="宋体"/>
                <w:b/>
                <w:bCs/>
                <w:color w:val="auto"/>
                <w:sz w:val="21"/>
                <w:szCs w:val="21"/>
                <w:highlight w:val="none"/>
                <w:lang w:bidi="ar"/>
              </w:rPr>
              <w:t>投标人</w:t>
            </w:r>
            <w:r>
              <w:rPr>
                <w:rFonts w:hint="eastAsia" w:ascii="宋体" w:hAnsi="宋体" w:eastAsia="宋体" w:cs="宋体"/>
                <w:b/>
                <w:bCs/>
                <w:color w:val="auto"/>
                <w:sz w:val="21"/>
                <w:szCs w:val="21"/>
                <w:highlight w:val="none"/>
                <w:lang w:val="en-US" w:eastAsia="zh-CN" w:bidi="ar"/>
              </w:rPr>
              <w:t>上传文件中要求的佐证材料备查</w:t>
            </w:r>
            <w:r>
              <w:rPr>
                <w:rFonts w:hint="eastAsia" w:ascii="宋体" w:hAnsi="宋体" w:eastAsia="宋体" w:cs="宋体"/>
                <w:b/>
                <w:bCs/>
                <w:color w:val="auto"/>
                <w:sz w:val="21"/>
                <w:szCs w:val="21"/>
                <w:highlight w:val="none"/>
                <w:lang w:bidi="ar"/>
              </w:rPr>
              <w:t>。</w:t>
            </w:r>
          </w:p>
          <w:p w14:paraId="0F37866C">
            <w:pPr>
              <w:pStyle w:val="11"/>
              <w:ind w:firstLine="211"/>
              <w:jc w:val="both"/>
              <w:rPr>
                <w:rFonts w:hint="eastAsia" w:ascii="宋体" w:hAnsi="宋体" w:eastAsia="宋体" w:cs="宋体"/>
                <w:b w:val="0"/>
                <w:bCs w:val="0"/>
                <w:color w:val="auto"/>
                <w:sz w:val="21"/>
                <w:szCs w:val="21"/>
                <w:highlight w:val="none"/>
                <w:lang w:bidi="ar"/>
              </w:rPr>
            </w:pPr>
            <w:r>
              <w:rPr>
                <w:rFonts w:hint="eastAsia" w:ascii="宋体" w:hAnsi="宋体" w:eastAsia="宋体" w:cs="宋体"/>
                <w:b/>
                <w:bCs/>
                <w:color w:val="auto"/>
                <w:sz w:val="21"/>
                <w:szCs w:val="21"/>
                <w:highlight w:val="none"/>
                <w:lang w:bidi="ar"/>
              </w:rPr>
              <w:t>宣布中标后7天内，预中标单位必须根据采购单位指定时间、地点进行整体功能演示核查，逐项核对技术参数演示。如果和投标响应内容一致或优于上述技术参数要求，预中标单位与采购单位签订合同，履行招投标后续程序；如果和投标响应内容不一致不能满足技术参数要求，预中标单位的中标资格会被取消，同时按虚假投标报送采购办和财政部门。</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3256C9B">
            <w:pPr>
              <w:widowControl/>
              <w:jc w:val="center"/>
              <w:textAlignment w:val="center"/>
              <w:rPr>
                <w:rFonts w:hint="eastAsia" w:ascii="宋体" w:hAnsi="宋体" w:eastAsia="宋体" w:cs="宋体"/>
                <w:b w:val="0"/>
                <w:bCs w:val="0"/>
                <w:color w:val="auto"/>
                <w:sz w:val="21"/>
                <w:szCs w:val="21"/>
                <w:highlight w:val="none"/>
                <w:lang w:bidi="ar"/>
              </w:rPr>
            </w:pPr>
            <w:r>
              <w:rPr>
                <w:rFonts w:hint="eastAsia" w:ascii="宋体" w:hAnsi="宋体" w:cs="宋体"/>
                <w:szCs w:val="21"/>
                <w:lang w:bidi="ar"/>
              </w:rPr>
              <w:t>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02206E0">
            <w:pPr>
              <w:widowControl/>
              <w:jc w:val="center"/>
              <w:textAlignment w:val="center"/>
              <w:rPr>
                <w:rFonts w:hint="eastAsia" w:ascii="宋体" w:hAnsi="宋体" w:eastAsia="宋体" w:cs="宋体"/>
                <w:b w:val="0"/>
                <w:bCs w:val="0"/>
                <w:color w:val="auto"/>
                <w:sz w:val="21"/>
                <w:szCs w:val="21"/>
                <w:highlight w:val="none"/>
                <w:lang w:bidi="ar"/>
              </w:rPr>
            </w:pPr>
            <w:r>
              <w:rPr>
                <w:rFonts w:hint="eastAsia" w:ascii="宋体" w:hAnsi="宋体" w:cs="宋体"/>
                <w:szCs w:val="21"/>
                <w:lang w:bidi="ar"/>
              </w:rPr>
              <w:t>套</w:t>
            </w:r>
          </w:p>
        </w:tc>
      </w:tr>
    </w:tbl>
    <w:p w14:paraId="3EBA9E6E">
      <w:pPr>
        <w:spacing w:before="60" w:after="60" w:line="360" w:lineRule="auto"/>
        <w:ind w:left="420"/>
        <w:jc w:val="center"/>
        <w:rPr>
          <w:rFonts w:hint="eastAsia" w:ascii="宋体" w:hAnsi="宋体" w:eastAsia="宋体" w:cs="宋体"/>
          <w:b w:val="0"/>
          <w:bCs w:val="0"/>
          <w:color w:val="000000"/>
          <w:sz w:val="21"/>
          <w:szCs w:val="21"/>
          <w:lang w:eastAsia="zh-Hans"/>
        </w:rPr>
      </w:pPr>
    </w:p>
    <w:sectPr>
      <w:headerReference r:id="rId3" w:type="default"/>
      <w:footerReference r:id="rId4" w:type="default"/>
      <w:pgSz w:w="11906" w:h="16838"/>
      <w:pgMar w:top="567" w:right="397" w:bottom="567" w:left="850" w:header="851" w:footer="851"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0F19">
    <w:pPr>
      <w:pStyle w:val="8"/>
      <w:spacing w:after="120"/>
      <w:rPr>
        <w:rFonts w:ascii="Arial" w:hAnsi="Arial" w:cs="Arial"/>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E2363">
    <w:pPr>
      <w:widowControl/>
      <w:pBdr>
        <w:bottom w:val="double" w:color="auto" w:sz="8"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OTBiMzY5ODY1NWUyNjA1ZmJhOWI4NTQyMjQzMzgifQ=="/>
  </w:docVars>
  <w:rsids>
    <w:rsidRoot w:val="00172A27"/>
    <w:rsid w:val="01F871F5"/>
    <w:rsid w:val="0622161C"/>
    <w:rsid w:val="068147B5"/>
    <w:rsid w:val="08FC70AE"/>
    <w:rsid w:val="0A1914A2"/>
    <w:rsid w:val="0A742875"/>
    <w:rsid w:val="0FA03424"/>
    <w:rsid w:val="107A1066"/>
    <w:rsid w:val="10A86003"/>
    <w:rsid w:val="14EC539E"/>
    <w:rsid w:val="15A3368D"/>
    <w:rsid w:val="21C85928"/>
    <w:rsid w:val="21F050A6"/>
    <w:rsid w:val="225B11D2"/>
    <w:rsid w:val="2F577CB5"/>
    <w:rsid w:val="3CDC4AF1"/>
    <w:rsid w:val="3D181EDC"/>
    <w:rsid w:val="405D727F"/>
    <w:rsid w:val="45DD6800"/>
    <w:rsid w:val="49762395"/>
    <w:rsid w:val="4D7B0E84"/>
    <w:rsid w:val="4EA93B7D"/>
    <w:rsid w:val="501448E7"/>
    <w:rsid w:val="51DF2696"/>
    <w:rsid w:val="5BA94B7F"/>
    <w:rsid w:val="5CBD5CB6"/>
    <w:rsid w:val="681A7B2C"/>
    <w:rsid w:val="697D4817"/>
    <w:rsid w:val="6A3E5E67"/>
    <w:rsid w:val="75121743"/>
    <w:rsid w:val="763C3364"/>
    <w:rsid w:val="7681410F"/>
    <w:rsid w:val="77D53A70"/>
    <w:rsid w:val="788D434B"/>
    <w:rsid w:val="7AD66BCA"/>
    <w:rsid w:val="7B491480"/>
    <w:rsid w:val="7E0E36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1" w:name="heading 3"/>
    <w:lsdException w:qFormat="1" w:unhideWhenUsed="0" w:uiPriority="0" w:semiHidden="0"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uiPriority="1" w:name="annotation text"/>
    <w:lsdException w:qFormat="1" w:uiPriority="99" w:semiHidden="0" w:name="header"/>
    <w:lsdException w:qFormat="1" w:unhideWhenUsed="0" w:uiPriority="0"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uiPriority="1"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semiHidden="0" w:name="Default Paragraph Font"/>
    <w:lsdException w:qFormat="1" w:unhideWhenUsed="0" w:uiPriority="0" w:semiHidden="0" w:name="Body Text"/>
    <w:lsdException w:uiPriority="1"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1" w:name="Date"/>
    <w:lsdException w:qFormat="1" w:unhideWhenUsed="0" w:uiPriority="0" w:semiHidden="0" w:name="Body Text First Indent"/>
    <w:lsdException w:uiPriority="1"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uiPriority="1"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uiPriority="1" w:name="Document Map"/>
    <w:lsdException w:uiPriority="1" w:name="Plain Text"/>
    <w:lsdException w:qFormat="1" w:unhideWhenUsed="0" w:uiPriority="0" w:semiHidden="0"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semiHidden="0"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uiPriority="1" w:name="Balloon Text"/>
    <w:lsdException w:qFormat="1" w:unhideWhenUsed="0" w:uiPriority="3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宋体"/>
      <w:b/>
      <w:sz w:val="24"/>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宋体"/>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E-mail Signature"/>
    <w:basedOn w:val="1"/>
    <w:link w:val="18"/>
    <w:qFormat/>
    <w:uiPriority w:val="0"/>
    <w:rPr>
      <w:kern w:val="0"/>
      <w:sz w:val="20"/>
    </w:rPr>
  </w:style>
  <w:style w:type="paragraph" w:styleId="7">
    <w:name w:val="Body Text"/>
    <w:basedOn w:val="1"/>
    <w:link w:val="19"/>
    <w:qFormat/>
    <w:uiPriority w:val="0"/>
    <w:pPr>
      <w:spacing w:before="120"/>
      <w:jc w:val="left"/>
    </w:pPr>
    <w:rPr>
      <w:kern w:val="0"/>
      <w:sz w:val="24"/>
    </w:rPr>
  </w:style>
  <w:style w:type="paragraph" w:styleId="8">
    <w:name w:val="footer"/>
    <w:basedOn w:val="1"/>
    <w:link w:val="20"/>
    <w:qFormat/>
    <w:uiPriority w:val="0"/>
    <w:pPr>
      <w:tabs>
        <w:tab w:val="center" w:pos="4153"/>
        <w:tab w:val="right" w:pos="8306"/>
      </w:tabs>
      <w:snapToGrid w:val="0"/>
      <w:jc w:val="left"/>
    </w:pPr>
    <w:rPr>
      <w:kern w:val="0"/>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qFormat/>
    <w:uiPriority w:val="0"/>
    <w:pPr>
      <w:widowControl w:val="0"/>
      <w:ind w:firstLine="420" w:firstLineChars="100"/>
      <w:jc w:val="center"/>
    </w:pPr>
    <w:rPr>
      <w:rFonts w:ascii="宋体" w:hAnsi="宋体" w:eastAsia="宋体" w:cs="Times New Roman"/>
      <w:b/>
      <w:bCs/>
      <w:kern w:val="2"/>
      <w:sz w:val="21"/>
      <w:szCs w:val="24"/>
      <w:lang w:val="en-US" w:eastAsia="zh-CN" w:bidi="ar-SA"/>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FollowedHyperlink"/>
    <w:qFormat/>
    <w:uiPriority w:val="0"/>
    <w:rPr>
      <w:color w:val="800080"/>
      <w:u w:val="single"/>
    </w:rPr>
  </w:style>
  <w:style w:type="character" w:styleId="17">
    <w:name w:val="Hyperlink"/>
    <w:qFormat/>
    <w:uiPriority w:val="0"/>
    <w:rPr>
      <w:color w:val="0000FF"/>
      <w:u w:val="single"/>
    </w:rPr>
  </w:style>
  <w:style w:type="character" w:customStyle="1" w:styleId="18">
    <w:name w:val="电子邮件签名 字符"/>
    <w:link w:val="6"/>
    <w:qFormat/>
    <w:uiPriority w:val="0"/>
    <w:rPr>
      <w:rFonts w:ascii="Times New Roman" w:hAnsi="Times New Roman" w:eastAsia="宋体" w:cs="Times New Roman"/>
      <w:szCs w:val="24"/>
    </w:rPr>
  </w:style>
  <w:style w:type="character" w:customStyle="1" w:styleId="19">
    <w:name w:val="正文文本 字符"/>
    <w:link w:val="7"/>
    <w:qFormat/>
    <w:uiPriority w:val="0"/>
    <w:rPr>
      <w:rFonts w:ascii="Times New Roman" w:hAnsi="Times New Roman" w:eastAsia="宋体" w:cs="Times New Roman"/>
      <w:sz w:val="24"/>
      <w:szCs w:val="24"/>
    </w:rPr>
  </w:style>
  <w:style w:type="character" w:customStyle="1" w:styleId="20">
    <w:name w:val="页脚 字符"/>
    <w:link w:val="8"/>
    <w:qFormat/>
    <w:uiPriority w:val="0"/>
    <w:rPr>
      <w:rFonts w:ascii="Times New Roman" w:hAnsi="Times New Roman" w:eastAsia="宋体" w:cs="Times New Roman"/>
      <w:sz w:val="18"/>
      <w:szCs w:val="18"/>
    </w:rPr>
  </w:style>
  <w:style w:type="character" w:customStyle="1" w:styleId="21">
    <w:name w:val="页眉 字符"/>
    <w:link w:val="9"/>
    <w:qFormat/>
    <w:uiPriority w:val="99"/>
    <w:rPr>
      <w:rFonts w:ascii="Times New Roman" w:hAnsi="Times New Roman" w:eastAsia="宋体" w:cs="Times New Roman"/>
      <w:sz w:val="18"/>
      <w:szCs w:val="18"/>
    </w:rPr>
  </w:style>
  <w:style w:type="paragraph" w:customStyle="1" w:styleId="22">
    <w:name w:val="_Style 17"/>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 Char Char Char Char Char"/>
    <w:basedOn w:val="1"/>
    <w:qFormat/>
    <w:uiPriority w:val="0"/>
    <w:pPr>
      <w:ind w:firstLine="360" w:firstLineChars="150"/>
    </w:pPr>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2318</Words>
  <Characters>2557</Characters>
  <Lines>45</Lines>
  <Paragraphs>12</Paragraphs>
  <TotalTime>2</TotalTime>
  <ScaleCrop>false</ScaleCrop>
  <LinksUpToDate>false</LinksUpToDate>
  <CharactersWithSpaces>2576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2017-02-21T14:32:00Z</dcterms:created>
  <dc:creator>_步惊云</dc:creator>
  <cp:lastModifiedBy>白衬衫从来不简单</cp:lastModifiedBy>
  <dcterms:modified xsi:type="dcterms:W3CDTF">2024-09-29T14:52:56Z</dcterms:modified>
  <dc:title>国际贸易、人力资源、Excel教学、考试系统</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AFA8B8B0B1364683A239CF3096F1710A_13</vt:lpwstr>
  </property>
</Properties>
</file>