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25078A"/>
    <w:p w14:paraId="2A6DB8E3">
      <w:pPr>
        <w:autoSpaceDE w:val="0"/>
        <w:autoSpaceDN w:val="0"/>
        <w:adjustRightInd w:val="0"/>
        <w:spacing w:line="240" w:lineRule="auto"/>
        <w:jc w:val="both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  <w:t>附件：</w:t>
      </w:r>
    </w:p>
    <w:p w14:paraId="186C8E30">
      <w:pPr>
        <w:autoSpaceDE w:val="0"/>
        <w:autoSpaceDN w:val="0"/>
        <w:adjustRightInd w:val="0"/>
        <w:spacing w:line="240" w:lineRule="auto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DW-86L578J</w:t>
      </w:r>
      <w:bookmarkStart w:id="0" w:name="OLE_LINK3"/>
      <w:bookmarkStart w:id="1" w:name="OLE_LINK4"/>
      <w:bookmarkStart w:id="2" w:name="OLE_LINK5"/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  <w:t>基本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参数</w:t>
      </w:r>
      <w:bookmarkEnd w:id="0"/>
      <w:bookmarkEnd w:id="1"/>
      <w:bookmarkEnd w:id="2"/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  <w:t>要求</w:t>
      </w:r>
    </w:p>
    <w:p w14:paraId="09B3EB28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1、箱内温度 -40℃~-86℃可调</w:t>
      </w:r>
    </w:p>
    <w:p w14:paraId="4D94EF63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2、有效容积≥570L，整机装箱量（2ml冻存管容量）≥40000份样本；</w:t>
      </w:r>
    </w:p>
    <w:p w14:paraId="4AADD352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3、微电脑控制， LED 显示屏，可显示环温及输入电压。并配置大容量存储空间，实时保存箱内设定温度、实际温度、高、低温报警温度、输入电压、环温等数据，数据可永久保存；</w:t>
      </w:r>
    </w:p>
    <w:p w14:paraId="24FD6D64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*4、采用HC环保制冷剂，制冷效率高，节能环保；</w:t>
      </w:r>
    </w:p>
    <w:p w14:paraId="08341104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*5、采用双级复叠制冷系统，高温级压机和低温级压机</w:t>
      </w:r>
      <w:bookmarkStart w:id="3" w:name="_GoBack"/>
      <w:bookmarkEnd w:id="3"/>
      <w:r>
        <w:rPr>
          <w:rFonts w:hint="eastAsia" w:ascii="宋体" w:hAnsi="宋体" w:eastAsia="宋体" w:cs="宋体"/>
          <w:kern w:val="0"/>
          <w:sz w:val="24"/>
          <w:szCs w:val="24"/>
        </w:rPr>
        <w:t>配合制冷，制冷效率高；</w:t>
      </w:r>
    </w:p>
    <w:p w14:paraId="471DE5B5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6、根据低温保存箱国家标准GB/T 20154要求，低温保存箱铭牌或标签上要标注制冷剂的详细名称及装入量；</w:t>
      </w:r>
    </w:p>
    <w:p w14:paraId="1CF8AD50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7、符合《低温保存箱节能环保认证技术规范》要求，并获取节能、环保报告及证书；</w:t>
      </w:r>
    </w:p>
    <w:p w14:paraId="0C229A68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 xml:space="preserve">8、进口品牌压缩机2个，功率≤900W </w:t>
      </w:r>
    </w:p>
    <w:p w14:paraId="7C010D8A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*9、25℃环温时，耗电量应≤9 Kw.h/24h；提供实验室符合CNAS、ILAC资格的第三方机构报告；</w:t>
      </w:r>
    </w:p>
    <w:p w14:paraId="6ABC4790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10、标配USB接口，可导出全部数据，实现数据的可追溯性；</w:t>
      </w:r>
    </w:p>
    <w:p w14:paraId="2ABC9B07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11、多种故障报警（高低温报警、传感器报警、冷凝器散热差报警、环温超标报警、断电报警、门开报警、电池电量低报警），两种报警方式（声音蜂鸣报警、灯光闪烁报警）；多重保护功能（开机延时保护可设定时间、显示面板密码锁功能、断电记忆功能）</w:t>
      </w:r>
    </w:p>
    <w:p w14:paraId="1F6E09FD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*12、具有内置5V冷链供电系统，确保用电安全，减少外部布线，降低故障风险。</w:t>
      </w:r>
    </w:p>
    <w:p w14:paraId="3DF3A6A0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13、可选配RS485，选配同品牌智能温度记录仪、冷链安全监控系统，全程监控并记录冷链设备运行状态；</w:t>
      </w:r>
    </w:p>
    <w:p w14:paraId="19FB9CB6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14、一体式手把门锁设计，单手实现开关门。可同时使用暗锁及双挂锁。</w:t>
      </w:r>
    </w:p>
    <w:p w14:paraId="09118105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15、2个发泡内门并带密封条设计，外门4层密封。整机共计5层密封，保温效果好。</w:t>
      </w:r>
    </w:p>
    <w:p w14:paraId="25DABA3D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16、内胆为电锌板喷粉，防腐蚀，导热快。</w:t>
      </w:r>
    </w:p>
    <w:p w14:paraId="00D868F7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17、使用航空真空隔热材料VIP，厚度≥25mm，箱体发泡层厚度≥90mm，保温效果好；</w:t>
      </w:r>
    </w:p>
    <w:p w14:paraId="08489943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18、具有可加热平衡孔模块，可满足短时间内连续开门；</w:t>
      </w:r>
    </w:p>
    <w:p w14:paraId="60D0FAC3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19、箱体后背≥2个测试孔设计，方便用户实验使用和监控箱内温度。</w:t>
      </w:r>
    </w:p>
    <w:p w14:paraId="688265E1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20、具有医疗器械注册证，证书上产品型号要求与投标型号完全符合；</w:t>
      </w:r>
    </w:p>
    <w:p w14:paraId="2333F36D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21、外部尺寸（宽x深x高）：≤</w:t>
      </w:r>
      <w:r>
        <w:rPr>
          <w:rFonts w:ascii="宋体" w:hAnsi="宋体" w:eastAsia="宋体" w:cs="宋体"/>
          <w:kern w:val="0"/>
          <w:sz w:val="24"/>
          <w:szCs w:val="24"/>
        </w:rPr>
        <w:t>903*980*1960</w:t>
      </w:r>
      <w:r>
        <w:rPr>
          <w:rFonts w:hint="eastAsia" w:ascii="宋体" w:hAnsi="宋体" w:eastAsia="宋体" w:cs="宋体"/>
          <w:kern w:val="0"/>
          <w:sz w:val="24"/>
          <w:szCs w:val="24"/>
        </w:rPr>
        <w:t>mm</w:t>
      </w:r>
    </w:p>
    <w:p w14:paraId="7C87EE7B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22、内部尺寸（宽x深x高）：≥</w:t>
      </w:r>
      <w:r>
        <w:rPr>
          <w:rFonts w:ascii="宋体" w:hAnsi="宋体" w:eastAsia="宋体" w:cs="宋体"/>
          <w:kern w:val="0"/>
          <w:sz w:val="24"/>
          <w:szCs w:val="24"/>
        </w:rPr>
        <w:t>620*716*1310</w:t>
      </w:r>
      <w:r>
        <w:rPr>
          <w:rFonts w:hint="eastAsia" w:ascii="宋体" w:hAnsi="宋体" w:eastAsia="宋体" w:cs="宋体"/>
          <w:kern w:val="0"/>
          <w:sz w:val="24"/>
          <w:szCs w:val="24"/>
        </w:rPr>
        <w:t>mm</w:t>
      </w:r>
    </w:p>
    <w:p w14:paraId="1242F1FF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23、净重：300±3% kg</w:t>
      </w:r>
    </w:p>
    <w:p w14:paraId="4F86EC2C">
      <w:pPr>
        <w:autoSpaceDE w:val="0"/>
        <w:autoSpaceDN w:val="0"/>
        <w:adjustRightInd w:val="0"/>
        <w:spacing w:line="240" w:lineRule="auto"/>
        <w:ind w:firstLine="480" w:firstLineChars="200"/>
        <w:jc w:val="left"/>
        <w:rPr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*24、产品能耗达到国际领先水平，获得国际能源之星认证。</w:t>
      </w:r>
    </w:p>
    <w:p w14:paraId="12AB8B9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95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2025-04-23T09:56:47Z</dcterms:created>
  <dc:creator>田</dc:creator>
  <cp:lastModifiedBy>田</cp:lastModifiedBy>
  <dcterms:modified xsi:type="dcterms:W3CDTF">2025-04-23T09:58:05Z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eyJoZGlkIjoiNzZkZDcwNjRhYjAzMzUxZGI3ZGMzODdkODFjNGRjYjIifQ==</vt:lpwstr>
  </property>
  <property fmtid="{D5CDD505-2E9C-101B-9397-08002B2CF9AE}" pid="4" name="ICV">
    <vt:lpwstr>D9DB20DAD3AE4ED5B4D1CBE78659D5C1_12</vt:lpwstr>
  </property>
</Properties>
</file>