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仿宋" w:hAnsi="仿宋" w:eastAsia="仿宋" w:cs="仿宋"/>
          <w:b/>
          <w:bCs/>
          <w:sz w:val="44"/>
          <w:szCs w:val="44"/>
          <w:lang w:val="en-US" w:eastAsia="zh-CN"/>
        </w:rPr>
      </w:pPr>
      <w:r>
        <w:rPr>
          <w:rFonts w:hint="default" w:ascii="仿宋" w:hAnsi="仿宋" w:eastAsia="仿宋" w:cs="仿宋"/>
          <w:b/>
          <w:bCs/>
          <w:sz w:val="44"/>
          <w:szCs w:val="44"/>
          <w:lang w:val="en-US" w:eastAsia="zh-CN"/>
        </w:rPr>
        <w:t>喀什公路管理局喀什分局2024年钢架桥</w:t>
      </w:r>
    </w:p>
    <w:p>
      <w:pPr>
        <w:spacing w:line="220" w:lineRule="atLeast"/>
        <w:jc w:val="center"/>
        <w:rPr>
          <w:rFonts w:hint="eastAsia" w:ascii="仿宋" w:hAnsi="仿宋" w:eastAsia="仿宋" w:cs="仿宋"/>
          <w:b/>
          <w:bCs/>
          <w:sz w:val="44"/>
          <w:szCs w:val="44"/>
          <w:lang w:val="en-US" w:eastAsia="zh-CN"/>
        </w:rPr>
      </w:pPr>
      <w:r>
        <w:rPr>
          <w:rFonts w:hint="default" w:ascii="仿宋" w:hAnsi="仿宋" w:eastAsia="仿宋" w:cs="仿宋"/>
          <w:b/>
          <w:bCs/>
          <w:sz w:val="44"/>
          <w:szCs w:val="44"/>
          <w:lang w:val="en-US" w:eastAsia="zh-CN"/>
        </w:rPr>
        <w:t>库房维修工程</w:t>
      </w:r>
      <w:r>
        <w:rPr>
          <w:rFonts w:hint="eastAsia" w:ascii="仿宋" w:hAnsi="仿宋" w:eastAsia="仿宋" w:cs="仿宋"/>
          <w:b/>
          <w:bCs/>
          <w:sz w:val="44"/>
          <w:szCs w:val="44"/>
          <w:lang w:val="en-US" w:eastAsia="zh-CN"/>
        </w:rPr>
        <w:t>项目须知</w:t>
      </w:r>
    </w:p>
    <w:p>
      <w:pPr>
        <w:spacing w:line="220" w:lineRule="atLeast"/>
        <w:rPr>
          <w:rFonts w:hint="eastAsia" w:ascii="仿宋" w:hAnsi="仿宋" w:eastAsia="仿宋" w:cs="仿宋"/>
          <w:sz w:val="32"/>
          <w:szCs w:val="32"/>
          <w:lang w:val="en-US" w:eastAsia="zh-CN"/>
        </w:rPr>
      </w:pPr>
    </w:p>
    <w:p>
      <w:pPr>
        <w:keepNext w:val="0"/>
        <w:keepLines w:val="0"/>
        <w:pageBreakBefore w:val="0"/>
        <w:numPr>
          <w:ilvl w:val="0"/>
          <w:numId w:val="1"/>
        </w:numPr>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工程名称：喀什公路管理局喀什分局钢架桥库房维修工程项目</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二、建设地点：喀什地区喀什市机场路</w:t>
      </w:r>
      <w:r>
        <w:rPr>
          <w:rFonts w:hint="eastAsia" w:ascii="仿宋" w:hAnsi="仿宋" w:eastAsia="仿宋" w:cs="仿宋"/>
          <w:sz w:val="32"/>
          <w:szCs w:val="32"/>
          <w:lang w:val="en-US" w:eastAsia="zh-CN"/>
        </w:rPr>
        <w:t>276号喀什公路管理局喀什分局沥青厂院内钢桥库房</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三、招标控制价：喀什公路管理局喀什分局钢架桥库房维修</w:t>
      </w:r>
      <w:r>
        <w:rPr>
          <w:rFonts w:hint="eastAsia" w:ascii="仿宋" w:hAnsi="仿宋" w:eastAsia="仿宋" w:cs="仿宋"/>
          <w:sz w:val="32"/>
          <w:szCs w:val="32"/>
          <w:lang w:val="en-US" w:eastAsia="zh-CN"/>
        </w:rPr>
        <w:t xml:space="preserve">改造上控价79991.69万元。  </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四、施工工期：预计开工日期：202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年</w:t>
      </w:r>
      <w:r>
        <w:rPr>
          <w:rFonts w:hint="eastAsia" w:ascii="仿宋" w:hAnsi="仿宋" w:eastAsia="仿宋" w:cs="仿宋"/>
          <w:sz w:val="32"/>
          <w:szCs w:val="32"/>
          <w:lang w:val="en-US" w:eastAsia="zh-CN"/>
        </w:rPr>
        <w:t>9</w:t>
      </w:r>
      <w:bookmarkStart w:id="1" w:name="_GoBack"/>
      <w:bookmarkEnd w:id="1"/>
      <w:r>
        <w:rPr>
          <w:rFonts w:hint="eastAsia" w:ascii="仿宋" w:hAnsi="仿宋" w:eastAsia="仿宋" w:cs="仿宋"/>
          <w:sz w:val="32"/>
          <w:szCs w:val="32"/>
          <w:lang w:val="zh-CN" w:eastAsia="zh-CN"/>
        </w:rPr>
        <w:t>月</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日左右，总工期：</w:t>
      </w:r>
      <w:r>
        <w:rPr>
          <w:rFonts w:hint="eastAsia" w:ascii="仿宋" w:hAnsi="仿宋" w:eastAsia="仿宋" w:cs="仿宋"/>
          <w:sz w:val="32"/>
          <w:szCs w:val="32"/>
          <w:lang w:val="en-US" w:eastAsia="zh-CN"/>
        </w:rPr>
        <w:t>15</w:t>
      </w:r>
      <w:r>
        <w:rPr>
          <w:rFonts w:hint="eastAsia" w:ascii="仿宋" w:hAnsi="仿宋" w:eastAsia="仿宋" w:cs="仿宋"/>
          <w:sz w:val="32"/>
          <w:szCs w:val="32"/>
          <w:lang w:val="zh-CN" w:eastAsia="zh-CN"/>
        </w:rPr>
        <w:t>天。</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五、质量要求：</w:t>
      </w:r>
      <w:bookmarkStart w:id="0" w:name="D1质量要求"/>
      <w:r>
        <w:rPr>
          <w:rFonts w:hint="eastAsia" w:ascii="仿宋" w:hAnsi="仿宋" w:eastAsia="仿宋" w:cs="仿宋"/>
          <w:sz w:val="32"/>
          <w:szCs w:val="32"/>
          <w:lang w:val="zh-CN" w:eastAsia="zh-CN"/>
        </w:rPr>
        <w:t>合格</w:t>
      </w:r>
      <w:bookmarkEnd w:id="0"/>
      <w:r>
        <w:rPr>
          <w:rFonts w:hint="eastAsia" w:ascii="仿宋" w:hAnsi="仿宋" w:eastAsia="仿宋" w:cs="仿宋"/>
          <w:sz w:val="32"/>
          <w:szCs w:val="32"/>
          <w:lang w:val="zh-CN" w:eastAsia="zh-CN"/>
        </w:rPr>
        <w:t xml:space="preserve"> </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六、投标人资格要求：</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1、投标人必须是中华人民共和国境内注册的，具有独立法人资格的企业；</w:t>
      </w:r>
    </w:p>
    <w:p>
      <w:pPr>
        <w:pStyle w:val="5"/>
        <w:keepNext w:val="0"/>
        <w:keepLines w:val="0"/>
        <w:pageBreakBefore w:val="0"/>
        <w:numPr>
          <w:ilvl w:val="0"/>
          <w:numId w:val="0"/>
        </w:numPr>
        <w:kinsoku/>
        <w:wordWrap/>
        <w:overflowPunct/>
        <w:topLinePunct w:val="0"/>
        <w:autoSpaceDE/>
        <w:autoSpaceDN/>
        <w:bidi w:val="0"/>
        <w:adjustRightInd w:val="0"/>
        <w:snapToGrid w:val="0"/>
        <w:spacing w:line="400" w:lineRule="exact"/>
        <w:ind w:firstLine="320" w:firstLineChars="100"/>
        <w:textAlignment w:val="auto"/>
        <w:rPr>
          <w:rFonts w:hint="eastAsia" w:ascii="方正仿宋_GBK" w:hAnsi="方正仿宋_GBK"/>
          <w:szCs w:val="32"/>
          <w:lang w:eastAsia="zh-CN"/>
        </w:rPr>
      </w:pPr>
      <w:r>
        <w:rPr>
          <w:rFonts w:hint="eastAsia" w:ascii="仿宋" w:hAnsi="仿宋" w:eastAsia="仿宋" w:cs="仿宋"/>
          <w:kern w:val="2"/>
          <w:sz w:val="32"/>
          <w:szCs w:val="32"/>
          <w:lang w:val="en-US" w:eastAsia="zh-CN" w:bidi="ar-SA"/>
        </w:rPr>
        <w:t>2、投标人须具备有效的资质证书，且满足本项目资质要求：</w:t>
      </w:r>
      <w:r>
        <w:rPr>
          <w:rFonts w:ascii="方正仿宋_GBK" w:hAnsi="方正仿宋_GBK"/>
          <w:szCs w:val="32"/>
        </w:rPr>
        <w:t>房屋建筑工程施工总承包三级及以上资质等级</w:t>
      </w:r>
      <w:r>
        <w:rPr>
          <w:rFonts w:hint="eastAsia" w:ascii="方正仿宋_GBK" w:hAnsi="方正仿宋_GBK"/>
          <w:szCs w:val="32"/>
          <w:lang w:eastAsia="zh-CN"/>
        </w:rPr>
        <w:t>的</w:t>
      </w:r>
      <w:r>
        <w:rPr>
          <w:rFonts w:ascii="方正仿宋_GBK" w:hAnsi="方正仿宋_GBK"/>
          <w:szCs w:val="32"/>
        </w:rPr>
        <w:t>施工企业</w:t>
      </w:r>
      <w:r>
        <w:rPr>
          <w:rFonts w:hint="eastAsia" w:ascii="方正仿宋_GBK" w:hAnsi="方正仿宋_GBK"/>
          <w:szCs w:val="32"/>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3、投标人须具备有效的安全生产许可证；</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4、投标人的项目负责人要求：须同时具备注册建造师（建筑工程专业）二级及以上资格和有效的安全生产考核合格证书（B类），且在本单位注册，不得使用临时注册建造师且无在建项目；</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5、其他说明：</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（1）与招标人存在利害关系可能影响招标公正性的法人、其他组织或者个人，不得参加投标；</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（2）单位负责人为同一人或者存在控股、管理关系的不同单位，不得参加同一标段投标或者未划分标段的同一招标项目投标，相关投标均无效；</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本项目不接受联合体。</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七、投标计价方式：工程量清单计价</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八、注意事项：</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投标人应当根据《建设工程工程量清单计价规范》GB50500-2013、企业定额及当地市场因素及工程特点等报出综合单价。</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投标报价不得低于工程成本。投标人的投标报价高于上控制价的废标。</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投标人应按招标工程量清单填报价格。项目编码、项目名称、项目特征、计量单位、工程量必须与招标工程量清单一致。</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每一项目只允许有一个报价，任何有选择报价将不予接受。</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5</w:t>
      </w:r>
      <w:r>
        <w:rPr>
          <w:rFonts w:hint="eastAsia" w:ascii="仿宋" w:hAnsi="仿宋" w:eastAsia="仿宋" w:cs="仿宋"/>
          <w:kern w:val="2"/>
          <w:sz w:val="32"/>
          <w:szCs w:val="32"/>
          <w:lang w:val="zh-CN" w:eastAsia="zh-CN" w:bidi="ar-SA"/>
        </w:rPr>
        <w:t>、安全文明施工费、规费和税金必须按国家或省级、行业建设主管部门的规定计算，不得作为竞争性费用。</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十、响应文件上传的资料，顺序如下：</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（一）企业资质、营业执照和法定代表人身份证明和投标人概况。</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（二）施工组织设计</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（三）投标总价：按照每个项目上传的招标清单和招标工程量清单格式进行报价，注意模板表格顺序，不得遗漏报价，如有遗漏则表示相应工程报价包含于其它清单项目中，如中标进场施工后不应为由增加费用。</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投标人投标之前必须到喀什市机场路276号喀什公路管理局喀什分局沥青厂院内钢桥库房进行现场工程量勘察，不进行现场勘察的投标方，视为自动默认工程量清单符合实际要求，后期出现增加项目清单费用的不予以接受。现场勘察时间为正常工作日的早10:00点至下午20:00点期间为准。</w:t>
      </w:r>
    </w:p>
    <w:p>
      <w:pPr>
        <w:keepNext w:val="0"/>
        <w:keepLines w:val="0"/>
        <w:pageBreakBefore w:val="0"/>
        <w:kinsoku/>
        <w:wordWrap/>
        <w:overflowPunct/>
        <w:topLinePunct w:val="0"/>
        <w:autoSpaceDE/>
        <w:autoSpaceDN/>
        <w:bidi w:val="0"/>
        <w:adjustRightInd w:val="0"/>
        <w:snapToGrid w:val="0"/>
        <w:spacing w:line="400"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（五）投标文件书写要求：上传</w:t>
      </w:r>
      <w:r>
        <w:rPr>
          <w:rFonts w:hint="eastAsia" w:ascii="仿宋" w:hAnsi="仿宋" w:eastAsia="仿宋" w:cs="仿宋"/>
          <w:kern w:val="2"/>
          <w:sz w:val="32"/>
          <w:szCs w:val="32"/>
          <w:lang w:val="zh-CN" w:eastAsia="zh-CN" w:bidi="ar-SA"/>
        </w:rPr>
        <w:t>纸张要求采用</w:t>
      </w:r>
      <w:r>
        <w:rPr>
          <w:rFonts w:hint="eastAsia" w:ascii="仿宋" w:hAnsi="仿宋" w:eastAsia="仿宋" w:cs="仿宋"/>
          <w:kern w:val="2"/>
          <w:sz w:val="32"/>
          <w:szCs w:val="32"/>
          <w:lang w:val="en-US" w:eastAsia="zh-CN" w:bidi="ar-SA"/>
        </w:rPr>
        <w:t>A4</w:t>
      </w:r>
      <w:r>
        <w:rPr>
          <w:rFonts w:hint="eastAsia" w:ascii="仿宋" w:hAnsi="仿宋" w:eastAsia="仿宋" w:cs="仿宋"/>
          <w:kern w:val="2"/>
          <w:sz w:val="32"/>
          <w:szCs w:val="32"/>
          <w:lang w:val="zh-CN" w:eastAsia="zh-CN" w:bidi="ar-SA"/>
        </w:rPr>
        <w:t>打印纸，</w:t>
      </w:r>
      <w:r>
        <w:rPr>
          <w:rFonts w:hint="eastAsia" w:ascii="仿宋" w:hAnsi="仿宋" w:eastAsia="仿宋" w:cs="仿宋"/>
          <w:kern w:val="2"/>
          <w:sz w:val="32"/>
          <w:szCs w:val="32"/>
          <w:lang w:val="en-US" w:eastAsia="zh-CN" w:bidi="ar-SA"/>
        </w:rPr>
        <w:t>采用的字体清晰易辨识，并附封面（投标人名称加盖公章）。</w:t>
      </w:r>
    </w:p>
    <w:p>
      <w:pPr>
        <w:spacing w:line="220" w:lineRule="atLeast"/>
        <w:ind w:firstLine="320" w:firstLineChars="100"/>
        <w:rPr>
          <w:rFonts w:hint="eastAsia" w:ascii="仿宋" w:hAnsi="仿宋" w:eastAsia="仿宋" w:cs="仿宋"/>
          <w:kern w:val="2"/>
          <w:sz w:val="32"/>
          <w:szCs w:val="32"/>
          <w:lang w:val="en-US" w:eastAsia="zh-CN" w:bidi="ar-S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64047"/>
    <w:multiLevelType w:val="singleLevel"/>
    <w:tmpl w:val="307640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020F6"/>
    <w:rsid w:val="00426133"/>
    <w:rsid w:val="004358AB"/>
    <w:rsid w:val="008B7726"/>
    <w:rsid w:val="00D31D50"/>
    <w:rsid w:val="01050BBA"/>
    <w:rsid w:val="0682513E"/>
    <w:rsid w:val="08FF703D"/>
    <w:rsid w:val="09A46AFB"/>
    <w:rsid w:val="0EE65882"/>
    <w:rsid w:val="143769B9"/>
    <w:rsid w:val="16FC4BC3"/>
    <w:rsid w:val="19C575D4"/>
    <w:rsid w:val="1AF866CC"/>
    <w:rsid w:val="1C0C124A"/>
    <w:rsid w:val="1C6C435B"/>
    <w:rsid w:val="1CFE13A0"/>
    <w:rsid w:val="1E2A528A"/>
    <w:rsid w:val="24811203"/>
    <w:rsid w:val="28F43F3F"/>
    <w:rsid w:val="29B11D74"/>
    <w:rsid w:val="2A3C35C2"/>
    <w:rsid w:val="2B7D7DC8"/>
    <w:rsid w:val="2D275BA3"/>
    <w:rsid w:val="318D3859"/>
    <w:rsid w:val="321759BB"/>
    <w:rsid w:val="32981C75"/>
    <w:rsid w:val="34EC7A62"/>
    <w:rsid w:val="3690710E"/>
    <w:rsid w:val="38004018"/>
    <w:rsid w:val="3AD14283"/>
    <w:rsid w:val="3E18216E"/>
    <w:rsid w:val="407057C5"/>
    <w:rsid w:val="41770891"/>
    <w:rsid w:val="47BB5463"/>
    <w:rsid w:val="53BD0D54"/>
    <w:rsid w:val="56FE6676"/>
    <w:rsid w:val="570738D6"/>
    <w:rsid w:val="5B0A19FB"/>
    <w:rsid w:val="5F693096"/>
    <w:rsid w:val="68290671"/>
    <w:rsid w:val="69E92850"/>
    <w:rsid w:val="6EED657C"/>
    <w:rsid w:val="70F2655B"/>
    <w:rsid w:val="71814B45"/>
    <w:rsid w:val="74F26A6B"/>
    <w:rsid w:val="76F16531"/>
    <w:rsid w:val="77B9061F"/>
    <w:rsid w:val="77EB41DF"/>
    <w:rsid w:val="791D5841"/>
    <w:rsid w:val="7BDC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No Spacing"/>
    <w:qFormat/>
    <w:uiPriority w:val="1"/>
    <w:pPr>
      <w:widowControl w:val="0"/>
      <w:adjustRightInd w:val="0"/>
      <w:snapToGrid w:val="0"/>
      <w:spacing w:line="560" w:lineRule="exact"/>
      <w:ind w:firstLine="200" w:firstLineChars="200"/>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2024-08-23T06:42:39Z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CF972536FBB44E01938F6CA4F5FB57E2</vt:lpwstr>
  </property>
</Properties>
</file>