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57180">
      <w:pPr>
        <w:spacing w:after="0" w:line="240" w:lineRule="auto"/>
        <w:rPr>
          <w:rFonts w:ascii="Times New Roman" w:hAnsi="Times New Roman" w:eastAsia="方正仿宋_GBK"/>
          <w:sz w:val="32"/>
          <w:szCs w:val="32"/>
          <w:lang w:eastAsia="zh-CN"/>
        </w:rPr>
      </w:pPr>
      <w:r>
        <w:rPr>
          <w:rFonts w:ascii="Times New Roman" w:hAnsi="Times New Roman" w:eastAsia="方正仿宋_GBK"/>
          <w:sz w:val="32"/>
          <w:szCs w:val="32"/>
          <w:lang w:eastAsia="zh-CN"/>
        </w:rPr>
        <w:t>附件3：</w:t>
      </w:r>
    </w:p>
    <w:p w14:paraId="7A0FFB43">
      <w:pPr>
        <w:spacing w:after="0" w:line="240" w:lineRule="auto"/>
        <w:jc w:val="center"/>
        <w:rPr>
          <w:rFonts w:ascii="Times New Roman" w:hAnsi="Times New Roman" w:eastAsia="方正仿宋_GBK"/>
          <w:sz w:val="32"/>
          <w:szCs w:val="32"/>
          <w:lang w:eastAsia="zh-CN"/>
        </w:rPr>
      </w:pPr>
      <w:r>
        <w:rPr>
          <w:rFonts w:ascii="Times New Roman" w:hAnsi="Times New Roman" w:eastAsia="方正仿宋_GBK"/>
          <w:sz w:val="32"/>
          <w:szCs w:val="32"/>
          <w:lang w:eastAsia="zh-CN"/>
        </w:rPr>
        <w:t>设备技术参数</w:t>
      </w:r>
    </w:p>
    <w:tbl>
      <w:tblPr>
        <w:tblStyle w:val="2"/>
        <w:tblW w:w="8842" w:type="dxa"/>
        <w:jc w:val="center"/>
        <w:tblLayout w:type="fixed"/>
        <w:tblCellMar>
          <w:top w:w="0" w:type="dxa"/>
          <w:left w:w="108" w:type="dxa"/>
          <w:bottom w:w="0" w:type="dxa"/>
          <w:right w:w="108" w:type="dxa"/>
        </w:tblCellMar>
      </w:tblPr>
      <w:tblGrid>
        <w:gridCol w:w="722"/>
        <w:gridCol w:w="1038"/>
        <w:gridCol w:w="5492"/>
        <w:gridCol w:w="860"/>
        <w:gridCol w:w="730"/>
      </w:tblGrid>
      <w:tr w14:paraId="68D2AFBA">
        <w:tblPrEx>
          <w:tblCellMar>
            <w:top w:w="0" w:type="dxa"/>
            <w:left w:w="108" w:type="dxa"/>
            <w:bottom w:w="0" w:type="dxa"/>
            <w:right w:w="108" w:type="dxa"/>
          </w:tblCellMar>
        </w:tblPrEx>
        <w:trPr>
          <w:jc w:val="center"/>
        </w:trPr>
        <w:tc>
          <w:tcPr>
            <w:tcW w:w="722" w:type="dxa"/>
            <w:tcBorders>
              <w:top w:val="single" w:color="000000" w:sz="4" w:space="0"/>
              <w:left w:val="single" w:color="000000" w:sz="4" w:space="0"/>
              <w:bottom w:val="single" w:color="000000" w:sz="4" w:space="0"/>
              <w:right w:val="single" w:color="000000" w:sz="4" w:space="0"/>
            </w:tcBorders>
            <w:vAlign w:val="bottom"/>
          </w:tcPr>
          <w:p w14:paraId="3B6B316B">
            <w:pPr>
              <w:tabs>
                <w:tab w:val="left" w:pos="993"/>
                <w:tab w:val="left" w:pos="1134"/>
                <w:tab w:val="left" w:pos="1418"/>
              </w:tabs>
              <w:spacing w:line="400" w:lineRule="exact"/>
              <w:jc w:val="center"/>
              <w:rPr>
                <w:rFonts w:ascii="Times New Roman" w:hAnsi="Times New Roman" w:eastAsia="方正仿宋_GBK"/>
                <w:snapToGrid w:val="0"/>
                <w:spacing w:val="4"/>
                <w:sz w:val="24"/>
                <w:szCs w:val="24"/>
                <w:lang w:eastAsia="zh-CN"/>
              </w:rPr>
            </w:pPr>
            <w:r>
              <w:rPr>
                <w:rFonts w:hint="eastAsia" w:ascii="Times New Roman" w:hAnsi="Times New Roman" w:eastAsia="方正仿宋_GBK"/>
                <w:snapToGrid w:val="0"/>
                <w:spacing w:val="4"/>
                <w:sz w:val="24"/>
                <w:szCs w:val="24"/>
                <w:lang w:eastAsia="zh-CN"/>
              </w:rPr>
              <w:t>序号</w:t>
            </w:r>
          </w:p>
        </w:tc>
        <w:tc>
          <w:tcPr>
            <w:tcW w:w="1038" w:type="dxa"/>
            <w:tcBorders>
              <w:top w:val="single" w:color="000000" w:sz="4" w:space="0"/>
              <w:left w:val="single" w:color="000000" w:sz="4" w:space="0"/>
              <w:bottom w:val="single" w:color="000000" w:sz="4" w:space="0"/>
              <w:right w:val="single" w:color="000000" w:sz="4" w:space="0"/>
            </w:tcBorders>
            <w:vAlign w:val="bottom"/>
          </w:tcPr>
          <w:p w14:paraId="77DBD502">
            <w:pPr>
              <w:tabs>
                <w:tab w:val="left" w:pos="993"/>
                <w:tab w:val="left" w:pos="1134"/>
                <w:tab w:val="left" w:pos="1418"/>
              </w:tabs>
              <w:spacing w:line="400" w:lineRule="exact"/>
              <w:jc w:val="center"/>
              <w:rPr>
                <w:rFonts w:ascii="Times New Roman" w:hAnsi="Times New Roman" w:eastAsia="方正仿宋_GBK"/>
                <w:snapToGrid w:val="0"/>
                <w:spacing w:val="4"/>
                <w:sz w:val="24"/>
                <w:szCs w:val="24"/>
                <w:lang w:eastAsia="zh-CN"/>
              </w:rPr>
            </w:pPr>
            <w:r>
              <w:rPr>
                <w:rFonts w:hint="eastAsia" w:ascii="Times New Roman" w:hAnsi="Times New Roman" w:eastAsia="方正仿宋_GBK"/>
                <w:snapToGrid w:val="0"/>
                <w:spacing w:val="4"/>
                <w:sz w:val="24"/>
                <w:szCs w:val="24"/>
                <w:lang w:eastAsia="zh-CN"/>
              </w:rPr>
              <w:t>名称</w:t>
            </w:r>
          </w:p>
        </w:tc>
        <w:tc>
          <w:tcPr>
            <w:tcW w:w="5492" w:type="dxa"/>
            <w:tcBorders>
              <w:top w:val="single" w:color="000000" w:sz="4" w:space="0"/>
              <w:left w:val="single" w:color="000000" w:sz="4" w:space="0"/>
              <w:bottom w:val="single" w:color="000000" w:sz="4" w:space="0"/>
              <w:right w:val="single" w:color="000000" w:sz="4" w:space="0"/>
            </w:tcBorders>
            <w:vAlign w:val="bottom"/>
          </w:tcPr>
          <w:p w14:paraId="2CCB296F">
            <w:pPr>
              <w:tabs>
                <w:tab w:val="left" w:pos="993"/>
                <w:tab w:val="left" w:pos="1134"/>
                <w:tab w:val="left" w:pos="1418"/>
              </w:tabs>
              <w:spacing w:line="400" w:lineRule="exact"/>
              <w:jc w:val="center"/>
              <w:rPr>
                <w:rFonts w:ascii="Times New Roman" w:hAnsi="Times New Roman" w:eastAsia="方正仿宋_GBK"/>
                <w:snapToGrid w:val="0"/>
                <w:spacing w:val="4"/>
                <w:sz w:val="24"/>
                <w:szCs w:val="24"/>
                <w:lang w:eastAsia="zh-CN"/>
              </w:rPr>
            </w:pPr>
            <w:r>
              <w:rPr>
                <w:rFonts w:hint="eastAsia" w:ascii="Times New Roman" w:hAnsi="Times New Roman" w:eastAsia="方正仿宋_GBK"/>
                <w:snapToGrid w:val="0"/>
                <w:spacing w:val="4"/>
                <w:sz w:val="24"/>
                <w:szCs w:val="24"/>
                <w:lang w:eastAsia="zh-CN"/>
              </w:rPr>
              <w:t>规格参数</w:t>
            </w:r>
          </w:p>
        </w:tc>
        <w:tc>
          <w:tcPr>
            <w:tcW w:w="860" w:type="dxa"/>
            <w:tcBorders>
              <w:top w:val="single" w:color="000000" w:sz="4" w:space="0"/>
              <w:left w:val="single" w:color="000000" w:sz="4" w:space="0"/>
              <w:bottom w:val="single" w:color="000000" w:sz="4" w:space="0"/>
              <w:right w:val="single" w:color="000000" w:sz="4" w:space="0"/>
            </w:tcBorders>
            <w:vAlign w:val="bottom"/>
          </w:tcPr>
          <w:p w14:paraId="4C0C3DE7">
            <w:pPr>
              <w:tabs>
                <w:tab w:val="left" w:pos="993"/>
                <w:tab w:val="left" w:pos="1134"/>
                <w:tab w:val="left" w:pos="1418"/>
              </w:tabs>
              <w:spacing w:line="400" w:lineRule="exact"/>
              <w:jc w:val="center"/>
              <w:rPr>
                <w:rFonts w:ascii="Times New Roman" w:hAnsi="Times New Roman" w:eastAsia="方正仿宋_GBK"/>
                <w:snapToGrid w:val="0"/>
                <w:spacing w:val="4"/>
                <w:sz w:val="24"/>
                <w:szCs w:val="24"/>
                <w:lang w:eastAsia="zh-CN"/>
              </w:rPr>
            </w:pPr>
            <w:r>
              <w:rPr>
                <w:rFonts w:hint="eastAsia" w:ascii="Times New Roman" w:hAnsi="Times New Roman" w:eastAsia="方正仿宋_GBK"/>
                <w:snapToGrid w:val="0"/>
                <w:spacing w:val="4"/>
                <w:sz w:val="24"/>
                <w:szCs w:val="24"/>
                <w:lang w:eastAsia="zh-CN"/>
              </w:rPr>
              <w:t>数量</w:t>
            </w:r>
          </w:p>
        </w:tc>
        <w:tc>
          <w:tcPr>
            <w:tcW w:w="730" w:type="dxa"/>
            <w:tcBorders>
              <w:top w:val="single" w:color="000000" w:sz="4" w:space="0"/>
              <w:left w:val="single" w:color="000000" w:sz="4" w:space="0"/>
              <w:bottom w:val="single" w:color="000000" w:sz="4" w:space="0"/>
              <w:right w:val="single" w:color="000000" w:sz="4" w:space="0"/>
            </w:tcBorders>
            <w:vAlign w:val="bottom"/>
          </w:tcPr>
          <w:p w14:paraId="3549011F">
            <w:pPr>
              <w:tabs>
                <w:tab w:val="left" w:pos="993"/>
                <w:tab w:val="left" w:pos="1134"/>
                <w:tab w:val="left" w:pos="1418"/>
              </w:tabs>
              <w:spacing w:line="400" w:lineRule="exact"/>
              <w:jc w:val="center"/>
              <w:rPr>
                <w:rFonts w:ascii="Times New Roman" w:hAnsi="Times New Roman" w:eastAsia="方正仿宋_GBK"/>
                <w:snapToGrid w:val="0"/>
                <w:spacing w:val="4"/>
                <w:sz w:val="24"/>
                <w:szCs w:val="24"/>
                <w:lang w:eastAsia="zh-CN"/>
              </w:rPr>
            </w:pPr>
            <w:r>
              <w:rPr>
                <w:rFonts w:hint="eastAsia" w:ascii="Times New Roman" w:hAnsi="Times New Roman" w:eastAsia="方正仿宋_GBK"/>
                <w:snapToGrid w:val="0"/>
                <w:spacing w:val="4"/>
                <w:sz w:val="24"/>
                <w:szCs w:val="24"/>
                <w:lang w:eastAsia="zh-CN"/>
              </w:rPr>
              <w:t>单位</w:t>
            </w:r>
          </w:p>
        </w:tc>
      </w:tr>
      <w:tr w14:paraId="01CCC24F">
        <w:tblPrEx>
          <w:tblCellMar>
            <w:top w:w="0" w:type="dxa"/>
            <w:left w:w="108" w:type="dxa"/>
            <w:bottom w:w="0" w:type="dxa"/>
            <w:right w:w="108" w:type="dxa"/>
          </w:tblCellMar>
        </w:tblPrEx>
        <w:trPr>
          <w:trHeight w:val="208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14:paraId="4A91850F">
            <w:pPr>
              <w:tabs>
                <w:tab w:val="left" w:pos="993"/>
                <w:tab w:val="left" w:pos="1134"/>
                <w:tab w:val="left" w:pos="1418"/>
              </w:tabs>
              <w:spacing w:line="400" w:lineRule="exact"/>
              <w:jc w:val="center"/>
              <w:rPr>
                <w:rFonts w:ascii="Times New Roman" w:hAnsi="Times New Roman" w:eastAsia="方正仿宋_GBK"/>
                <w:snapToGrid w:val="0"/>
                <w:spacing w:val="4"/>
                <w:sz w:val="24"/>
                <w:szCs w:val="24"/>
                <w:lang w:eastAsia="zh-CN"/>
              </w:rPr>
            </w:pPr>
            <w:r>
              <w:rPr>
                <w:rFonts w:hint="eastAsia" w:ascii="Times New Roman" w:hAnsi="Times New Roman" w:eastAsia="方正仿宋_GBK"/>
                <w:snapToGrid w:val="0"/>
                <w:spacing w:val="4"/>
                <w:sz w:val="24"/>
                <w:szCs w:val="24"/>
                <w:lang w:val="en-US" w:eastAsia="zh-CN"/>
              </w:rPr>
              <w:t>1</w:t>
            </w:r>
          </w:p>
        </w:tc>
        <w:tc>
          <w:tcPr>
            <w:tcW w:w="1038" w:type="dxa"/>
            <w:tcBorders>
              <w:top w:val="single" w:color="000000" w:sz="4" w:space="0"/>
              <w:left w:val="single" w:color="000000" w:sz="4" w:space="0"/>
              <w:bottom w:val="single" w:color="000000" w:sz="4" w:space="0"/>
              <w:right w:val="single" w:color="000000" w:sz="4" w:space="0"/>
            </w:tcBorders>
            <w:vAlign w:val="center"/>
          </w:tcPr>
          <w:p w14:paraId="1BB733AD">
            <w:pPr>
              <w:tabs>
                <w:tab w:val="left" w:pos="993"/>
                <w:tab w:val="left" w:pos="1134"/>
                <w:tab w:val="left" w:pos="1418"/>
              </w:tabs>
              <w:spacing w:line="400" w:lineRule="exact"/>
              <w:jc w:val="center"/>
              <w:rPr>
                <w:rFonts w:ascii="Times New Roman" w:hAnsi="Times New Roman" w:eastAsia="方正仿宋_GBK"/>
                <w:snapToGrid w:val="0"/>
                <w:spacing w:val="4"/>
                <w:sz w:val="24"/>
                <w:szCs w:val="24"/>
                <w:lang w:eastAsia="zh-CN"/>
              </w:rPr>
            </w:pPr>
            <w:bookmarkStart w:id="0" w:name="_GoBack"/>
            <w:r>
              <w:rPr>
                <w:rFonts w:hint="eastAsia" w:ascii="Times New Roman" w:hAnsi="Times New Roman" w:eastAsia="方正仿宋_GBK"/>
                <w:snapToGrid w:val="0"/>
                <w:spacing w:val="4"/>
                <w:sz w:val="24"/>
                <w:szCs w:val="24"/>
                <w:lang w:eastAsia="zh-CN"/>
              </w:rPr>
              <w:t>金融风险管理系统</w:t>
            </w:r>
            <w:bookmarkEnd w:id="0"/>
          </w:p>
        </w:tc>
        <w:tc>
          <w:tcPr>
            <w:tcW w:w="5492" w:type="dxa"/>
            <w:tcBorders>
              <w:top w:val="single" w:color="000000" w:sz="4" w:space="0"/>
              <w:left w:val="single" w:color="000000" w:sz="4" w:space="0"/>
              <w:bottom w:val="single" w:color="000000" w:sz="4" w:space="0"/>
              <w:right w:val="single" w:color="000000" w:sz="4" w:space="0"/>
            </w:tcBorders>
            <w:vAlign w:val="center"/>
          </w:tcPr>
          <w:p w14:paraId="6603D073">
            <w:pPr>
              <w:tabs>
                <w:tab w:val="left" w:pos="993"/>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1. 提供完善的教学资源功能，包括金融风险概述、度量、工具、信用风险、市场风险、利率风险、流动性风险、汇率风险、操作风险等教学资源，同时包括各种模型介绍（KMV模型、Credit_Risk模型、蒙特卡洛模型等）和前沿案例模型介绍。</w:t>
            </w:r>
          </w:p>
          <w:p w14:paraId="5C5A288D">
            <w:pPr>
              <w:tabs>
                <w:tab w:val="left" w:pos="993"/>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2.提供金融风险理论知识闯关测试</w:t>
            </w:r>
          </w:p>
          <w:p w14:paraId="3D19E389">
            <w:pPr>
              <w:tabs>
                <w:tab w:val="left" w:pos="993"/>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3.提供人物对话情景再现，使学生能够模仿职场环境，使用行业真实数据解决实际问题。</w:t>
            </w:r>
          </w:p>
          <w:p w14:paraId="75979AD4">
            <w:pPr>
              <w:tabs>
                <w:tab w:val="left" w:pos="993"/>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4. 提供具有讨论功能的案例室功能，教师端能够发布案例，案例带有详细的起因、过程，结果等；增加案例设计讨论内容，最终以讨论的形式进行案例讨论，每个学生可以填写自己的答案进行提交。分析类案例文后所附讨论题目的参考答案可由教师设置是否对学生可见。</w:t>
            </w:r>
          </w:p>
          <w:p w14:paraId="6C247399">
            <w:pPr>
              <w:tabs>
                <w:tab w:val="left" w:pos="993"/>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案例室提供默认教学案例如下：</w:t>
            </w:r>
          </w:p>
          <w:p w14:paraId="17891002">
            <w:pPr>
              <w:tabs>
                <w:tab w:val="left" w:pos="312"/>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1)</w:t>
            </w:r>
            <w:r>
              <w:rPr>
                <w:rFonts w:hint="eastAsia" w:ascii="仿宋" w:hAnsi="仿宋" w:eastAsia="仿宋" w:cs="仿宋"/>
                <w:snapToGrid w:val="0"/>
                <w:spacing w:val="4"/>
                <w:sz w:val="18"/>
                <w:szCs w:val="18"/>
                <w:lang w:eastAsia="zh-CN"/>
              </w:rPr>
              <w:tab/>
            </w:r>
            <w:r>
              <w:rPr>
                <w:rFonts w:hint="eastAsia" w:ascii="仿宋" w:hAnsi="仿宋" w:eastAsia="仿宋" w:cs="仿宋"/>
                <w:snapToGrid w:val="0"/>
                <w:spacing w:val="4"/>
                <w:sz w:val="18"/>
                <w:szCs w:val="18"/>
                <w:lang w:eastAsia="zh-CN"/>
              </w:rPr>
              <w:t>案例：美国次贷危机</w:t>
            </w:r>
          </w:p>
          <w:p w14:paraId="4E4A1001">
            <w:pPr>
              <w:tabs>
                <w:tab w:val="left" w:pos="312"/>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2)</w:t>
            </w:r>
            <w:r>
              <w:rPr>
                <w:rFonts w:hint="eastAsia" w:ascii="仿宋" w:hAnsi="仿宋" w:eastAsia="仿宋" w:cs="仿宋"/>
                <w:snapToGrid w:val="0"/>
                <w:spacing w:val="4"/>
                <w:sz w:val="18"/>
                <w:szCs w:val="18"/>
                <w:lang w:eastAsia="zh-CN"/>
              </w:rPr>
              <w:tab/>
            </w:r>
            <w:r>
              <w:rPr>
                <w:rFonts w:hint="eastAsia" w:ascii="仿宋" w:hAnsi="仿宋" w:eastAsia="仿宋" w:cs="仿宋"/>
                <w:snapToGrid w:val="0"/>
                <w:spacing w:val="4"/>
                <w:sz w:val="18"/>
                <w:szCs w:val="18"/>
                <w:lang w:eastAsia="zh-CN"/>
              </w:rPr>
              <w:t>实验：VaR历史模拟法 模型构造法 蒙特卡罗模拟法、极值理论</w:t>
            </w:r>
          </w:p>
          <w:p w14:paraId="35CEE0FF">
            <w:pPr>
              <w:tabs>
                <w:tab w:val="left" w:pos="312"/>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3)</w:t>
            </w:r>
            <w:r>
              <w:rPr>
                <w:rFonts w:hint="eastAsia" w:ascii="仿宋" w:hAnsi="仿宋" w:eastAsia="仿宋" w:cs="仿宋"/>
                <w:snapToGrid w:val="0"/>
                <w:spacing w:val="4"/>
                <w:sz w:val="18"/>
                <w:szCs w:val="18"/>
                <w:lang w:eastAsia="zh-CN"/>
              </w:rPr>
              <w:tab/>
            </w:r>
            <w:r>
              <w:rPr>
                <w:rFonts w:hint="eastAsia" w:ascii="仿宋" w:hAnsi="仿宋" w:eastAsia="仿宋" w:cs="仿宋"/>
                <w:snapToGrid w:val="0"/>
                <w:spacing w:val="4"/>
                <w:sz w:val="18"/>
                <w:szCs w:val="18"/>
                <w:lang w:eastAsia="zh-CN"/>
              </w:rPr>
              <w:t>案例：深南电与高盛的对赌</w:t>
            </w:r>
          </w:p>
          <w:p w14:paraId="138F34DC">
            <w:pPr>
              <w:tabs>
                <w:tab w:val="left" w:pos="312"/>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4)</w:t>
            </w:r>
            <w:r>
              <w:rPr>
                <w:rFonts w:hint="eastAsia" w:ascii="仿宋" w:hAnsi="仿宋" w:eastAsia="仿宋" w:cs="仿宋"/>
                <w:snapToGrid w:val="0"/>
                <w:spacing w:val="4"/>
                <w:sz w:val="18"/>
                <w:szCs w:val="18"/>
                <w:lang w:eastAsia="zh-CN"/>
              </w:rPr>
              <w:tab/>
            </w:r>
            <w:r>
              <w:rPr>
                <w:rFonts w:hint="eastAsia" w:ascii="仿宋" w:hAnsi="仿宋" w:eastAsia="仿宋" w:cs="仿宋"/>
                <w:snapToGrid w:val="0"/>
                <w:spacing w:val="4"/>
                <w:sz w:val="18"/>
                <w:szCs w:val="18"/>
                <w:lang w:eastAsia="zh-CN"/>
              </w:rPr>
              <w:t>实验：用KMV模型估计信用风险</w:t>
            </w:r>
          </w:p>
          <w:p w14:paraId="4F769544">
            <w:pPr>
              <w:tabs>
                <w:tab w:val="left" w:pos="312"/>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5)</w:t>
            </w:r>
            <w:r>
              <w:rPr>
                <w:rFonts w:hint="eastAsia" w:ascii="仿宋" w:hAnsi="仿宋" w:eastAsia="仿宋" w:cs="仿宋"/>
                <w:snapToGrid w:val="0"/>
                <w:spacing w:val="4"/>
                <w:sz w:val="18"/>
                <w:szCs w:val="18"/>
                <w:lang w:eastAsia="zh-CN"/>
              </w:rPr>
              <w:tab/>
            </w:r>
            <w:r>
              <w:rPr>
                <w:rFonts w:hint="eastAsia" w:ascii="仿宋" w:hAnsi="仿宋" w:eastAsia="仿宋" w:cs="仿宋"/>
                <w:snapToGrid w:val="0"/>
                <w:spacing w:val="4"/>
                <w:sz w:val="18"/>
                <w:szCs w:val="18"/>
                <w:lang w:eastAsia="zh-CN"/>
              </w:rPr>
              <w:t>实验：CreditMetrics模型计算信用资产未来的价值分布及cVaR</w:t>
            </w:r>
          </w:p>
          <w:p w14:paraId="742227BC">
            <w:pPr>
              <w:tabs>
                <w:tab w:val="left" w:pos="312"/>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6)</w:t>
            </w:r>
            <w:r>
              <w:rPr>
                <w:rFonts w:hint="eastAsia" w:ascii="仿宋" w:hAnsi="仿宋" w:eastAsia="仿宋" w:cs="仿宋"/>
                <w:snapToGrid w:val="0"/>
                <w:spacing w:val="4"/>
                <w:sz w:val="18"/>
                <w:szCs w:val="18"/>
                <w:lang w:eastAsia="zh-CN"/>
              </w:rPr>
              <w:tab/>
            </w:r>
            <w:r>
              <w:rPr>
                <w:rFonts w:hint="eastAsia" w:ascii="仿宋" w:hAnsi="仿宋" w:eastAsia="仿宋" w:cs="仿宋"/>
                <w:snapToGrid w:val="0"/>
                <w:spacing w:val="4"/>
                <w:sz w:val="18"/>
                <w:szCs w:val="18"/>
                <w:lang w:eastAsia="zh-CN"/>
              </w:rPr>
              <w:t>案例：信用风险评估模型平台实训</w:t>
            </w:r>
          </w:p>
          <w:p w14:paraId="2F1B266D">
            <w:pPr>
              <w:tabs>
                <w:tab w:val="left" w:pos="312"/>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7)</w:t>
            </w:r>
            <w:r>
              <w:rPr>
                <w:rFonts w:hint="eastAsia" w:ascii="仿宋" w:hAnsi="仿宋" w:eastAsia="仿宋" w:cs="仿宋"/>
                <w:snapToGrid w:val="0"/>
                <w:spacing w:val="4"/>
                <w:sz w:val="18"/>
                <w:szCs w:val="18"/>
                <w:lang w:eastAsia="zh-CN"/>
              </w:rPr>
              <w:tab/>
            </w:r>
            <w:r>
              <w:rPr>
                <w:rFonts w:hint="eastAsia" w:ascii="仿宋" w:hAnsi="仿宋" w:eastAsia="仿宋" w:cs="仿宋"/>
                <w:snapToGrid w:val="0"/>
                <w:spacing w:val="4"/>
                <w:sz w:val="18"/>
                <w:szCs w:val="18"/>
                <w:lang w:eastAsia="zh-CN"/>
              </w:rPr>
              <w:t>实验：利用久期、凸性及主成分分析计算中长期国债VaR</w:t>
            </w:r>
          </w:p>
          <w:p w14:paraId="79912C1C">
            <w:pPr>
              <w:tabs>
                <w:tab w:val="left" w:pos="312"/>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8)</w:t>
            </w:r>
            <w:r>
              <w:rPr>
                <w:rFonts w:hint="eastAsia" w:ascii="仿宋" w:hAnsi="仿宋" w:eastAsia="仿宋" w:cs="仿宋"/>
                <w:snapToGrid w:val="0"/>
                <w:spacing w:val="4"/>
                <w:sz w:val="18"/>
                <w:szCs w:val="18"/>
                <w:lang w:eastAsia="zh-CN"/>
              </w:rPr>
              <w:tab/>
            </w:r>
            <w:r>
              <w:rPr>
                <w:rFonts w:hint="eastAsia" w:ascii="仿宋" w:hAnsi="仿宋" w:eastAsia="仿宋" w:cs="仿宋"/>
                <w:snapToGrid w:val="0"/>
                <w:spacing w:val="4"/>
                <w:sz w:val="18"/>
                <w:szCs w:val="18"/>
                <w:lang w:eastAsia="zh-CN"/>
              </w:rPr>
              <w:t>案例：流动性风险</w:t>
            </w:r>
          </w:p>
          <w:p w14:paraId="4BB6D502">
            <w:pPr>
              <w:tabs>
                <w:tab w:val="left" w:pos="312"/>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9)</w:t>
            </w:r>
            <w:r>
              <w:rPr>
                <w:rFonts w:hint="eastAsia" w:ascii="仿宋" w:hAnsi="仿宋" w:eastAsia="仿宋" w:cs="仿宋"/>
                <w:snapToGrid w:val="0"/>
                <w:spacing w:val="4"/>
                <w:sz w:val="18"/>
                <w:szCs w:val="18"/>
                <w:lang w:eastAsia="zh-CN"/>
              </w:rPr>
              <w:tab/>
            </w:r>
            <w:r>
              <w:rPr>
                <w:rFonts w:hint="eastAsia" w:ascii="仿宋" w:hAnsi="仿宋" w:eastAsia="仿宋" w:cs="仿宋"/>
                <w:snapToGrid w:val="0"/>
                <w:spacing w:val="4"/>
                <w:sz w:val="18"/>
                <w:szCs w:val="18"/>
                <w:lang w:eastAsia="zh-CN"/>
              </w:rPr>
              <w:t>案例：汇率风险</w:t>
            </w:r>
          </w:p>
          <w:p w14:paraId="1E14B92A">
            <w:pPr>
              <w:tabs>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10) 案例：光大乌龙指事件</w:t>
            </w:r>
          </w:p>
          <w:p w14:paraId="4CC8BA59">
            <w:pPr>
              <w:tabs>
                <w:tab w:val="left" w:pos="537"/>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11)</w:t>
            </w:r>
            <w:r>
              <w:rPr>
                <w:rFonts w:hint="eastAsia" w:ascii="仿宋" w:hAnsi="仿宋" w:eastAsia="仿宋" w:cs="仿宋"/>
                <w:snapToGrid w:val="0"/>
                <w:spacing w:val="4"/>
                <w:sz w:val="18"/>
                <w:szCs w:val="18"/>
                <w:lang w:eastAsia="zh-CN"/>
              </w:rPr>
              <w:tab/>
            </w:r>
            <w:r>
              <w:rPr>
                <w:rFonts w:hint="eastAsia" w:ascii="仿宋" w:hAnsi="仿宋" w:eastAsia="仿宋" w:cs="仿宋"/>
                <w:snapToGrid w:val="0"/>
                <w:spacing w:val="4"/>
                <w:sz w:val="18"/>
                <w:szCs w:val="18"/>
                <w:lang w:eastAsia="zh-CN"/>
              </w:rPr>
              <w:t>案例：长期资本管理公司的衰败</w:t>
            </w:r>
          </w:p>
          <w:p w14:paraId="04C29F9B">
            <w:pPr>
              <w:tabs>
                <w:tab w:val="left" w:pos="537"/>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12)</w:t>
            </w:r>
            <w:r>
              <w:rPr>
                <w:rFonts w:hint="eastAsia" w:ascii="仿宋" w:hAnsi="仿宋" w:eastAsia="仿宋" w:cs="仿宋"/>
                <w:snapToGrid w:val="0"/>
                <w:spacing w:val="4"/>
                <w:sz w:val="18"/>
                <w:szCs w:val="18"/>
                <w:lang w:eastAsia="zh-CN"/>
              </w:rPr>
              <w:tab/>
            </w:r>
            <w:r>
              <w:rPr>
                <w:rFonts w:hint="eastAsia" w:ascii="仿宋" w:hAnsi="仿宋" w:eastAsia="仿宋" w:cs="仿宋"/>
                <w:snapToGrid w:val="0"/>
                <w:spacing w:val="4"/>
                <w:sz w:val="18"/>
                <w:szCs w:val="18"/>
                <w:lang w:eastAsia="zh-CN"/>
              </w:rPr>
              <w:t>实验：用基本指标法、标准法、高级计量法估计操作风险</w:t>
            </w:r>
          </w:p>
          <w:p w14:paraId="4F2F20AB">
            <w:pPr>
              <w:tabs>
                <w:tab w:val="left" w:pos="993"/>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5. 金融风险核心的实训室功能。包括素材库、模板库、信用风险实训、市场风险实训、操作风险、利率风险实训、流动性风险实训和汇率风险实训。学生完成实训后提供对应实训报告下载功能，内容包括对应实训板块的总分、学生得分、学生对应操作的优化建议和评价等</w:t>
            </w:r>
          </w:p>
          <w:p w14:paraId="6308C774">
            <w:pPr>
              <w:tabs>
                <w:tab w:val="left" w:pos="993"/>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 xml:space="preserve"> 1）素材库：股票期货实验数据、现金贷款数据、信用卡数据和消费贷款数据；</w:t>
            </w:r>
          </w:p>
          <w:p w14:paraId="5821C1C8">
            <w:pPr>
              <w:tabs>
                <w:tab w:val="left" w:pos="993"/>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 xml:space="preserve"> 2）实验模板：内置信用风险违约率计算、信用风险Var计算、方差协方差计算Var、蒙特卡罗计算Var、历史模拟法计算Var、credit Risk+计算Var、KMV计算违约概率、credit Metrics计算Var、Atman Z-scorse计算违约概率模型。教师也可根据需要自己创建；</w:t>
            </w:r>
          </w:p>
          <w:p w14:paraId="10D43ED4">
            <w:pPr>
              <w:tabs>
                <w:tab w:val="left" w:pos="993"/>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 xml:space="preserve"> 3）信用风险实训：根据设置好模板进行创建实验，计算对应模型的违约率实验；支持信用风险VaR计算（Credit Metrics模型和Credit Risk+ 模型）和信用风险违约概率计算（KMV模型、Probit模型、Altman Z-scorse模型和线性概率模型）；</w:t>
            </w:r>
          </w:p>
          <w:p w14:paraId="205FA5E4">
            <w:pPr>
              <w:tabs>
                <w:tab w:val="left" w:pos="993"/>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 xml:space="preserve"> 4）投资风险实训：投资风险是指在投资过程中，由于各种不确定性因素，投资者可能面临收益损失甚至本金损失的风险。这种风险的存在是由于未来的投资收益具有不确定性，可能会受到多种因素的影响，如市场波动、利率变化、公司经营状况、政策调整等。</w:t>
            </w:r>
          </w:p>
          <w:p w14:paraId="33E5F398">
            <w:pPr>
              <w:tabs>
                <w:tab w:val="left" w:pos="993"/>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5）操作风险实训：不同规模商业银行和上市公司的参数法、标准法、替代标准法和高级计量法使用的实验设计；</w:t>
            </w:r>
          </w:p>
          <w:p w14:paraId="4FE3A321">
            <w:pPr>
              <w:tabs>
                <w:tab w:val="left" w:pos="993"/>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6）市场风险练习：可以进行市场相关的风险实训；</w:t>
            </w:r>
          </w:p>
          <w:p w14:paraId="0527BE6F">
            <w:pPr>
              <w:tabs>
                <w:tab w:val="left" w:pos="993"/>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7）利率风险练习：可以进行利率相关的风险实训；</w:t>
            </w:r>
          </w:p>
          <w:p w14:paraId="0322CFAB">
            <w:pPr>
              <w:tabs>
                <w:tab w:val="left" w:pos="993"/>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8）流动性风险练习：可以进行流动性相关的风险实训；</w:t>
            </w:r>
          </w:p>
          <w:p w14:paraId="47D160C4">
            <w:pPr>
              <w:tabs>
                <w:tab w:val="left" w:pos="993"/>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9）汇率风险练习：可以进行汇率相关的风险实训；</w:t>
            </w:r>
          </w:p>
          <w:p w14:paraId="79548200">
            <w:pPr>
              <w:tabs>
                <w:tab w:val="left" w:pos="993"/>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6.前沿案例学习实训，让学生更深入了解目前社区更前沿的分析案例。</w:t>
            </w:r>
          </w:p>
          <w:p w14:paraId="7C62E5EB">
            <w:pPr>
              <w:tabs>
                <w:tab w:val="left" w:pos="993"/>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1）以违约率度量为基础的信用评级。</w:t>
            </w:r>
          </w:p>
          <w:p w14:paraId="2753B87E">
            <w:pPr>
              <w:tabs>
                <w:tab w:val="left" w:pos="993"/>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2）提供多种自主选择的模型，包括自适应增强Boosting模型、背景梯度提升回归模型、决策树模型、极限随机树模型、高斯贝叶斯模型、套袋模型、随机森林模型、多数投票算法、逻辑回归模型、神经网络模型以及建模数据，软件会根据用户的选择自动计算结果。</w:t>
            </w:r>
          </w:p>
          <w:p w14:paraId="5C5BACDF">
            <w:pPr>
              <w:tabs>
                <w:tab w:val="left" w:pos="993"/>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 xml:space="preserve">3）实现的功能包括选择数据、建立模型、检验模型、模型分析、违约率柱状图等。 </w:t>
            </w:r>
          </w:p>
          <w:p w14:paraId="2E657ED0">
            <w:pPr>
              <w:tabs>
                <w:tab w:val="left" w:pos="993"/>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4）能实现根据建模结果，用户可以反复选择不同数据套用模型进行计算，或者检验模型等功能。</w:t>
            </w:r>
          </w:p>
          <w:p w14:paraId="3B9633BA">
            <w:pPr>
              <w:tabs>
                <w:tab w:val="left" w:pos="993"/>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5）计算结果包括违约率、误判概率以及各模型的重要指标等。每个模型都具备详细的模型介绍，以及对于建模结果的分析。</w:t>
            </w:r>
          </w:p>
          <w:p w14:paraId="5E241C37">
            <w:pPr>
              <w:tabs>
                <w:tab w:val="left" w:pos="993"/>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7.拥有相关的教学辅助模块，实现讨论区、帮助、课程管理、学生管理、作业管理、题库管理、考试管理、教学资源管理、案例管理和实训管理。</w:t>
            </w:r>
          </w:p>
          <w:p w14:paraId="59A9F2CF">
            <w:pPr>
              <w:tabs>
                <w:tab w:val="left" w:pos="993"/>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8.系统权限严格分明，基础设置简单灵活，操作界面友好、易用，数据结构稳定。</w:t>
            </w:r>
          </w:p>
          <w:p w14:paraId="3878D359">
            <w:pPr>
              <w:tabs>
                <w:tab w:val="left" w:pos="993"/>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9.具有跨平台性，支持在Windows, Linux，Unix下的使用。</w:t>
            </w:r>
          </w:p>
          <w:p w14:paraId="4777AD06">
            <w:pPr>
              <w:tabs>
                <w:tab w:val="left" w:pos="993"/>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10.教师端可随时查看当日学生上线学习情况，实验完成情况。在一段时期的实验课程结束后，提供每个学生的线上学习总评分及各模块最终评分。</w:t>
            </w:r>
          </w:p>
          <w:p w14:paraId="26E01D8B">
            <w:pPr>
              <w:tabs>
                <w:tab w:val="left" w:pos="993"/>
                <w:tab w:val="left" w:pos="1134"/>
                <w:tab w:val="left" w:pos="1418"/>
              </w:tabs>
              <w:adjustRightInd w:val="0"/>
              <w:snapToGrid w:val="0"/>
              <w:spacing w:after="0" w:line="240" w:lineRule="auto"/>
              <w:rPr>
                <w:rFonts w:hint="eastAsia" w:ascii="仿宋" w:hAnsi="仿宋" w:eastAsia="仿宋" w:cs="仿宋"/>
                <w:snapToGrid w:val="0"/>
                <w:spacing w:val="4"/>
                <w:sz w:val="18"/>
                <w:szCs w:val="18"/>
                <w:lang w:eastAsia="zh-CN"/>
              </w:rPr>
            </w:pPr>
            <w:r>
              <w:rPr>
                <w:rFonts w:hint="eastAsia" w:ascii="仿宋" w:hAnsi="仿宋" w:eastAsia="仿宋" w:cs="仿宋"/>
                <w:snapToGrid w:val="0"/>
                <w:spacing w:val="4"/>
                <w:sz w:val="18"/>
                <w:szCs w:val="18"/>
                <w:lang w:eastAsia="zh-CN"/>
              </w:rPr>
              <w:t>11.系统服务期1年，服务期内软件系统及其配套实验数据案例免费升级和维护。</w:t>
            </w: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07D6A585">
            <w:pPr>
              <w:tabs>
                <w:tab w:val="left" w:pos="993"/>
                <w:tab w:val="left" w:pos="1134"/>
                <w:tab w:val="left" w:pos="1418"/>
              </w:tabs>
              <w:spacing w:line="400" w:lineRule="exact"/>
              <w:jc w:val="center"/>
              <w:rPr>
                <w:rFonts w:ascii="Times New Roman" w:hAnsi="Times New Roman" w:eastAsia="方正仿宋_GBK"/>
                <w:snapToGrid w:val="0"/>
                <w:spacing w:val="4"/>
                <w:sz w:val="24"/>
                <w:szCs w:val="24"/>
                <w:lang w:eastAsia="zh-CN"/>
              </w:rPr>
            </w:pPr>
            <w:r>
              <w:rPr>
                <w:rFonts w:hint="eastAsia" w:ascii="Times New Roman" w:hAnsi="Times New Roman" w:eastAsia="方正仿宋_GBK"/>
                <w:snapToGrid w:val="0"/>
                <w:spacing w:val="4"/>
                <w:sz w:val="24"/>
                <w:szCs w:val="24"/>
                <w:lang w:eastAsia="zh-CN"/>
              </w:rPr>
              <w:t xml:space="preserve">1 </w:t>
            </w:r>
          </w:p>
        </w:tc>
        <w:tc>
          <w:tcPr>
            <w:tcW w:w="730" w:type="dxa"/>
            <w:tcBorders>
              <w:top w:val="single" w:color="000000" w:sz="4" w:space="0"/>
              <w:left w:val="single" w:color="000000" w:sz="4" w:space="0"/>
              <w:bottom w:val="single" w:color="000000" w:sz="4" w:space="0"/>
              <w:right w:val="single" w:color="000000" w:sz="4" w:space="0"/>
            </w:tcBorders>
            <w:noWrap/>
            <w:vAlign w:val="center"/>
          </w:tcPr>
          <w:p w14:paraId="6E39C8F9">
            <w:pPr>
              <w:tabs>
                <w:tab w:val="left" w:pos="993"/>
                <w:tab w:val="left" w:pos="1134"/>
                <w:tab w:val="left" w:pos="1418"/>
              </w:tabs>
              <w:spacing w:line="400" w:lineRule="exact"/>
              <w:jc w:val="center"/>
              <w:rPr>
                <w:rFonts w:ascii="Times New Roman" w:hAnsi="Times New Roman" w:eastAsia="方正仿宋_GBK"/>
                <w:snapToGrid w:val="0"/>
                <w:spacing w:val="4"/>
                <w:sz w:val="24"/>
                <w:szCs w:val="24"/>
                <w:lang w:eastAsia="zh-CN"/>
              </w:rPr>
            </w:pPr>
            <w:r>
              <w:rPr>
                <w:rFonts w:hint="eastAsia" w:ascii="Times New Roman" w:hAnsi="Times New Roman" w:eastAsia="方正仿宋_GBK"/>
                <w:snapToGrid w:val="0"/>
                <w:spacing w:val="4"/>
                <w:sz w:val="24"/>
                <w:szCs w:val="24"/>
                <w:lang w:eastAsia="zh-CN"/>
              </w:rPr>
              <w:t xml:space="preserve"> 套</w:t>
            </w:r>
          </w:p>
        </w:tc>
      </w:tr>
    </w:tbl>
    <w:p w14:paraId="4C809F8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5194C"/>
    <w:rsid w:val="3AE51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imes New Roman"/>
      <w:sz w:val="22"/>
      <w:szCs w:val="22"/>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2025-04-15T10:57:00Z</dcterms:created>
  <dc:creator>昀昀的昀朵</dc:creator>
  <cp:lastModifiedBy>昀昀的昀朵</cp:lastModifiedBy>
  <dcterms:modified xsi:type="dcterms:W3CDTF">2025-04-15T10:57:19Z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1A5EAD347AA1415DA5C2C9E6069FF38E_11</vt:lpwstr>
  </property>
  <property fmtid="{D5CDD505-2E9C-101B-9397-08002B2CF9AE}" pid="4" name="KSOTemplateDocerSaveRecord">
    <vt:lpwstr>eyJoZGlkIjoiYzMwNzc5YjhlMDk4MzZlNzNlNzE5MjdkYWIwNDQ0ODkiLCJ1c2VySWQiOiI0MDYxNTI3MDEifQ==</vt:lpwstr>
  </property>
</Properties>
</file>