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5ED317">
      <w:pPr>
        <w:keepNext w:val="0"/>
        <w:keepLines w:val="0"/>
        <w:pageBreakBefore w:val="0"/>
        <w:kinsoku/>
        <w:wordWrap/>
        <w:overflowPunct/>
        <w:topLinePunct w:val="0"/>
        <w:bidi w:val="0"/>
        <w:spacing w:line="560" w:lineRule="exact"/>
        <w:ind w:firstLine="640" w:firstLineChars="200"/>
        <w:jc w:val="center"/>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伊犁州无线电管理中心点对点</w:t>
      </w:r>
    </w:p>
    <w:p w14:paraId="630C1685">
      <w:pPr>
        <w:keepNext w:val="0"/>
        <w:keepLines w:val="0"/>
        <w:pageBreakBefore w:val="0"/>
        <w:kinsoku/>
        <w:wordWrap/>
        <w:overflowPunct/>
        <w:topLinePunct w:val="0"/>
        <w:bidi w:val="0"/>
        <w:spacing w:line="560" w:lineRule="exact"/>
        <w:ind w:firstLine="640" w:firstLineChars="200"/>
        <w:jc w:val="center"/>
        <w:textAlignment w:val="auto"/>
        <w:rPr>
          <w:rFonts w:hint="default" w:ascii="Times New Roman" w:hAnsi="Times New Roman" w:eastAsia="仿宋_GB2312"/>
          <w:sz w:val="32"/>
          <w:szCs w:val="32"/>
          <w:lang w:val="en-US"/>
        </w:rPr>
      </w:pPr>
      <w:r>
        <w:rPr>
          <w:rFonts w:hint="eastAsia" w:ascii="Times New Roman" w:hAnsi="Times New Roman" w:eastAsia="仿宋_GB2312"/>
          <w:sz w:val="32"/>
          <w:szCs w:val="32"/>
          <w:lang w:val="en-US" w:eastAsia="zh-CN"/>
        </w:rPr>
        <w:t>数据专线链路租赁项目-2025-1</w:t>
      </w:r>
    </w:p>
    <w:p w14:paraId="23139A6E">
      <w:pPr>
        <w:jc w:val="both"/>
        <w:rPr>
          <w:rFonts w:hint="eastAsia" w:ascii="方正小标宋简体" w:hAnsi="方正小标宋简体" w:eastAsia="方正小标宋简体" w:cs="方正小标宋简体"/>
          <w:sz w:val="36"/>
          <w:szCs w:val="36"/>
          <w:lang w:eastAsia="zh-CN"/>
        </w:rPr>
      </w:pPr>
    </w:p>
    <w:p w14:paraId="4C58A552">
      <w:pPr>
        <w:pStyle w:val="2"/>
        <w:keepNext w:val="0"/>
        <w:keepLines w:val="0"/>
        <w:pageBreakBefore w:val="0"/>
        <w:widowControl/>
        <w:shd w:val="clear" w:color="auto" w:fill="FFFFFF"/>
        <w:kinsoku/>
        <w:wordWrap/>
        <w:overflowPunct/>
        <w:topLinePunct w:val="0"/>
        <w:bidi w:val="0"/>
        <w:spacing w:before="0" w:beforeAutospacing="0" w:after="0" w:afterAutospacing="0" w:line="560" w:lineRule="exact"/>
        <w:ind w:firstLine="640" w:firstLineChars="200"/>
        <w:jc w:val="both"/>
        <w:textAlignment w:val="auto"/>
        <w:rPr>
          <w:rFonts w:hint="default" w:ascii="Times New Roman" w:hAnsi="Times New Roman" w:eastAsia="黑体"/>
          <w:b w:val="0"/>
          <w:bCs/>
          <w:sz w:val="32"/>
          <w:szCs w:val="32"/>
        </w:rPr>
      </w:pPr>
      <w:r>
        <w:rPr>
          <w:rFonts w:hint="eastAsia" w:ascii="Times New Roman" w:hAnsi="Times New Roman" w:eastAsia="黑体"/>
          <w:b w:val="0"/>
          <w:bCs/>
          <w:sz w:val="32"/>
          <w:szCs w:val="32"/>
          <w:lang w:eastAsia="zh-CN"/>
        </w:rPr>
        <w:t>一</w:t>
      </w:r>
      <w:r>
        <w:rPr>
          <w:rFonts w:hint="default" w:ascii="Times New Roman" w:hAnsi="Times New Roman" w:eastAsia="黑体"/>
          <w:b w:val="0"/>
          <w:bCs/>
          <w:sz w:val="32"/>
          <w:szCs w:val="32"/>
        </w:rPr>
        <w:t>、项目预算</w:t>
      </w:r>
    </w:p>
    <w:p w14:paraId="1E32FB8D">
      <w:pPr>
        <w:keepNext w:val="0"/>
        <w:keepLines w:val="0"/>
        <w:pageBreakBefore w:val="0"/>
        <w:widowControl/>
        <w:tabs>
          <w:tab w:val="left" w:pos="1980"/>
        </w:tabs>
        <w:kinsoku/>
        <w:wordWrap/>
        <w:overflowPunct/>
        <w:topLinePunct w:val="0"/>
        <w:autoSpaceDE w:val="0"/>
        <w:autoSpaceDN w:val="0"/>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按年计费，包含所有接入设备、链路、施工、调试及服务费、售后等所有服务。</w:t>
      </w:r>
    </w:p>
    <w:p w14:paraId="51886A54">
      <w:pPr>
        <w:pStyle w:val="2"/>
        <w:keepNext w:val="0"/>
        <w:keepLines w:val="0"/>
        <w:pageBreakBefore w:val="0"/>
        <w:widowControl/>
        <w:shd w:val="clear" w:color="auto" w:fill="FFFFFF"/>
        <w:kinsoku/>
        <w:wordWrap/>
        <w:overflowPunct/>
        <w:topLinePunct w:val="0"/>
        <w:bidi w:val="0"/>
        <w:spacing w:before="0" w:beforeAutospacing="0" w:after="0" w:afterAutospacing="0" w:line="560" w:lineRule="exact"/>
        <w:ind w:firstLine="640" w:firstLineChars="200"/>
        <w:jc w:val="both"/>
        <w:textAlignment w:val="auto"/>
        <w:rPr>
          <w:rFonts w:hint="default" w:ascii="Times New Roman" w:hAnsi="Times New Roman" w:eastAsia="黑体"/>
          <w:b w:val="0"/>
          <w:bCs/>
          <w:sz w:val="32"/>
          <w:szCs w:val="32"/>
        </w:rPr>
      </w:pPr>
      <w:r>
        <w:rPr>
          <w:rFonts w:hint="eastAsia" w:ascii="Times New Roman" w:hAnsi="Times New Roman" w:eastAsia="黑体"/>
          <w:b w:val="0"/>
          <w:bCs/>
          <w:sz w:val="32"/>
          <w:szCs w:val="32"/>
          <w:lang w:eastAsia="zh-CN"/>
        </w:rPr>
        <w:t>二、</w:t>
      </w:r>
      <w:r>
        <w:rPr>
          <w:rFonts w:hint="default" w:ascii="Times New Roman" w:hAnsi="Times New Roman" w:eastAsia="黑体"/>
          <w:b w:val="0"/>
          <w:bCs/>
          <w:sz w:val="32"/>
          <w:szCs w:val="32"/>
        </w:rPr>
        <w:t>项目内容</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145"/>
        <w:gridCol w:w="2374"/>
        <w:gridCol w:w="1600"/>
        <w:gridCol w:w="1587"/>
      </w:tblGrid>
      <w:tr w14:paraId="50E59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816" w:type="dxa"/>
            <w:vAlign w:val="center"/>
          </w:tcPr>
          <w:p w14:paraId="373A197B">
            <w:pPr>
              <w:numPr>
                <w:ilvl w:val="0"/>
                <w:numId w:val="0"/>
              </w:numPr>
              <w:jc w:val="center"/>
              <w:rPr>
                <w:rFonts w:hint="eastAsia" w:ascii="方正仿宋_GB2312" w:hAnsi="方正仿宋_GB2312" w:eastAsia="方正仿宋_GB2312" w:cs="方正仿宋_GB2312"/>
                <w:i w:val="0"/>
                <w:caps w:val="0"/>
                <w:color w:val="333333"/>
                <w:spacing w:val="0"/>
                <w:sz w:val="27"/>
                <w:szCs w:val="27"/>
                <w:shd w:val="clear" w:fill="FFFFFF"/>
                <w:vertAlign w:val="baseline"/>
                <w:lang w:val="en-US" w:eastAsia="zh-CN"/>
              </w:rPr>
            </w:pPr>
            <w:r>
              <w:rPr>
                <w:rFonts w:hint="eastAsia" w:ascii="方正仿宋_GB2312" w:hAnsi="方正仿宋_GB2312" w:eastAsia="方正仿宋_GB2312" w:cs="方正仿宋_GB2312"/>
                <w:i w:val="0"/>
                <w:caps w:val="0"/>
                <w:color w:val="333333"/>
                <w:spacing w:val="0"/>
                <w:sz w:val="27"/>
                <w:szCs w:val="27"/>
                <w:shd w:val="clear" w:fill="FFFFFF"/>
                <w:vertAlign w:val="baseline"/>
                <w:lang w:val="en-US" w:eastAsia="zh-CN"/>
              </w:rPr>
              <w:t>序号</w:t>
            </w:r>
          </w:p>
        </w:tc>
        <w:tc>
          <w:tcPr>
            <w:tcW w:w="2145" w:type="dxa"/>
            <w:vAlign w:val="center"/>
          </w:tcPr>
          <w:p w14:paraId="50EA5076">
            <w:pPr>
              <w:numPr>
                <w:ilvl w:val="0"/>
                <w:numId w:val="0"/>
              </w:numPr>
              <w:jc w:val="center"/>
              <w:rPr>
                <w:rFonts w:hint="eastAsia" w:ascii="方正仿宋_GB2312" w:hAnsi="方正仿宋_GB2312" w:eastAsia="方正仿宋_GB2312" w:cs="方正仿宋_GB2312"/>
                <w:i w:val="0"/>
                <w:caps w:val="0"/>
                <w:color w:val="333333"/>
                <w:spacing w:val="0"/>
                <w:sz w:val="27"/>
                <w:szCs w:val="27"/>
                <w:shd w:val="clear" w:fill="FFFFFF"/>
                <w:vertAlign w:val="baseline"/>
                <w:lang w:val="en-US" w:eastAsia="zh-CN"/>
              </w:rPr>
            </w:pPr>
            <w:r>
              <w:rPr>
                <w:rFonts w:hint="eastAsia" w:ascii="方正仿宋_GB2312" w:hAnsi="方正仿宋_GB2312" w:eastAsia="方正仿宋_GB2312" w:cs="方正仿宋_GB2312"/>
                <w:i w:val="0"/>
                <w:caps w:val="0"/>
                <w:color w:val="333333"/>
                <w:spacing w:val="0"/>
                <w:sz w:val="27"/>
                <w:szCs w:val="27"/>
                <w:shd w:val="clear" w:fill="FFFFFF"/>
                <w:vertAlign w:val="baseline"/>
                <w:lang w:val="en-US" w:eastAsia="zh-CN"/>
              </w:rPr>
              <w:t>数据专线起点</w:t>
            </w:r>
          </w:p>
        </w:tc>
        <w:tc>
          <w:tcPr>
            <w:tcW w:w="2374" w:type="dxa"/>
            <w:vAlign w:val="center"/>
          </w:tcPr>
          <w:p w14:paraId="5D934322">
            <w:pPr>
              <w:numPr>
                <w:ilvl w:val="0"/>
                <w:numId w:val="0"/>
              </w:numPr>
              <w:jc w:val="center"/>
              <w:rPr>
                <w:rFonts w:hint="eastAsia" w:ascii="方正仿宋_GB2312" w:hAnsi="方正仿宋_GB2312" w:eastAsia="方正仿宋_GB2312" w:cs="方正仿宋_GB2312"/>
                <w:i w:val="0"/>
                <w:caps w:val="0"/>
                <w:color w:val="333333"/>
                <w:spacing w:val="0"/>
                <w:sz w:val="27"/>
                <w:szCs w:val="27"/>
                <w:shd w:val="clear" w:fill="FFFFFF"/>
                <w:vertAlign w:val="baseline"/>
                <w:lang w:val="en-US" w:eastAsia="zh-CN"/>
              </w:rPr>
            </w:pPr>
            <w:r>
              <w:rPr>
                <w:rFonts w:hint="eastAsia" w:ascii="方正仿宋_GB2312" w:hAnsi="方正仿宋_GB2312" w:eastAsia="方正仿宋_GB2312" w:cs="方正仿宋_GB2312"/>
                <w:i w:val="0"/>
                <w:caps w:val="0"/>
                <w:color w:val="333333"/>
                <w:spacing w:val="0"/>
                <w:sz w:val="27"/>
                <w:szCs w:val="27"/>
                <w:shd w:val="clear" w:fill="FFFFFF"/>
                <w:vertAlign w:val="baseline"/>
                <w:lang w:val="en-US" w:eastAsia="zh-CN"/>
              </w:rPr>
              <w:t>数据专线终点</w:t>
            </w:r>
          </w:p>
        </w:tc>
        <w:tc>
          <w:tcPr>
            <w:tcW w:w="1600" w:type="dxa"/>
            <w:vAlign w:val="center"/>
          </w:tcPr>
          <w:p w14:paraId="79E9A3D9">
            <w:pPr>
              <w:numPr>
                <w:ilvl w:val="0"/>
                <w:numId w:val="0"/>
              </w:numPr>
              <w:jc w:val="center"/>
              <w:rPr>
                <w:rFonts w:hint="eastAsia" w:ascii="方正仿宋_GB2312" w:hAnsi="方正仿宋_GB2312" w:eastAsia="方正仿宋_GB2312" w:cs="方正仿宋_GB2312"/>
                <w:i w:val="0"/>
                <w:caps w:val="0"/>
                <w:color w:val="333333"/>
                <w:spacing w:val="0"/>
                <w:sz w:val="27"/>
                <w:szCs w:val="27"/>
                <w:shd w:val="clear" w:fill="FFFFFF"/>
                <w:vertAlign w:val="baseline"/>
                <w:lang w:val="en-US" w:eastAsia="zh-CN"/>
              </w:rPr>
            </w:pPr>
            <w:r>
              <w:rPr>
                <w:rFonts w:hint="eastAsia" w:ascii="方正仿宋_GB2312" w:hAnsi="方正仿宋_GB2312" w:eastAsia="方正仿宋_GB2312" w:cs="方正仿宋_GB2312"/>
                <w:i w:val="0"/>
                <w:caps w:val="0"/>
                <w:color w:val="333333"/>
                <w:spacing w:val="0"/>
                <w:sz w:val="27"/>
                <w:szCs w:val="27"/>
                <w:shd w:val="clear" w:fill="FFFFFF"/>
                <w:vertAlign w:val="baseline"/>
                <w:lang w:val="en-US" w:eastAsia="zh-CN"/>
              </w:rPr>
              <w:t>带宽</w:t>
            </w:r>
            <w:r>
              <w:rPr>
                <w:rFonts w:hint="eastAsia" w:ascii="方正仿宋_GB2312" w:hAnsi="方正仿宋_GB2312" w:eastAsia="方正仿宋_GB2312" w:cs="方正仿宋_GB2312"/>
                <w:b/>
                <w:bCs/>
                <w:sz w:val="24"/>
                <w:szCs w:val="24"/>
              </w:rPr>
              <w:t>（M</w:t>
            </w:r>
            <w:r>
              <w:rPr>
                <w:rFonts w:hint="eastAsia" w:ascii="方正仿宋_GB2312" w:hAnsi="方正仿宋_GB2312" w:eastAsia="方正仿宋_GB2312" w:cs="方正仿宋_GB2312"/>
                <w:b/>
                <w:bCs/>
                <w:sz w:val="24"/>
                <w:szCs w:val="24"/>
                <w:lang w:val="en-US" w:eastAsia="zh-CN"/>
              </w:rPr>
              <w:t>bps</w:t>
            </w:r>
            <w:r>
              <w:rPr>
                <w:rFonts w:hint="eastAsia" w:ascii="方正仿宋_GB2312" w:hAnsi="方正仿宋_GB2312" w:eastAsia="方正仿宋_GB2312" w:cs="方正仿宋_GB2312"/>
                <w:b/>
                <w:bCs/>
                <w:sz w:val="24"/>
                <w:szCs w:val="24"/>
              </w:rPr>
              <w:t>）</w:t>
            </w:r>
          </w:p>
        </w:tc>
        <w:tc>
          <w:tcPr>
            <w:tcW w:w="1587" w:type="dxa"/>
            <w:vAlign w:val="center"/>
          </w:tcPr>
          <w:p w14:paraId="03F8F8E6">
            <w:pPr>
              <w:numPr>
                <w:ilvl w:val="0"/>
                <w:numId w:val="0"/>
              </w:numPr>
              <w:jc w:val="center"/>
              <w:rPr>
                <w:rFonts w:hint="default" w:ascii="方正仿宋_GB2312" w:hAnsi="方正仿宋_GB2312" w:eastAsia="方正仿宋_GB2312" w:cs="方正仿宋_GB2312"/>
                <w:i w:val="0"/>
                <w:caps w:val="0"/>
                <w:color w:val="333333"/>
                <w:spacing w:val="0"/>
                <w:sz w:val="27"/>
                <w:szCs w:val="27"/>
                <w:shd w:val="clear" w:fill="FFFFFF"/>
                <w:vertAlign w:val="baseline"/>
                <w:lang w:val="en-US" w:eastAsia="zh-CN"/>
              </w:rPr>
            </w:pPr>
            <w:r>
              <w:rPr>
                <w:rFonts w:hint="eastAsia" w:ascii="方正仿宋_GB2312" w:hAnsi="方正仿宋_GB2312" w:eastAsia="方正仿宋_GB2312" w:cs="方正仿宋_GB2312"/>
                <w:i w:val="0"/>
                <w:caps w:val="0"/>
                <w:color w:val="333333"/>
                <w:spacing w:val="0"/>
                <w:sz w:val="27"/>
                <w:szCs w:val="27"/>
                <w:shd w:val="clear" w:fill="FFFFFF"/>
                <w:vertAlign w:val="baseline"/>
                <w:lang w:val="en-US" w:eastAsia="zh-CN"/>
              </w:rPr>
              <w:t>服务期限</w:t>
            </w:r>
          </w:p>
        </w:tc>
      </w:tr>
      <w:tr w14:paraId="0BBAC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4A4646C0">
            <w:pPr>
              <w:numPr>
                <w:ilvl w:val="0"/>
                <w:numId w:val="0"/>
              </w:numPr>
              <w:jc w:val="center"/>
              <w:rPr>
                <w:rFonts w:hint="eastAsia" w:ascii="方正仿宋_GB2312" w:hAnsi="方正仿宋_GB2312" w:eastAsia="方正仿宋_GB2312" w:cs="方正仿宋_GB2312"/>
                <w:i w:val="0"/>
                <w:caps w:val="0"/>
                <w:color w:val="333333"/>
                <w:spacing w:val="0"/>
                <w:sz w:val="27"/>
                <w:szCs w:val="27"/>
                <w:shd w:val="clear" w:fill="FFFFFF"/>
                <w:vertAlign w:val="baseline"/>
                <w:lang w:val="en-US" w:eastAsia="zh-CN"/>
              </w:rPr>
            </w:pPr>
            <w:r>
              <w:rPr>
                <w:rFonts w:hint="eastAsia" w:ascii="方正仿宋_GB2312" w:hAnsi="方正仿宋_GB2312" w:eastAsia="方正仿宋_GB2312" w:cs="方正仿宋_GB2312"/>
                <w:i w:val="0"/>
                <w:caps w:val="0"/>
                <w:color w:val="333333"/>
                <w:spacing w:val="0"/>
                <w:sz w:val="27"/>
                <w:szCs w:val="27"/>
                <w:shd w:val="clear" w:fill="FFFFFF"/>
                <w:vertAlign w:val="baseline"/>
                <w:lang w:val="en-US" w:eastAsia="zh-CN"/>
              </w:rPr>
              <w:t>1</w:t>
            </w:r>
          </w:p>
        </w:tc>
        <w:tc>
          <w:tcPr>
            <w:tcW w:w="2145" w:type="dxa"/>
            <w:vAlign w:val="center"/>
          </w:tcPr>
          <w:p w14:paraId="53997800">
            <w:pPr>
              <w:numPr>
                <w:ilvl w:val="0"/>
                <w:numId w:val="0"/>
              </w:numPr>
              <w:jc w:val="center"/>
              <w:rPr>
                <w:rFonts w:hint="default" w:ascii="方正仿宋_GB2312" w:hAnsi="方正仿宋_GB2312" w:eastAsia="方正仿宋_GB2312" w:cs="方正仿宋_GB2312"/>
                <w:i w:val="0"/>
                <w:caps w:val="0"/>
                <w:color w:val="333333"/>
                <w:spacing w:val="0"/>
                <w:sz w:val="28"/>
                <w:szCs w:val="28"/>
                <w:shd w:val="clear" w:fill="FFFFFF"/>
                <w:vertAlign w:val="baseline"/>
                <w:lang w:val="en-US" w:eastAsia="zh-CN"/>
              </w:rPr>
            </w:pPr>
            <w:r>
              <w:rPr>
                <w:rFonts w:hint="eastAsia" w:ascii="方正仿宋_GB2312" w:hAnsi="方正仿宋_GB2312" w:eastAsia="方正仿宋_GB2312" w:cs="方正仿宋_GB2312"/>
                <w:i w:val="0"/>
                <w:caps w:val="0"/>
                <w:color w:val="333333"/>
                <w:spacing w:val="0"/>
                <w:sz w:val="28"/>
                <w:szCs w:val="28"/>
                <w:shd w:val="clear" w:fill="FFFFFF"/>
                <w:vertAlign w:val="baseline"/>
                <w:lang w:val="en-US" w:eastAsia="zh-CN"/>
              </w:rPr>
              <w:t>巩留县大营盘村固定监测站</w:t>
            </w:r>
          </w:p>
        </w:tc>
        <w:tc>
          <w:tcPr>
            <w:tcW w:w="2374" w:type="dxa"/>
            <w:vAlign w:val="center"/>
          </w:tcPr>
          <w:p w14:paraId="3C73E9BD">
            <w:pPr>
              <w:jc w:val="center"/>
              <w:rPr>
                <w:rFonts w:hint="eastAsia" w:ascii="方正仿宋_GB2312" w:hAnsi="方正仿宋_GB2312" w:eastAsia="方正仿宋_GB2312" w:cs="方正仿宋_GB2312"/>
                <w:kern w:val="2"/>
                <w:sz w:val="21"/>
                <w:szCs w:val="24"/>
                <w:lang w:val="en-US" w:eastAsia="zh-CN" w:bidi="ar-SA"/>
              </w:rPr>
            </w:pPr>
          </w:p>
          <w:p w14:paraId="69E5A9D2">
            <w:pPr>
              <w:jc w:val="center"/>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sz w:val="24"/>
                <w:szCs w:val="24"/>
                <w:lang w:val="en-US" w:eastAsia="zh-CN"/>
              </w:rPr>
              <w:t>伊犁州无线电管理中心四楼机房（伊宁市边境经济合作区辽宁路103号）</w:t>
            </w:r>
          </w:p>
        </w:tc>
        <w:tc>
          <w:tcPr>
            <w:tcW w:w="1600" w:type="dxa"/>
            <w:vAlign w:val="center"/>
          </w:tcPr>
          <w:p w14:paraId="709E162A">
            <w:pPr>
              <w:numPr>
                <w:ilvl w:val="0"/>
                <w:numId w:val="0"/>
              </w:numPr>
              <w:jc w:val="center"/>
              <w:rPr>
                <w:rFonts w:hint="eastAsia" w:ascii="方正仿宋_GB2312" w:hAnsi="方正仿宋_GB2312" w:eastAsia="方正仿宋_GB2312" w:cs="方正仿宋_GB2312"/>
                <w:i w:val="0"/>
                <w:caps w:val="0"/>
                <w:color w:val="333333"/>
                <w:spacing w:val="0"/>
                <w:sz w:val="27"/>
                <w:szCs w:val="27"/>
                <w:shd w:val="clear" w:fill="FFFFFF"/>
                <w:vertAlign w:val="baseline"/>
                <w:lang w:val="en-US" w:eastAsia="zh-CN"/>
              </w:rPr>
            </w:pPr>
            <w:r>
              <w:rPr>
                <w:rFonts w:hint="eastAsia" w:ascii="方正仿宋_GB2312" w:hAnsi="方正仿宋_GB2312" w:eastAsia="方正仿宋_GB2312" w:cs="方正仿宋_GB2312"/>
                <w:i w:val="0"/>
                <w:caps w:val="0"/>
                <w:color w:val="333333"/>
                <w:spacing w:val="0"/>
                <w:sz w:val="27"/>
                <w:szCs w:val="27"/>
                <w:shd w:val="clear" w:fill="FFFFFF"/>
                <w:vertAlign w:val="baseline"/>
                <w:lang w:val="en-US" w:eastAsia="zh-CN"/>
              </w:rPr>
              <w:t>不小于20</w:t>
            </w:r>
          </w:p>
        </w:tc>
        <w:tc>
          <w:tcPr>
            <w:tcW w:w="1587" w:type="dxa"/>
            <w:vAlign w:val="center"/>
          </w:tcPr>
          <w:p w14:paraId="46A4129F">
            <w:pPr>
              <w:numPr>
                <w:ilvl w:val="0"/>
                <w:numId w:val="0"/>
              </w:numPr>
              <w:jc w:val="center"/>
              <w:rPr>
                <w:rFonts w:hint="default" w:ascii="方正仿宋_GB2312" w:hAnsi="方正仿宋_GB2312" w:eastAsia="方正仿宋_GB2312" w:cs="方正仿宋_GB2312"/>
                <w:i w:val="0"/>
                <w:caps w:val="0"/>
                <w:color w:val="333333"/>
                <w:spacing w:val="0"/>
                <w:sz w:val="27"/>
                <w:szCs w:val="27"/>
                <w:shd w:val="clear" w:fill="FFFFFF"/>
                <w:vertAlign w:val="baseline"/>
                <w:lang w:val="en-US" w:eastAsia="zh-CN"/>
              </w:rPr>
            </w:pPr>
            <w:r>
              <w:rPr>
                <w:rFonts w:hint="eastAsia" w:ascii="方正仿宋_GB2312" w:hAnsi="方正仿宋_GB2312" w:eastAsia="方正仿宋_GB2312" w:cs="方正仿宋_GB2312"/>
                <w:i w:val="0"/>
                <w:caps w:val="0"/>
                <w:color w:val="333333"/>
                <w:spacing w:val="0"/>
                <w:sz w:val="27"/>
                <w:szCs w:val="27"/>
                <w:shd w:val="clear" w:fill="FFFFFF"/>
                <w:vertAlign w:val="baseline"/>
                <w:lang w:val="en-US" w:eastAsia="zh-CN"/>
              </w:rPr>
              <w:t>1年</w:t>
            </w:r>
          </w:p>
        </w:tc>
      </w:tr>
      <w:tr w14:paraId="7963B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3820CAE9">
            <w:pPr>
              <w:numPr>
                <w:ilvl w:val="0"/>
                <w:numId w:val="0"/>
              </w:numPr>
              <w:jc w:val="center"/>
              <w:rPr>
                <w:rFonts w:hint="default" w:ascii="方正仿宋_GB2312" w:hAnsi="方正仿宋_GB2312" w:eastAsia="方正仿宋_GB2312" w:cs="方正仿宋_GB2312"/>
                <w:i w:val="0"/>
                <w:caps w:val="0"/>
                <w:color w:val="333333"/>
                <w:spacing w:val="0"/>
                <w:sz w:val="27"/>
                <w:szCs w:val="27"/>
                <w:shd w:val="clear" w:fill="FFFFFF"/>
                <w:vertAlign w:val="baseline"/>
                <w:lang w:val="en-US" w:eastAsia="zh-CN"/>
              </w:rPr>
            </w:pPr>
            <w:r>
              <w:rPr>
                <w:rFonts w:hint="eastAsia" w:ascii="方正仿宋_GB2312" w:hAnsi="方正仿宋_GB2312" w:eastAsia="方正仿宋_GB2312" w:cs="方正仿宋_GB2312"/>
                <w:i w:val="0"/>
                <w:caps w:val="0"/>
                <w:color w:val="333333"/>
                <w:spacing w:val="0"/>
                <w:sz w:val="27"/>
                <w:szCs w:val="27"/>
                <w:shd w:val="clear" w:fill="FFFFFF"/>
                <w:vertAlign w:val="baseline"/>
                <w:lang w:val="en-US" w:eastAsia="zh-CN"/>
              </w:rPr>
              <w:t>2</w:t>
            </w:r>
          </w:p>
        </w:tc>
        <w:tc>
          <w:tcPr>
            <w:tcW w:w="2145" w:type="dxa"/>
            <w:vAlign w:val="center"/>
          </w:tcPr>
          <w:p w14:paraId="0EBA03C9">
            <w:pPr>
              <w:numPr>
                <w:ilvl w:val="0"/>
                <w:numId w:val="0"/>
              </w:numPr>
              <w:jc w:val="center"/>
              <w:rPr>
                <w:rFonts w:hint="default" w:ascii="方正仿宋_GB2312" w:hAnsi="方正仿宋_GB2312" w:eastAsia="方正仿宋_GB2312" w:cs="方正仿宋_GB2312"/>
                <w:i w:val="0"/>
                <w:caps w:val="0"/>
                <w:color w:val="333333"/>
                <w:spacing w:val="0"/>
                <w:sz w:val="28"/>
                <w:szCs w:val="28"/>
                <w:shd w:val="clear" w:fill="FFFFFF"/>
                <w:vertAlign w:val="baseline"/>
                <w:lang w:val="en-US" w:eastAsia="zh-CN"/>
              </w:rPr>
            </w:pPr>
            <w:r>
              <w:rPr>
                <w:rFonts w:hint="eastAsia" w:ascii="方正仿宋_GB2312" w:hAnsi="方正仿宋_GB2312" w:eastAsia="方正仿宋_GB2312" w:cs="方正仿宋_GB2312"/>
                <w:i w:val="0"/>
                <w:caps w:val="0"/>
                <w:color w:val="333333"/>
                <w:spacing w:val="0"/>
                <w:sz w:val="28"/>
                <w:szCs w:val="28"/>
                <w:shd w:val="clear" w:fill="FFFFFF"/>
                <w:vertAlign w:val="baseline"/>
                <w:lang w:val="en-US" w:eastAsia="zh-CN"/>
              </w:rPr>
              <w:t>新源县3站固定监测站</w:t>
            </w:r>
          </w:p>
        </w:tc>
        <w:tc>
          <w:tcPr>
            <w:tcW w:w="2374" w:type="dxa"/>
            <w:vAlign w:val="center"/>
          </w:tcPr>
          <w:p w14:paraId="37D187AB">
            <w:pPr>
              <w:jc w:val="center"/>
              <w:rPr>
                <w:rFonts w:hint="eastAsia" w:ascii="方正仿宋_GB2312" w:hAnsi="方正仿宋_GB2312" w:eastAsia="方正仿宋_GB2312" w:cs="方正仿宋_GB2312"/>
                <w:kern w:val="2"/>
                <w:sz w:val="21"/>
                <w:szCs w:val="24"/>
                <w:lang w:val="en-US" w:eastAsia="zh-CN" w:bidi="ar-SA"/>
              </w:rPr>
            </w:pPr>
          </w:p>
          <w:p w14:paraId="49A2F7AC">
            <w:pPr>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伊犁州无线电管理中心四楼机房（伊宁市边境经济合作区辽宁路103号）</w:t>
            </w:r>
          </w:p>
        </w:tc>
        <w:tc>
          <w:tcPr>
            <w:tcW w:w="1600" w:type="dxa"/>
            <w:vAlign w:val="center"/>
          </w:tcPr>
          <w:p w14:paraId="0F8B6E74">
            <w:pPr>
              <w:numPr>
                <w:ilvl w:val="0"/>
                <w:numId w:val="0"/>
              </w:numPr>
              <w:ind w:left="0" w:leftChars="0" w:firstLine="0" w:firstLineChars="0"/>
              <w:jc w:val="center"/>
              <w:rPr>
                <w:rFonts w:hint="eastAsia" w:ascii="方正仿宋_GB2312" w:hAnsi="方正仿宋_GB2312" w:eastAsia="方正仿宋_GB2312" w:cs="方正仿宋_GB2312"/>
                <w:i w:val="0"/>
                <w:caps w:val="0"/>
                <w:color w:val="333333"/>
                <w:spacing w:val="0"/>
                <w:sz w:val="27"/>
                <w:szCs w:val="27"/>
                <w:shd w:val="clear" w:fill="FFFFFF"/>
                <w:vertAlign w:val="baseline"/>
                <w:lang w:val="en-US" w:eastAsia="zh-CN"/>
              </w:rPr>
            </w:pPr>
            <w:r>
              <w:rPr>
                <w:rFonts w:hint="eastAsia" w:ascii="方正仿宋_GB2312" w:hAnsi="方正仿宋_GB2312" w:eastAsia="方正仿宋_GB2312" w:cs="方正仿宋_GB2312"/>
                <w:i w:val="0"/>
                <w:caps w:val="0"/>
                <w:color w:val="333333"/>
                <w:spacing w:val="0"/>
                <w:sz w:val="27"/>
                <w:szCs w:val="27"/>
                <w:shd w:val="clear" w:fill="FFFFFF"/>
                <w:vertAlign w:val="baseline"/>
                <w:lang w:val="en-US" w:eastAsia="zh-CN"/>
              </w:rPr>
              <w:t>不小于20</w:t>
            </w:r>
          </w:p>
        </w:tc>
        <w:tc>
          <w:tcPr>
            <w:tcW w:w="1587" w:type="dxa"/>
            <w:vAlign w:val="center"/>
          </w:tcPr>
          <w:p w14:paraId="7732E960">
            <w:pPr>
              <w:numPr>
                <w:ilvl w:val="0"/>
                <w:numId w:val="0"/>
              </w:numPr>
              <w:jc w:val="center"/>
              <w:rPr>
                <w:rFonts w:hint="eastAsia" w:ascii="方正仿宋_GB2312" w:hAnsi="方正仿宋_GB2312" w:eastAsia="方正仿宋_GB2312" w:cs="方正仿宋_GB2312"/>
                <w:i w:val="0"/>
                <w:caps w:val="0"/>
                <w:color w:val="333333"/>
                <w:spacing w:val="0"/>
                <w:sz w:val="27"/>
                <w:szCs w:val="27"/>
                <w:shd w:val="clear" w:fill="FFFFFF"/>
                <w:vertAlign w:val="baseline"/>
                <w:lang w:val="en-US" w:eastAsia="zh-CN"/>
              </w:rPr>
            </w:pPr>
            <w:r>
              <w:rPr>
                <w:rFonts w:hint="eastAsia" w:ascii="方正仿宋_GB2312" w:hAnsi="方正仿宋_GB2312" w:eastAsia="方正仿宋_GB2312" w:cs="方正仿宋_GB2312"/>
                <w:i w:val="0"/>
                <w:caps w:val="0"/>
                <w:color w:val="333333"/>
                <w:spacing w:val="0"/>
                <w:sz w:val="27"/>
                <w:szCs w:val="27"/>
                <w:shd w:val="clear" w:fill="FFFFFF"/>
                <w:vertAlign w:val="baseline"/>
                <w:lang w:val="en-US" w:eastAsia="zh-CN"/>
              </w:rPr>
              <w:t>1年</w:t>
            </w:r>
          </w:p>
        </w:tc>
      </w:tr>
      <w:tr w14:paraId="3579D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16F2954C">
            <w:pPr>
              <w:numPr>
                <w:ilvl w:val="0"/>
                <w:numId w:val="0"/>
              </w:numPr>
              <w:jc w:val="center"/>
              <w:rPr>
                <w:rFonts w:hint="default" w:ascii="方正仿宋_GB2312" w:hAnsi="方正仿宋_GB2312" w:eastAsia="方正仿宋_GB2312" w:cs="方正仿宋_GB2312"/>
                <w:i w:val="0"/>
                <w:caps w:val="0"/>
                <w:color w:val="333333"/>
                <w:spacing w:val="0"/>
                <w:sz w:val="27"/>
                <w:szCs w:val="27"/>
                <w:shd w:val="clear" w:fill="FFFFFF"/>
                <w:vertAlign w:val="baseline"/>
                <w:lang w:val="en-US" w:eastAsia="zh-CN"/>
              </w:rPr>
            </w:pPr>
            <w:r>
              <w:rPr>
                <w:rFonts w:hint="eastAsia" w:ascii="方正仿宋_GB2312" w:hAnsi="方正仿宋_GB2312" w:eastAsia="方正仿宋_GB2312" w:cs="方正仿宋_GB2312"/>
                <w:i w:val="0"/>
                <w:caps w:val="0"/>
                <w:color w:val="333333"/>
                <w:spacing w:val="0"/>
                <w:sz w:val="27"/>
                <w:szCs w:val="27"/>
                <w:shd w:val="clear" w:fill="FFFFFF"/>
                <w:vertAlign w:val="baseline"/>
                <w:lang w:val="en-US" w:eastAsia="zh-CN"/>
              </w:rPr>
              <w:t>3</w:t>
            </w:r>
          </w:p>
        </w:tc>
        <w:tc>
          <w:tcPr>
            <w:tcW w:w="2145" w:type="dxa"/>
            <w:vAlign w:val="center"/>
          </w:tcPr>
          <w:p w14:paraId="12270E91">
            <w:pPr>
              <w:numPr>
                <w:ilvl w:val="0"/>
                <w:numId w:val="0"/>
              </w:numPr>
              <w:jc w:val="center"/>
              <w:rPr>
                <w:rFonts w:hint="default" w:ascii="方正仿宋_GB2312" w:hAnsi="方正仿宋_GB2312" w:eastAsia="方正仿宋_GB2312" w:cs="方正仿宋_GB2312"/>
                <w:i w:val="0"/>
                <w:caps w:val="0"/>
                <w:color w:val="333333"/>
                <w:spacing w:val="0"/>
                <w:sz w:val="28"/>
                <w:szCs w:val="28"/>
                <w:shd w:val="clear" w:fill="FFFFFF"/>
                <w:vertAlign w:val="baseline"/>
                <w:lang w:val="en-US" w:eastAsia="zh-CN"/>
              </w:rPr>
            </w:pPr>
            <w:r>
              <w:rPr>
                <w:rFonts w:hint="eastAsia" w:ascii="方正仿宋_GB2312" w:hAnsi="方正仿宋_GB2312" w:eastAsia="方正仿宋_GB2312" w:cs="方正仿宋_GB2312"/>
                <w:i w:val="0"/>
                <w:caps w:val="0"/>
                <w:color w:val="333333"/>
                <w:spacing w:val="0"/>
                <w:sz w:val="28"/>
                <w:szCs w:val="28"/>
                <w:shd w:val="clear" w:fill="FFFFFF"/>
                <w:vertAlign w:val="baseline"/>
                <w:lang w:val="en-US" w:eastAsia="zh-CN"/>
              </w:rPr>
              <w:t>特克斯县蒙古乡固定监测站</w:t>
            </w:r>
          </w:p>
        </w:tc>
        <w:tc>
          <w:tcPr>
            <w:tcW w:w="2374" w:type="dxa"/>
            <w:vAlign w:val="center"/>
          </w:tcPr>
          <w:p w14:paraId="6E0033FB">
            <w:pPr>
              <w:jc w:val="center"/>
              <w:rPr>
                <w:rFonts w:hint="eastAsia" w:ascii="方正仿宋_GB2312" w:hAnsi="方正仿宋_GB2312" w:eastAsia="方正仿宋_GB2312" w:cs="方正仿宋_GB2312"/>
                <w:kern w:val="2"/>
                <w:sz w:val="21"/>
                <w:szCs w:val="24"/>
                <w:lang w:val="en-US" w:eastAsia="zh-CN" w:bidi="ar-SA"/>
              </w:rPr>
            </w:pPr>
          </w:p>
          <w:p w14:paraId="70A3BA47">
            <w:pPr>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伊犁州无线电管理中心四楼机房（伊宁市边境经济合作区辽宁路103号）</w:t>
            </w:r>
          </w:p>
        </w:tc>
        <w:tc>
          <w:tcPr>
            <w:tcW w:w="1600" w:type="dxa"/>
            <w:vAlign w:val="center"/>
          </w:tcPr>
          <w:p w14:paraId="6E2EBD06">
            <w:pPr>
              <w:numPr>
                <w:ilvl w:val="0"/>
                <w:numId w:val="0"/>
              </w:numPr>
              <w:ind w:left="0" w:leftChars="0" w:firstLine="0" w:firstLineChars="0"/>
              <w:jc w:val="center"/>
              <w:rPr>
                <w:rFonts w:hint="eastAsia" w:ascii="方正仿宋_GB2312" w:hAnsi="方正仿宋_GB2312" w:eastAsia="方正仿宋_GB2312" w:cs="方正仿宋_GB2312"/>
                <w:i w:val="0"/>
                <w:caps w:val="0"/>
                <w:color w:val="333333"/>
                <w:spacing w:val="0"/>
                <w:sz w:val="27"/>
                <w:szCs w:val="27"/>
                <w:shd w:val="clear" w:fill="FFFFFF"/>
                <w:vertAlign w:val="baseline"/>
                <w:lang w:val="en-US" w:eastAsia="zh-CN"/>
              </w:rPr>
            </w:pPr>
            <w:r>
              <w:rPr>
                <w:rFonts w:hint="eastAsia" w:ascii="方正仿宋_GB2312" w:hAnsi="方正仿宋_GB2312" w:eastAsia="方正仿宋_GB2312" w:cs="方正仿宋_GB2312"/>
                <w:i w:val="0"/>
                <w:caps w:val="0"/>
                <w:color w:val="333333"/>
                <w:spacing w:val="0"/>
                <w:sz w:val="27"/>
                <w:szCs w:val="27"/>
                <w:shd w:val="clear" w:fill="FFFFFF"/>
                <w:vertAlign w:val="baseline"/>
                <w:lang w:val="en-US" w:eastAsia="zh-CN"/>
              </w:rPr>
              <w:t>不小于20</w:t>
            </w:r>
          </w:p>
        </w:tc>
        <w:tc>
          <w:tcPr>
            <w:tcW w:w="1587" w:type="dxa"/>
            <w:vAlign w:val="center"/>
          </w:tcPr>
          <w:p w14:paraId="13592C61">
            <w:pPr>
              <w:numPr>
                <w:ilvl w:val="0"/>
                <w:numId w:val="0"/>
              </w:numPr>
              <w:jc w:val="center"/>
              <w:rPr>
                <w:rFonts w:hint="eastAsia" w:ascii="方正仿宋_GB2312" w:hAnsi="方正仿宋_GB2312" w:eastAsia="方正仿宋_GB2312" w:cs="方正仿宋_GB2312"/>
                <w:i w:val="0"/>
                <w:caps w:val="0"/>
                <w:color w:val="333333"/>
                <w:spacing w:val="0"/>
                <w:sz w:val="27"/>
                <w:szCs w:val="27"/>
                <w:shd w:val="clear" w:fill="FFFFFF"/>
                <w:vertAlign w:val="baseline"/>
                <w:lang w:val="en-US" w:eastAsia="zh-CN"/>
              </w:rPr>
            </w:pPr>
            <w:r>
              <w:rPr>
                <w:rFonts w:hint="eastAsia" w:ascii="方正仿宋_GB2312" w:hAnsi="方正仿宋_GB2312" w:eastAsia="方正仿宋_GB2312" w:cs="方正仿宋_GB2312"/>
                <w:i w:val="0"/>
                <w:caps w:val="0"/>
                <w:color w:val="333333"/>
                <w:spacing w:val="0"/>
                <w:sz w:val="27"/>
                <w:szCs w:val="27"/>
                <w:shd w:val="clear" w:fill="FFFFFF"/>
                <w:vertAlign w:val="baseline"/>
                <w:lang w:val="en-US" w:eastAsia="zh-CN"/>
              </w:rPr>
              <w:t>1年</w:t>
            </w:r>
          </w:p>
        </w:tc>
      </w:tr>
      <w:tr w14:paraId="0E387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3AAF0BD8">
            <w:pPr>
              <w:numPr>
                <w:ilvl w:val="0"/>
                <w:numId w:val="0"/>
              </w:numPr>
              <w:jc w:val="center"/>
              <w:rPr>
                <w:rFonts w:hint="default" w:ascii="方正仿宋_GB2312" w:hAnsi="方正仿宋_GB2312" w:eastAsia="方正仿宋_GB2312" w:cs="方正仿宋_GB2312"/>
                <w:i w:val="0"/>
                <w:caps w:val="0"/>
                <w:color w:val="333333"/>
                <w:spacing w:val="0"/>
                <w:sz w:val="27"/>
                <w:szCs w:val="27"/>
                <w:shd w:val="clear" w:fill="FFFFFF"/>
                <w:vertAlign w:val="baseline"/>
                <w:lang w:val="en-US" w:eastAsia="zh-CN"/>
              </w:rPr>
            </w:pPr>
            <w:r>
              <w:rPr>
                <w:rFonts w:hint="eastAsia" w:ascii="方正仿宋_GB2312" w:hAnsi="方正仿宋_GB2312" w:eastAsia="方正仿宋_GB2312" w:cs="方正仿宋_GB2312"/>
                <w:i w:val="0"/>
                <w:caps w:val="0"/>
                <w:color w:val="333333"/>
                <w:spacing w:val="0"/>
                <w:sz w:val="27"/>
                <w:szCs w:val="27"/>
                <w:shd w:val="clear" w:fill="FFFFFF"/>
                <w:vertAlign w:val="baseline"/>
                <w:lang w:val="en-US" w:eastAsia="zh-CN"/>
              </w:rPr>
              <w:t>4</w:t>
            </w:r>
          </w:p>
        </w:tc>
        <w:tc>
          <w:tcPr>
            <w:tcW w:w="2145" w:type="dxa"/>
            <w:vAlign w:val="center"/>
          </w:tcPr>
          <w:p w14:paraId="46AE8AF5">
            <w:pPr>
              <w:numPr>
                <w:ilvl w:val="0"/>
                <w:numId w:val="0"/>
              </w:numPr>
              <w:jc w:val="center"/>
              <w:rPr>
                <w:rFonts w:hint="default" w:ascii="方正仿宋_GB2312" w:hAnsi="方正仿宋_GB2312" w:eastAsia="方正仿宋_GB2312" w:cs="方正仿宋_GB2312"/>
                <w:i w:val="0"/>
                <w:caps w:val="0"/>
                <w:color w:val="333333"/>
                <w:spacing w:val="0"/>
                <w:sz w:val="28"/>
                <w:szCs w:val="28"/>
                <w:shd w:val="clear" w:fill="FFFFFF"/>
                <w:vertAlign w:val="baseline"/>
                <w:lang w:val="en-US" w:eastAsia="zh-CN"/>
              </w:rPr>
            </w:pPr>
            <w:r>
              <w:rPr>
                <w:rFonts w:hint="eastAsia" w:ascii="方正仿宋_GB2312" w:hAnsi="方正仿宋_GB2312" w:eastAsia="方正仿宋_GB2312" w:cs="方正仿宋_GB2312"/>
                <w:i w:val="0"/>
                <w:caps w:val="0"/>
                <w:color w:val="333333"/>
                <w:spacing w:val="0"/>
                <w:sz w:val="28"/>
                <w:szCs w:val="28"/>
                <w:shd w:val="clear" w:fill="FFFFFF"/>
                <w:vertAlign w:val="baseline"/>
                <w:lang w:val="en-US" w:eastAsia="zh-CN"/>
              </w:rPr>
              <w:t>可克达拉市界梁子村固定监测站</w:t>
            </w:r>
          </w:p>
        </w:tc>
        <w:tc>
          <w:tcPr>
            <w:tcW w:w="2374" w:type="dxa"/>
            <w:vAlign w:val="center"/>
          </w:tcPr>
          <w:p w14:paraId="4AD10DF1">
            <w:pPr>
              <w:jc w:val="center"/>
              <w:rPr>
                <w:rFonts w:hint="eastAsia" w:ascii="方正仿宋_GB2312" w:hAnsi="方正仿宋_GB2312" w:eastAsia="方正仿宋_GB2312" w:cs="方正仿宋_GB2312"/>
                <w:kern w:val="2"/>
                <w:sz w:val="21"/>
                <w:szCs w:val="24"/>
                <w:lang w:val="en-US" w:eastAsia="zh-CN" w:bidi="ar-SA"/>
              </w:rPr>
            </w:pPr>
          </w:p>
          <w:p w14:paraId="037578FB">
            <w:pPr>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伊犁州无线电管理中心四楼机房（伊宁市边境经济合作区辽宁路103号）</w:t>
            </w:r>
          </w:p>
        </w:tc>
        <w:tc>
          <w:tcPr>
            <w:tcW w:w="1600" w:type="dxa"/>
            <w:vAlign w:val="center"/>
          </w:tcPr>
          <w:p w14:paraId="513D5F40">
            <w:pPr>
              <w:numPr>
                <w:ilvl w:val="0"/>
                <w:numId w:val="0"/>
              </w:numPr>
              <w:ind w:left="0" w:leftChars="0" w:firstLine="0" w:firstLineChars="0"/>
              <w:jc w:val="center"/>
              <w:rPr>
                <w:rFonts w:hint="eastAsia" w:ascii="方正仿宋_GB2312" w:hAnsi="方正仿宋_GB2312" w:eastAsia="方正仿宋_GB2312" w:cs="方正仿宋_GB2312"/>
                <w:i w:val="0"/>
                <w:caps w:val="0"/>
                <w:color w:val="333333"/>
                <w:spacing w:val="0"/>
                <w:sz w:val="27"/>
                <w:szCs w:val="27"/>
                <w:shd w:val="clear" w:fill="FFFFFF"/>
                <w:vertAlign w:val="baseline"/>
                <w:lang w:val="en-US" w:eastAsia="zh-CN"/>
              </w:rPr>
            </w:pPr>
            <w:r>
              <w:rPr>
                <w:rFonts w:hint="eastAsia" w:ascii="方正仿宋_GB2312" w:hAnsi="方正仿宋_GB2312" w:eastAsia="方正仿宋_GB2312" w:cs="方正仿宋_GB2312"/>
                <w:i w:val="0"/>
                <w:caps w:val="0"/>
                <w:color w:val="333333"/>
                <w:spacing w:val="0"/>
                <w:sz w:val="27"/>
                <w:szCs w:val="27"/>
                <w:shd w:val="clear" w:fill="FFFFFF"/>
                <w:vertAlign w:val="baseline"/>
                <w:lang w:val="en-US" w:eastAsia="zh-CN"/>
              </w:rPr>
              <w:t>不小于20</w:t>
            </w:r>
          </w:p>
        </w:tc>
        <w:tc>
          <w:tcPr>
            <w:tcW w:w="1587" w:type="dxa"/>
            <w:vAlign w:val="center"/>
          </w:tcPr>
          <w:p w14:paraId="2B841E23">
            <w:pPr>
              <w:numPr>
                <w:ilvl w:val="0"/>
                <w:numId w:val="0"/>
              </w:numPr>
              <w:jc w:val="center"/>
              <w:rPr>
                <w:rFonts w:hint="eastAsia" w:ascii="方正仿宋_GB2312" w:hAnsi="方正仿宋_GB2312" w:eastAsia="方正仿宋_GB2312" w:cs="方正仿宋_GB2312"/>
                <w:i w:val="0"/>
                <w:caps w:val="0"/>
                <w:color w:val="333333"/>
                <w:spacing w:val="0"/>
                <w:sz w:val="27"/>
                <w:szCs w:val="27"/>
                <w:shd w:val="clear" w:fill="FFFFFF"/>
                <w:vertAlign w:val="baseline"/>
                <w:lang w:val="en-US" w:eastAsia="zh-CN"/>
              </w:rPr>
            </w:pPr>
            <w:r>
              <w:rPr>
                <w:rFonts w:hint="eastAsia" w:ascii="方正仿宋_GB2312" w:hAnsi="方正仿宋_GB2312" w:eastAsia="方正仿宋_GB2312" w:cs="方正仿宋_GB2312"/>
                <w:i w:val="0"/>
                <w:caps w:val="0"/>
                <w:color w:val="333333"/>
                <w:spacing w:val="0"/>
                <w:sz w:val="27"/>
                <w:szCs w:val="27"/>
                <w:shd w:val="clear" w:fill="FFFFFF"/>
                <w:vertAlign w:val="baseline"/>
                <w:lang w:val="en-US" w:eastAsia="zh-CN"/>
              </w:rPr>
              <w:t>1年</w:t>
            </w:r>
          </w:p>
        </w:tc>
      </w:tr>
      <w:tr w14:paraId="5E548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19283865">
            <w:pPr>
              <w:numPr>
                <w:ilvl w:val="0"/>
                <w:numId w:val="0"/>
              </w:numPr>
              <w:jc w:val="center"/>
              <w:rPr>
                <w:rFonts w:hint="default" w:ascii="方正仿宋_GB2312" w:hAnsi="方正仿宋_GB2312" w:eastAsia="方正仿宋_GB2312" w:cs="方正仿宋_GB2312"/>
                <w:i w:val="0"/>
                <w:caps w:val="0"/>
                <w:color w:val="333333"/>
                <w:spacing w:val="0"/>
                <w:sz w:val="27"/>
                <w:szCs w:val="27"/>
                <w:shd w:val="clear" w:fill="FFFFFF"/>
                <w:vertAlign w:val="baseline"/>
                <w:lang w:val="en-US" w:eastAsia="zh-CN"/>
              </w:rPr>
            </w:pPr>
            <w:r>
              <w:rPr>
                <w:rFonts w:hint="eastAsia" w:ascii="方正仿宋_GB2312" w:hAnsi="方正仿宋_GB2312" w:eastAsia="方正仿宋_GB2312" w:cs="方正仿宋_GB2312"/>
                <w:i w:val="0"/>
                <w:caps w:val="0"/>
                <w:color w:val="333333"/>
                <w:spacing w:val="0"/>
                <w:sz w:val="27"/>
                <w:szCs w:val="27"/>
                <w:shd w:val="clear" w:fill="FFFFFF"/>
                <w:vertAlign w:val="baseline"/>
                <w:lang w:val="en-US" w:eastAsia="zh-CN"/>
              </w:rPr>
              <w:t>5</w:t>
            </w:r>
          </w:p>
        </w:tc>
        <w:tc>
          <w:tcPr>
            <w:tcW w:w="2145" w:type="dxa"/>
            <w:vAlign w:val="center"/>
          </w:tcPr>
          <w:p w14:paraId="5DF9BCDB">
            <w:pPr>
              <w:numPr>
                <w:ilvl w:val="0"/>
                <w:numId w:val="0"/>
              </w:numPr>
              <w:jc w:val="center"/>
              <w:rPr>
                <w:rFonts w:hint="default" w:ascii="方正仿宋_GB2312" w:hAnsi="方正仿宋_GB2312" w:eastAsia="方正仿宋_GB2312" w:cs="方正仿宋_GB2312"/>
                <w:i w:val="0"/>
                <w:caps w:val="0"/>
                <w:color w:val="333333"/>
                <w:spacing w:val="0"/>
                <w:sz w:val="28"/>
                <w:szCs w:val="28"/>
                <w:shd w:val="clear" w:fill="FFFFFF"/>
                <w:vertAlign w:val="baseline"/>
                <w:lang w:val="en-US" w:eastAsia="zh-CN"/>
              </w:rPr>
            </w:pPr>
            <w:r>
              <w:rPr>
                <w:rFonts w:hint="eastAsia" w:ascii="方正仿宋_GB2312" w:hAnsi="方正仿宋_GB2312" w:eastAsia="方正仿宋_GB2312" w:cs="方正仿宋_GB2312"/>
                <w:i w:val="0"/>
                <w:caps w:val="0"/>
                <w:color w:val="333333"/>
                <w:spacing w:val="0"/>
                <w:sz w:val="28"/>
                <w:szCs w:val="28"/>
                <w:shd w:val="clear" w:fill="FFFFFF"/>
                <w:vertAlign w:val="baseline"/>
                <w:lang w:val="en-US" w:eastAsia="zh-CN"/>
              </w:rPr>
              <w:t>都拉塔口岸（068乡道）固定监测站</w:t>
            </w:r>
          </w:p>
        </w:tc>
        <w:tc>
          <w:tcPr>
            <w:tcW w:w="2374" w:type="dxa"/>
            <w:vAlign w:val="center"/>
          </w:tcPr>
          <w:p w14:paraId="0DFBDBD9">
            <w:pPr>
              <w:jc w:val="center"/>
              <w:rPr>
                <w:rFonts w:hint="eastAsia" w:ascii="方正仿宋_GB2312" w:hAnsi="方正仿宋_GB2312" w:eastAsia="方正仿宋_GB2312" w:cs="方正仿宋_GB2312"/>
                <w:kern w:val="2"/>
                <w:sz w:val="21"/>
                <w:szCs w:val="24"/>
                <w:lang w:val="en-US" w:eastAsia="zh-CN" w:bidi="ar-SA"/>
              </w:rPr>
            </w:pPr>
          </w:p>
          <w:p w14:paraId="4741FB3E">
            <w:pPr>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伊犁州无线电管理中心四楼机房（伊宁市边境经济合作区辽宁路103号）</w:t>
            </w:r>
          </w:p>
        </w:tc>
        <w:tc>
          <w:tcPr>
            <w:tcW w:w="1600" w:type="dxa"/>
            <w:vAlign w:val="center"/>
          </w:tcPr>
          <w:p w14:paraId="79D9A962">
            <w:pPr>
              <w:numPr>
                <w:ilvl w:val="0"/>
                <w:numId w:val="0"/>
              </w:numPr>
              <w:ind w:left="0" w:leftChars="0" w:firstLine="0" w:firstLineChars="0"/>
              <w:jc w:val="center"/>
              <w:rPr>
                <w:rFonts w:hint="eastAsia" w:ascii="方正仿宋_GB2312" w:hAnsi="方正仿宋_GB2312" w:eastAsia="方正仿宋_GB2312" w:cs="方正仿宋_GB2312"/>
                <w:i w:val="0"/>
                <w:caps w:val="0"/>
                <w:color w:val="333333"/>
                <w:spacing w:val="0"/>
                <w:sz w:val="27"/>
                <w:szCs w:val="27"/>
                <w:shd w:val="clear" w:fill="FFFFFF"/>
                <w:vertAlign w:val="baseline"/>
                <w:lang w:val="en-US" w:eastAsia="zh-CN"/>
              </w:rPr>
            </w:pPr>
            <w:r>
              <w:rPr>
                <w:rFonts w:hint="eastAsia" w:ascii="方正仿宋_GB2312" w:hAnsi="方正仿宋_GB2312" w:eastAsia="方正仿宋_GB2312" w:cs="方正仿宋_GB2312"/>
                <w:i w:val="0"/>
                <w:caps w:val="0"/>
                <w:color w:val="333333"/>
                <w:spacing w:val="0"/>
                <w:sz w:val="27"/>
                <w:szCs w:val="27"/>
                <w:shd w:val="clear" w:fill="FFFFFF"/>
                <w:vertAlign w:val="baseline"/>
                <w:lang w:val="en-US" w:eastAsia="zh-CN"/>
              </w:rPr>
              <w:t>不小于20</w:t>
            </w:r>
          </w:p>
        </w:tc>
        <w:tc>
          <w:tcPr>
            <w:tcW w:w="1587" w:type="dxa"/>
            <w:vAlign w:val="center"/>
          </w:tcPr>
          <w:p w14:paraId="2F93DB77">
            <w:pPr>
              <w:numPr>
                <w:ilvl w:val="0"/>
                <w:numId w:val="0"/>
              </w:numPr>
              <w:jc w:val="center"/>
              <w:rPr>
                <w:rFonts w:hint="default" w:ascii="方正仿宋_GB2312" w:hAnsi="方正仿宋_GB2312" w:eastAsia="方正仿宋_GB2312" w:cs="方正仿宋_GB2312"/>
                <w:i w:val="0"/>
                <w:caps w:val="0"/>
                <w:color w:val="333333"/>
                <w:spacing w:val="0"/>
                <w:sz w:val="27"/>
                <w:szCs w:val="27"/>
                <w:shd w:val="clear" w:fill="FFFFFF"/>
                <w:vertAlign w:val="baseline"/>
                <w:lang w:val="en-US" w:eastAsia="zh-CN"/>
              </w:rPr>
            </w:pPr>
            <w:r>
              <w:rPr>
                <w:rFonts w:hint="eastAsia" w:ascii="方正仿宋_GB2312" w:hAnsi="方正仿宋_GB2312" w:eastAsia="方正仿宋_GB2312" w:cs="方正仿宋_GB2312"/>
                <w:i w:val="0"/>
                <w:caps w:val="0"/>
                <w:color w:val="333333"/>
                <w:spacing w:val="0"/>
                <w:sz w:val="27"/>
                <w:szCs w:val="27"/>
                <w:shd w:val="clear" w:fill="FFFFFF"/>
                <w:vertAlign w:val="baseline"/>
                <w:lang w:val="en-US" w:eastAsia="zh-CN"/>
              </w:rPr>
              <w:t>1年</w:t>
            </w:r>
          </w:p>
        </w:tc>
      </w:tr>
      <w:tr w14:paraId="03BB0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28CE3155">
            <w:pPr>
              <w:numPr>
                <w:ilvl w:val="0"/>
                <w:numId w:val="0"/>
              </w:numPr>
              <w:jc w:val="center"/>
              <w:rPr>
                <w:rFonts w:hint="default" w:ascii="方正仿宋_GB2312" w:hAnsi="方正仿宋_GB2312" w:eastAsia="方正仿宋_GB2312" w:cs="方正仿宋_GB2312"/>
                <w:i w:val="0"/>
                <w:caps w:val="0"/>
                <w:color w:val="333333"/>
                <w:spacing w:val="0"/>
                <w:sz w:val="27"/>
                <w:szCs w:val="27"/>
                <w:shd w:val="clear" w:fill="FFFFFF"/>
                <w:vertAlign w:val="baseline"/>
                <w:lang w:val="en-US" w:eastAsia="zh-CN"/>
              </w:rPr>
            </w:pPr>
            <w:r>
              <w:rPr>
                <w:rFonts w:hint="eastAsia" w:ascii="方正仿宋_GB2312" w:hAnsi="方正仿宋_GB2312" w:eastAsia="方正仿宋_GB2312" w:cs="方正仿宋_GB2312"/>
                <w:i w:val="0"/>
                <w:caps w:val="0"/>
                <w:color w:val="333333"/>
                <w:spacing w:val="0"/>
                <w:sz w:val="27"/>
                <w:szCs w:val="27"/>
                <w:shd w:val="clear" w:fill="FFFFFF"/>
                <w:vertAlign w:val="baseline"/>
                <w:lang w:val="en-US" w:eastAsia="zh-CN"/>
              </w:rPr>
              <w:t>6</w:t>
            </w:r>
          </w:p>
        </w:tc>
        <w:tc>
          <w:tcPr>
            <w:tcW w:w="2145" w:type="dxa"/>
            <w:vAlign w:val="center"/>
          </w:tcPr>
          <w:p w14:paraId="63988157">
            <w:pPr>
              <w:numPr>
                <w:ilvl w:val="0"/>
                <w:numId w:val="0"/>
              </w:numPr>
              <w:jc w:val="center"/>
              <w:rPr>
                <w:rFonts w:hint="default" w:ascii="方正仿宋_GB2312" w:hAnsi="方正仿宋_GB2312" w:eastAsia="方正仿宋_GB2312" w:cs="方正仿宋_GB2312"/>
                <w:i w:val="0"/>
                <w:caps w:val="0"/>
                <w:color w:val="333333"/>
                <w:spacing w:val="0"/>
                <w:sz w:val="28"/>
                <w:szCs w:val="28"/>
                <w:shd w:val="clear" w:fill="FFFFFF"/>
                <w:vertAlign w:val="baseline"/>
                <w:lang w:val="en-US" w:eastAsia="zh-CN"/>
              </w:rPr>
            </w:pPr>
            <w:r>
              <w:rPr>
                <w:rFonts w:hint="eastAsia" w:ascii="方正仿宋_GB2312" w:hAnsi="方正仿宋_GB2312" w:eastAsia="方正仿宋_GB2312" w:cs="方正仿宋_GB2312"/>
                <w:i w:val="0"/>
                <w:caps w:val="0"/>
                <w:color w:val="333333"/>
                <w:spacing w:val="0"/>
                <w:sz w:val="28"/>
                <w:szCs w:val="28"/>
                <w:shd w:val="clear" w:fill="FFFFFF"/>
                <w:vertAlign w:val="baseline"/>
                <w:lang w:val="en-US" w:eastAsia="zh-CN"/>
              </w:rPr>
              <w:t>霍尔果斯市陇海路固定监测站</w:t>
            </w:r>
          </w:p>
        </w:tc>
        <w:tc>
          <w:tcPr>
            <w:tcW w:w="2374" w:type="dxa"/>
            <w:vAlign w:val="center"/>
          </w:tcPr>
          <w:p w14:paraId="7D0F09C4">
            <w:pPr>
              <w:jc w:val="center"/>
              <w:rPr>
                <w:rFonts w:hint="eastAsia" w:ascii="方正仿宋_GB2312" w:hAnsi="方正仿宋_GB2312" w:eastAsia="方正仿宋_GB2312" w:cs="方正仿宋_GB2312"/>
                <w:kern w:val="2"/>
                <w:sz w:val="21"/>
                <w:szCs w:val="24"/>
                <w:lang w:val="en-US" w:eastAsia="zh-CN" w:bidi="ar-SA"/>
              </w:rPr>
            </w:pPr>
          </w:p>
          <w:p w14:paraId="64D45B63">
            <w:pPr>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伊犁州无线电管理中心四楼机房（伊宁市边境经济合作区辽宁路103号）</w:t>
            </w:r>
          </w:p>
        </w:tc>
        <w:tc>
          <w:tcPr>
            <w:tcW w:w="1600" w:type="dxa"/>
            <w:vAlign w:val="center"/>
          </w:tcPr>
          <w:p w14:paraId="4C1F0882">
            <w:pPr>
              <w:numPr>
                <w:ilvl w:val="0"/>
                <w:numId w:val="0"/>
              </w:numPr>
              <w:ind w:left="0" w:leftChars="0" w:firstLine="0" w:firstLineChars="0"/>
              <w:jc w:val="center"/>
              <w:rPr>
                <w:rFonts w:hint="eastAsia" w:ascii="方正仿宋_GB2312" w:hAnsi="方正仿宋_GB2312" w:eastAsia="方正仿宋_GB2312" w:cs="方正仿宋_GB2312"/>
                <w:i w:val="0"/>
                <w:caps w:val="0"/>
                <w:color w:val="333333"/>
                <w:spacing w:val="0"/>
                <w:sz w:val="27"/>
                <w:szCs w:val="27"/>
                <w:shd w:val="clear" w:fill="FFFFFF"/>
                <w:vertAlign w:val="baseline"/>
                <w:lang w:val="en-US" w:eastAsia="zh-CN"/>
              </w:rPr>
            </w:pPr>
            <w:r>
              <w:rPr>
                <w:rFonts w:hint="eastAsia" w:ascii="方正仿宋_GB2312" w:hAnsi="方正仿宋_GB2312" w:eastAsia="方正仿宋_GB2312" w:cs="方正仿宋_GB2312"/>
                <w:i w:val="0"/>
                <w:caps w:val="0"/>
                <w:color w:val="333333"/>
                <w:spacing w:val="0"/>
                <w:sz w:val="27"/>
                <w:szCs w:val="27"/>
                <w:shd w:val="clear" w:fill="FFFFFF"/>
                <w:vertAlign w:val="baseline"/>
                <w:lang w:val="en-US" w:eastAsia="zh-CN"/>
              </w:rPr>
              <w:t>不小于20</w:t>
            </w:r>
          </w:p>
        </w:tc>
        <w:tc>
          <w:tcPr>
            <w:tcW w:w="1587" w:type="dxa"/>
            <w:vAlign w:val="center"/>
          </w:tcPr>
          <w:p w14:paraId="6B46F6A7">
            <w:pPr>
              <w:numPr>
                <w:ilvl w:val="0"/>
                <w:numId w:val="0"/>
              </w:numPr>
              <w:jc w:val="center"/>
              <w:rPr>
                <w:rFonts w:hint="eastAsia" w:ascii="方正仿宋_GB2312" w:hAnsi="方正仿宋_GB2312" w:eastAsia="方正仿宋_GB2312" w:cs="方正仿宋_GB2312"/>
                <w:i w:val="0"/>
                <w:caps w:val="0"/>
                <w:color w:val="333333"/>
                <w:spacing w:val="0"/>
                <w:sz w:val="27"/>
                <w:szCs w:val="27"/>
                <w:shd w:val="clear" w:fill="FFFFFF"/>
                <w:vertAlign w:val="baseline"/>
                <w:lang w:val="en-US" w:eastAsia="zh-CN"/>
              </w:rPr>
            </w:pPr>
            <w:r>
              <w:rPr>
                <w:rFonts w:hint="eastAsia" w:ascii="方正仿宋_GB2312" w:hAnsi="方正仿宋_GB2312" w:eastAsia="方正仿宋_GB2312" w:cs="方正仿宋_GB2312"/>
                <w:i w:val="0"/>
                <w:caps w:val="0"/>
                <w:color w:val="333333"/>
                <w:spacing w:val="0"/>
                <w:sz w:val="27"/>
                <w:szCs w:val="27"/>
                <w:shd w:val="clear" w:fill="FFFFFF"/>
                <w:vertAlign w:val="baseline"/>
                <w:lang w:val="en-US" w:eastAsia="zh-CN"/>
              </w:rPr>
              <w:t>1年</w:t>
            </w:r>
          </w:p>
        </w:tc>
      </w:tr>
      <w:tr w14:paraId="13E5C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432E30BF">
            <w:pPr>
              <w:numPr>
                <w:ilvl w:val="0"/>
                <w:numId w:val="0"/>
              </w:numPr>
              <w:jc w:val="center"/>
              <w:rPr>
                <w:rFonts w:hint="default" w:ascii="方正仿宋_GB2312" w:hAnsi="方正仿宋_GB2312" w:eastAsia="方正仿宋_GB2312" w:cs="方正仿宋_GB2312"/>
                <w:i w:val="0"/>
                <w:caps w:val="0"/>
                <w:color w:val="333333"/>
                <w:spacing w:val="0"/>
                <w:sz w:val="27"/>
                <w:szCs w:val="27"/>
                <w:shd w:val="clear" w:fill="FFFFFF"/>
                <w:vertAlign w:val="baseline"/>
                <w:lang w:val="en-US" w:eastAsia="zh-CN"/>
              </w:rPr>
            </w:pPr>
            <w:r>
              <w:rPr>
                <w:rFonts w:hint="eastAsia" w:ascii="方正仿宋_GB2312" w:hAnsi="方正仿宋_GB2312" w:eastAsia="方正仿宋_GB2312" w:cs="方正仿宋_GB2312"/>
                <w:i w:val="0"/>
                <w:caps w:val="0"/>
                <w:color w:val="333333"/>
                <w:spacing w:val="0"/>
                <w:sz w:val="27"/>
                <w:szCs w:val="27"/>
                <w:shd w:val="clear" w:fill="FFFFFF"/>
                <w:vertAlign w:val="baseline"/>
                <w:lang w:val="en-US" w:eastAsia="zh-CN"/>
              </w:rPr>
              <w:t>7</w:t>
            </w:r>
          </w:p>
        </w:tc>
        <w:tc>
          <w:tcPr>
            <w:tcW w:w="2145" w:type="dxa"/>
            <w:vAlign w:val="center"/>
          </w:tcPr>
          <w:p w14:paraId="24BE0C87">
            <w:pPr>
              <w:numPr>
                <w:ilvl w:val="0"/>
                <w:numId w:val="0"/>
              </w:numPr>
              <w:jc w:val="center"/>
              <w:rPr>
                <w:rFonts w:hint="default" w:ascii="方正仿宋_GB2312" w:hAnsi="方正仿宋_GB2312" w:eastAsia="方正仿宋_GB2312" w:cs="方正仿宋_GB2312"/>
                <w:i w:val="0"/>
                <w:caps w:val="0"/>
                <w:color w:val="333333"/>
                <w:spacing w:val="0"/>
                <w:sz w:val="28"/>
                <w:szCs w:val="28"/>
                <w:shd w:val="clear" w:fill="FFFFFF"/>
                <w:vertAlign w:val="baseline"/>
                <w:lang w:val="en-US" w:eastAsia="zh-CN"/>
              </w:rPr>
            </w:pPr>
            <w:r>
              <w:rPr>
                <w:rFonts w:hint="eastAsia" w:ascii="方正仿宋_GB2312" w:hAnsi="方正仿宋_GB2312" w:eastAsia="方正仿宋_GB2312" w:cs="方正仿宋_GB2312"/>
                <w:i w:val="0"/>
                <w:caps w:val="0"/>
                <w:color w:val="333333"/>
                <w:spacing w:val="0"/>
                <w:sz w:val="28"/>
                <w:szCs w:val="28"/>
                <w:shd w:val="clear" w:fill="FFFFFF"/>
                <w:vertAlign w:val="baseline"/>
                <w:lang w:val="en-US" w:eastAsia="zh-CN"/>
              </w:rPr>
              <w:t>可克达拉市63团团部固定监测站</w:t>
            </w:r>
          </w:p>
        </w:tc>
        <w:tc>
          <w:tcPr>
            <w:tcW w:w="2374" w:type="dxa"/>
            <w:vAlign w:val="center"/>
          </w:tcPr>
          <w:p w14:paraId="51D2DF57">
            <w:pPr>
              <w:jc w:val="center"/>
              <w:rPr>
                <w:rFonts w:hint="eastAsia" w:ascii="方正仿宋_GB2312" w:hAnsi="方正仿宋_GB2312" w:eastAsia="方正仿宋_GB2312" w:cs="方正仿宋_GB2312"/>
                <w:kern w:val="2"/>
                <w:sz w:val="21"/>
                <w:szCs w:val="24"/>
                <w:lang w:val="en-US" w:eastAsia="zh-CN" w:bidi="ar-SA"/>
              </w:rPr>
            </w:pPr>
          </w:p>
          <w:p w14:paraId="700C388E">
            <w:pPr>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伊犁州无线电管理中心四楼机房（伊宁市边境经济合作区辽宁路103号）</w:t>
            </w:r>
          </w:p>
        </w:tc>
        <w:tc>
          <w:tcPr>
            <w:tcW w:w="1600" w:type="dxa"/>
            <w:vAlign w:val="center"/>
          </w:tcPr>
          <w:p w14:paraId="3A76A0AF">
            <w:pPr>
              <w:numPr>
                <w:ilvl w:val="0"/>
                <w:numId w:val="0"/>
              </w:numPr>
              <w:ind w:left="0" w:leftChars="0" w:firstLine="0" w:firstLineChars="0"/>
              <w:jc w:val="center"/>
              <w:rPr>
                <w:rFonts w:hint="eastAsia" w:ascii="方正仿宋_GB2312" w:hAnsi="方正仿宋_GB2312" w:eastAsia="方正仿宋_GB2312" w:cs="方正仿宋_GB2312"/>
                <w:i w:val="0"/>
                <w:caps w:val="0"/>
                <w:color w:val="333333"/>
                <w:spacing w:val="0"/>
                <w:sz w:val="27"/>
                <w:szCs w:val="27"/>
                <w:shd w:val="clear" w:fill="FFFFFF"/>
                <w:vertAlign w:val="baseline"/>
                <w:lang w:val="en-US" w:eastAsia="zh-CN"/>
              </w:rPr>
            </w:pPr>
            <w:r>
              <w:rPr>
                <w:rFonts w:hint="eastAsia" w:ascii="方正仿宋_GB2312" w:hAnsi="方正仿宋_GB2312" w:eastAsia="方正仿宋_GB2312" w:cs="方正仿宋_GB2312"/>
                <w:i w:val="0"/>
                <w:caps w:val="0"/>
                <w:color w:val="333333"/>
                <w:spacing w:val="0"/>
                <w:sz w:val="27"/>
                <w:szCs w:val="27"/>
                <w:shd w:val="clear" w:fill="FFFFFF"/>
                <w:vertAlign w:val="baseline"/>
                <w:lang w:val="en-US" w:eastAsia="zh-CN"/>
              </w:rPr>
              <w:t>不小于20</w:t>
            </w:r>
          </w:p>
        </w:tc>
        <w:tc>
          <w:tcPr>
            <w:tcW w:w="1587" w:type="dxa"/>
            <w:vAlign w:val="center"/>
          </w:tcPr>
          <w:p w14:paraId="3B445950">
            <w:pPr>
              <w:numPr>
                <w:ilvl w:val="0"/>
                <w:numId w:val="0"/>
              </w:numPr>
              <w:jc w:val="center"/>
              <w:rPr>
                <w:rFonts w:hint="eastAsia" w:ascii="方正仿宋_GB2312" w:hAnsi="方正仿宋_GB2312" w:eastAsia="方正仿宋_GB2312" w:cs="方正仿宋_GB2312"/>
                <w:i w:val="0"/>
                <w:caps w:val="0"/>
                <w:color w:val="333333"/>
                <w:spacing w:val="0"/>
                <w:sz w:val="27"/>
                <w:szCs w:val="27"/>
                <w:shd w:val="clear" w:fill="FFFFFF"/>
                <w:vertAlign w:val="baseline"/>
                <w:lang w:val="en-US" w:eastAsia="zh-CN"/>
              </w:rPr>
            </w:pPr>
            <w:r>
              <w:rPr>
                <w:rFonts w:hint="eastAsia" w:ascii="方正仿宋_GB2312" w:hAnsi="方正仿宋_GB2312" w:eastAsia="方正仿宋_GB2312" w:cs="方正仿宋_GB2312"/>
                <w:i w:val="0"/>
                <w:caps w:val="0"/>
                <w:color w:val="333333"/>
                <w:spacing w:val="0"/>
                <w:sz w:val="27"/>
                <w:szCs w:val="27"/>
                <w:shd w:val="clear" w:fill="FFFFFF"/>
                <w:vertAlign w:val="baseline"/>
                <w:lang w:val="en-US" w:eastAsia="zh-CN"/>
              </w:rPr>
              <w:t>1年</w:t>
            </w:r>
          </w:p>
        </w:tc>
      </w:tr>
      <w:tr w14:paraId="11344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3DCE869D">
            <w:pPr>
              <w:numPr>
                <w:ilvl w:val="0"/>
                <w:numId w:val="0"/>
              </w:numPr>
              <w:jc w:val="center"/>
              <w:rPr>
                <w:rFonts w:hint="default" w:ascii="方正仿宋_GB2312" w:hAnsi="方正仿宋_GB2312" w:eastAsia="方正仿宋_GB2312" w:cs="方正仿宋_GB2312"/>
                <w:i w:val="0"/>
                <w:caps w:val="0"/>
                <w:color w:val="333333"/>
                <w:spacing w:val="0"/>
                <w:sz w:val="27"/>
                <w:szCs w:val="27"/>
                <w:shd w:val="clear" w:fill="FFFFFF"/>
                <w:vertAlign w:val="baseline"/>
                <w:lang w:val="en-US" w:eastAsia="zh-CN"/>
              </w:rPr>
            </w:pPr>
            <w:r>
              <w:rPr>
                <w:rFonts w:hint="eastAsia" w:ascii="方正仿宋_GB2312" w:hAnsi="方正仿宋_GB2312" w:eastAsia="方正仿宋_GB2312" w:cs="方正仿宋_GB2312"/>
                <w:i w:val="0"/>
                <w:caps w:val="0"/>
                <w:color w:val="333333"/>
                <w:spacing w:val="0"/>
                <w:sz w:val="27"/>
                <w:szCs w:val="27"/>
                <w:shd w:val="clear" w:fill="FFFFFF"/>
                <w:vertAlign w:val="baseline"/>
                <w:lang w:val="en-US" w:eastAsia="zh-CN"/>
              </w:rPr>
              <w:t>8</w:t>
            </w:r>
          </w:p>
        </w:tc>
        <w:tc>
          <w:tcPr>
            <w:tcW w:w="2145" w:type="dxa"/>
            <w:vAlign w:val="center"/>
          </w:tcPr>
          <w:p w14:paraId="3DED9F34">
            <w:pPr>
              <w:numPr>
                <w:ilvl w:val="0"/>
                <w:numId w:val="0"/>
              </w:numPr>
              <w:jc w:val="center"/>
              <w:rPr>
                <w:rFonts w:hint="eastAsia" w:ascii="方正仿宋_GB2312" w:hAnsi="方正仿宋_GB2312" w:eastAsia="方正仿宋_GB2312" w:cs="方正仿宋_GB2312"/>
                <w:i w:val="0"/>
                <w:caps w:val="0"/>
                <w:color w:val="333333"/>
                <w:spacing w:val="0"/>
                <w:sz w:val="28"/>
                <w:szCs w:val="28"/>
                <w:shd w:val="clear" w:fill="FFFFFF"/>
                <w:vertAlign w:val="baseline"/>
                <w:lang w:val="en-US" w:eastAsia="zh-CN"/>
              </w:rPr>
            </w:pPr>
            <w:r>
              <w:rPr>
                <w:rFonts w:hint="eastAsia" w:ascii="方正仿宋_GB2312" w:hAnsi="方正仿宋_GB2312" w:eastAsia="方正仿宋_GB2312" w:cs="方正仿宋_GB2312"/>
                <w:i w:val="0"/>
                <w:caps w:val="0"/>
                <w:color w:val="333333"/>
                <w:spacing w:val="0"/>
                <w:sz w:val="28"/>
                <w:szCs w:val="28"/>
                <w:shd w:val="clear" w:fill="FFFFFF"/>
                <w:vertAlign w:val="baseline"/>
                <w:lang w:val="en-US" w:eastAsia="zh-CN"/>
              </w:rPr>
              <w:t>自治区财政专线</w:t>
            </w:r>
          </w:p>
        </w:tc>
        <w:tc>
          <w:tcPr>
            <w:tcW w:w="2374" w:type="dxa"/>
            <w:vAlign w:val="center"/>
          </w:tcPr>
          <w:p w14:paraId="3FFD2386">
            <w:pPr>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伊犁州无线电管理中心四楼机房（伊宁市边境经济合作区辽宁路103号）</w:t>
            </w:r>
          </w:p>
        </w:tc>
        <w:tc>
          <w:tcPr>
            <w:tcW w:w="1600" w:type="dxa"/>
            <w:vAlign w:val="center"/>
          </w:tcPr>
          <w:p w14:paraId="57667C12">
            <w:pPr>
              <w:numPr>
                <w:ilvl w:val="0"/>
                <w:numId w:val="0"/>
              </w:numPr>
              <w:jc w:val="center"/>
              <w:rPr>
                <w:rFonts w:hint="default" w:ascii="方正仿宋_GB2312" w:hAnsi="方正仿宋_GB2312" w:eastAsia="方正仿宋_GB2312" w:cs="方正仿宋_GB2312"/>
                <w:i w:val="0"/>
                <w:caps w:val="0"/>
                <w:color w:val="333333"/>
                <w:spacing w:val="0"/>
                <w:sz w:val="27"/>
                <w:szCs w:val="27"/>
                <w:shd w:val="clear" w:fill="FFFFFF"/>
                <w:vertAlign w:val="baseline"/>
                <w:lang w:val="en-US" w:eastAsia="zh-CN"/>
              </w:rPr>
            </w:pPr>
          </w:p>
        </w:tc>
        <w:tc>
          <w:tcPr>
            <w:tcW w:w="1587" w:type="dxa"/>
            <w:vAlign w:val="center"/>
          </w:tcPr>
          <w:p w14:paraId="086CC308">
            <w:pPr>
              <w:numPr>
                <w:ilvl w:val="0"/>
                <w:numId w:val="0"/>
              </w:numPr>
              <w:jc w:val="center"/>
              <w:rPr>
                <w:rFonts w:hint="eastAsia" w:ascii="方正仿宋_GB2312" w:hAnsi="方正仿宋_GB2312" w:eastAsia="方正仿宋_GB2312" w:cs="方正仿宋_GB2312"/>
                <w:i w:val="0"/>
                <w:caps w:val="0"/>
                <w:color w:val="333333"/>
                <w:spacing w:val="0"/>
                <w:sz w:val="27"/>
                <w:szCs w:val="27"/>
                <w:shd w:val="clear" w:fill="FFFFFF"/>
                <w:vertAlign w:val="baseline"/>
                <w:lang w:val="en-US" w:eastAsia="zh-CN"/>
              </w:rPr>
            </w:pPr>
            <w:r>
              <w:rPr>
                <w:rFonts w:hint="eastAsia" w:ascii="方正仿宋_GB2312" w:hAnsi="方正仿宋_GB2312" w:eastAsia="方正仿宋_GB2312" w:cs="方正仿宋_GB2312"/>
                <w:i w:val="0"/>
                <w:caps w:val="0"/>
                <w:color w:val="333333"/>
                <w:spacing w:val="0"/>
                <w:sz w:val="27"/>
                <w:szCs w:val="27"/>
                <w:shd w:val="clear" w:fill="FFFFFF"/>
                <w:vertAlign w:val="baseline"/>
                <w:lang w:val="en-US" w:eastAsia="zh-CN"/>
              </w:rPr>
              <w:t>1年</w:t>
            </w:r>
          </w:p>
        </w:tc>
      </w:tr>
    </w:tbl>
    <w:p w14:paraId="2FA55B24">
      <w:pPr>
        <w:ind w:left="596" w:leftChars="284" w:firstLine="0" w:firstLineChars="0"/>
        <w:rPr>
          <w:rFonts w:hint="default"/>
          <w:sz w:val="30"/>
          <w:szCs w:val="30"/>
          <w:lang w:val="en-US" w:eastAsia="zh-CN"/>
        </w:rPr>
      </w:pPr>
      <w:r>
        <w:rPr>
          <w:rFonts w:hint="eastAsia"/>
          <w:sz w:val="30"/>
          <w:szCs w:val="30"/>
          <w:lang w:val="en-US" w:eastAsia="zh-CN"/>
        </w:rPr>
        <w:t>三、租赁服务时间</w:t>
      </w:r>
    </w:p>
    <w:p w14:paraId="20389DB1">
      <w:pPr>
        <w:pStyle w:val="3"/>
        <w:ind w:firstLine="640" w:firstLineChars="200"/>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租赁服务时间以上一年到期续接时间为准，为期1年。</w:t>
      </w:r>
    </w:p>
    <w:p w14:paraId="77512F66">
      <w:pPr>
        <w:ind w:left="596" w:leftChars="284" w:firstLine="0" w:firstLineChars="0"/>
        <w:rPr>
          <w:rFonts w:hint="eastAsia"/>
          <w:sz w:val="30"/>
          <w:szCs w:val="30"/>
          <w:lang w:val="en-US" w:eastAsia="zh-CN"/>
        </w:rPr>
      </w:pPr>
      <w:bookmarkStart w:id="0" w:name="_GoBack"/>
      <w:bookmarkEnd w:id="0"/>
      <w:r>
        <w:rPr>
          <w:rFonts w:hint="eastAsia"/>
          <w:sz w:val="30"/>
          <w:szCs w:val="30"/>
          <w:lang w:val="en-US" w:eastAsia="zh-CN"/>
        </w:rPr>
        <w:t>四、项目要求</w:t>
      </w:r>
    </w:p>
    <w:p w14:paraId="50EE0BF7">
      <w:pPr>
        <w:keepNext w:val="0"/>
        <w:keepLines w:val="0"/>
        <w:pageBreakBefore w:val="0"/>
        <w:kinsoku/>
        <w:wordWrap/>
        <w:overflowPunct/>
        <w:topLinePunct w:val="0"/>
        <w:bidi w:val="0"/>
        <w:spacing w:line="560" w:lineRule="exact"/>
        <w:ind w:firstLine="643" w:firstLineChars="200"/>
        <w:textAlignment w:val="auto"/>
        <w:rPr>
          <w:rFonts w:ascii="Times New Roman" w:hAnsi="Times New Roman" w:eastAsia="楷体_GB2312"/>
          <w:b/>
          <w:bCs/>
          <w:sz w:val="32"/>
          <w:szCs w:val="32"/>
        </w:rPr>
      </w:pPr>
      <w:r>
        <w:rPr>
          <w:rFonts w:ascii="Times New Roman" w:hAnsi="Times New Roman" w:eastAsia="楷体_GB2312"/>
          <w:b/>
          <w:sz w:val="32"/>
          <w:szCs w:val="32"/>
        </w:rPr>
        <w:t>（一）</w:t>
      </w:r>
      <w:r>
        <w:rPr>
          <w:rFonts w:ascii="Times New Roman" w:hAnsi="Times New Roman" w:eastAsia="楷体_GB2312"/>
          <w:b/>
          <w:bCs/>
          <w:sz w:val="32"/>
          <w:szCs w:val="32"/>
        </w:rPr>
        <w:t>链路质量要求</w:t>
      </w:r>
    </w:p>
    <w:p w14:paraId="0120BCE4">
      <w:pPr>
        <w:pStyle w:val="3"/>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1.</w:t>
      </w:r>
      <w:r>
        <w:rPr>
          <w:rFonts w:hint="eastAsia" w:ascii="方正仿宋_GB2312" w:hAnsi="方正仿宋_GB2312" w:eastAsia="方正仿宋_GB2312" w:cs="方正仿宋_GB2312"/>
          <w:sz w:val="32"/>
          <w:szCs w:val="32"/>
        </w:rPr>
        <w:t>链路传输比特差错率</w:t>
      </w:r>
      <w:r>
        <w:rPr>
          <w:rFonts w:hint="eastAsia" w:ascii="方正仿宋_GB2312" w:hAnsi="方正仿宋_GB2312" w:eastAsia="方正仿宋_GB2312" w:cs="方正仿宋_GB2312"/>
          <w:color w:val="000000"/>
          <w:sz w:val="32"/>
          <w:szCs w:val="32"/>
        </w:rPr>
        <w:t>&lt;1×10</w:t>
      </w:r>
      <w:r>
        <w:rPr>
          <w:rFonts w:hint="eastAsia" w:ascii="方正仿宋_GB2312" w:hAnsi="方正仿宋_GB2312" w:eastAsia="方正仿宋_GB2312" w:cs="方正仿宋_GB2312"/>
          <w:color w:val="000000"/>
          <w:sz w:val="32"/>
          <w:szCs w:val="32"/>
          <w:vertAlign w:val="superscript"/>
        </w:rPr>
        <w:t>-8</w:t>
      </w:r>
      <w:r>
        <w:rPr>
          <w:rFonts w:hint="eastAsia" w:ascii="方正仿宋_GB2312" w:hAnsi="方正仿宋_GB2312" w:eastAsia="方正仿宋_GB2312" w:cs="方正仿宋_GB2312"/>
          <w:sz w:val="32"/>
          <w:szCs w:val="32"/>
        </w:rPr>
        <w:t>；</w:t>
      </w:r>
    </w:p>
    <w:p w14:paraId="410CBB51">
      <w:pPr>
        <w:pStyle w:val="3"/>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2.链路可用率&gt;99.99%；</w:t>
      </w:r>
    </w:p>
    <w:p w14:paraId="3B22E61A">
      <w:pPr>
        <w:pStyle w:val="3"/>
        <w:ind w:firstLine="640" w:firstLineChars="200"/>
        <w:rPr>
          <w:rFonts w:hint="default"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3.链路传输时延&lt;10ms；</w:t>
      </w:r>
    </w:p>
    <w:p w14:paraId="5E3E7226">
      <w:pPr>
        <w:keepNext w:val="0"/>
        <w:keepLines w:val="0"/>
        <w:pageBreakBefore w:val="0"/>
        <w:kinsoku/>
        <w:wordWrap/>
        <w:overflowPunct/>
        <w:topLinePunct w:val="0"/>
        <w:bidi w:val="0"/>
        <w:spacing w:line="560" w:lineRule="exact"/>
        <w:ind w:firstLine="643" w:firstLineChars="200"/>
        <w:textAlignment w:val="auto"/>
        <w:rPr>
          <w:rFonts w:ascii="Times New Roman" w:hAnsi="Times New Roman" w:eastAsia="楷体_GB2312"/>
          <w:b/>
          <w:bCs/>
          <w:sz w:val="32"/>
          <w:szCs w:val="32"/>
        </w:rPr>
      </w:pPr>
      <w:r>
        <w:rPr>
          <w:rFonts w:ascii="Times New Roman" w:hAnsi="Times New Roman" w:eastAsia="楷体_GB2312"/>
          <w:b/>
          <w:sz w:val="32"/>
          <w:szCs w:val="32"/>
        </w:rPr>
        <w:t>（二）</w:t>
      </w:r>
      <w:r>
        <w:rPr>
          <w:rFonts w:ascii="Times New Roman" w:hAnsi="Times New Roman" w:eastAsia="楷体_GB2312"/>
          <w:b/>
          <w:bCs/>
          <w:sz w:val="32"/>
          <w:szCs w:val="32"/>
        </w:rPr>
        <w:t>建设要求</w:t>
      </w:r>
    </w:p>
    <w:p w14:paraId="1580E457">
      <w:pPr>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sz w:val="32"/>
          <w:szCs w:val="32"/>
        </w:rPr>
      </w:pPr>
      <w:r>
        <w:rPr>
          <w:rFonts w:hint="eastAsia" w:ascii="方正仿宋_GB2312" w:hAnsi="方正仿宋_GB2312" w:eastAsia="方正仿宋_GB2312" w:cs="方正仿宋_GB2312"/>
          <w:b w:val="0"/>
          <w:bCs w:val="0"/>
          <w:sz w:val="32"/>
          <w:szCs w:val="32"/>
          <w:lang w:val="en-US" w:eastAsia="zh-CN"/>
        </w:rPr>
        <w:t>1.</w:t>
      </w:r>
      <w:r>
        <w:rPr>
          <w:rFonts w:hint="eastAsia" w:ascii="方正仿宋_GB2312" w:hAnsi="方正仿宋_GB2312" w:eastAsia="方正仿宋_GB2312" w:cs="方正仿宋_GB2312"/>
          <w:b w:val="0"/>
          <w:bCs w:val="0"/>
          <w:sz w:val="32"/>
          <w:szCs w:val="32"/>
        </w:rPr>
        <w:t>项目实</w:t>
      </w:r>
      <w:r>
        <w:rPr>
          <w:rFonts w:ascii="Times New Roman" w:hAnsi="Times New Roman" w:eastAsia="仿宋_GB2312"/>
          <w:sz w:val="32"/>
          <w:szCs w:val="32"/>
        </w:rPr>
        <w:t>施期间，不得影响现有</w:t>
      </w:r>
      <w:r>
        <w:rPr>
          <w:rFonts w:hint="eastAsia" w:ascii="Times New Roman" w:hAnsi="Times New Roman" w:eastAsia="仿宋_GB2312"/>
          <w:sz w:val="32"/>
          <w:szCs w:val="32"/>
          <w:lang w:val="en-US" w:eastAsia="zh-CN"/>
        </w:rPr>
        <w:t>专线</w:t>
      </w:r>
      <w:r>
        <w:rPr>
          <w:rFonts w:ascii="Times New Roman" w:hAnsi="Times New Roman" w:eastAsia="仿宋_GB2312"/>
          <w:sz w:val="32"/>
          <w:szCs w:val="32"/>
        </w:rPr>
        <w:t>的正常网络接入，确保网络链路高可靠性、高可用性和高冗余性。</w:t>
      </w:r>
    </w:p>
    <w:p w14:paraId="420917E0">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t>运营商要加强项目组织管理，全面提高网络整体巡检运维管理水平，建立网络安全保障预警机制，满足用户对网络安全应急响应的保障能力。</w:t>
      </w:r>
    </w:p>
    <w:p w14:paraId="3F6E17E6">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3.新中标的供应商要与原供应商开通的业务进行无缝衔接，根据实际承担的链路使用时间自行协商费用的支付。</w:t>
      </w:r>
    </w:p>
    <w:p w14:paraId="36430C0C">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b w:val="0"/>
          <w:kern w:val="2"/>
          <w:sz w:val="32"/>
          <w:szCs w:val="32"/>
          <w:lang w:val="en-US" w:eastAsia="zh-CN" w:bidi="ar-SA"/>
        </w:rPr>
      </w:pPr>
      <w:r>
        <w:rPr>
          <w:rFonts w:hint="eastAsia" w:ascii="方正仿宋_GB2312" w:hAnsi="方正仿宋_GB2312" w:eastAsia="方正仿宋_GB2312" w:cs="方正仿宋_GB2312"/>
          <w:b w:val="0"/>
          <w:kern w:val="2"/>
          <w:sz w:val="32"/>
          <w:szCs w:val="32"/>
          <w:lang w:val="en-US" w:eastAsia="zh-CN" w:bidi="ar-SA"/>
        </w:rPr>
        <w:t>4.采购标的标准：按照国家相关标准。</w:t>
      </w:r>
    </w:p>
    <w:p w14:paraId="63759F37">
      <w:pPr>
        <w:pStyle w:val="2"/>
        <w:pageBreakBefore w:val="0"/>
        <w:widowControl w:val="0"/>
        <w:kinsoku/>
        <w:wordWrap/>
        <w:overflowPunct/>
        <w:topLinePunct w:val="0"/>
        <w:autoSpaceDE/>
        <w:autoSpaceDN/>
        <w:bidi w:val="0"/>
        <w:adjustRightInd/>
        <w:snapToGrid/>
        <w:spacing w:before="0" w:beforeLines="0" w:after="0" w:afterLines="0" w:line="240" w:lineRule="auto"/>
        <w:ind w:firstLine="552"/>
        <w:textAlignment w:val="auto"/>
        <w:rPr>
          <w:rFonts w:hint="eastAsia" w:ascii="方正仿宋_GB2312" w:hAnsi="方正仿宋_GB2312" w:eastAsia="方正仿宋_GB2312" w:cs="方正仿宋_GB2312"/>
          <w:b w:val="0"/>
          <w:kern w:val="2"/>
          <w:sz w:val="32"/>
          <w:szCs w:val="32"/>
          <w:lang w:val="en-US" w:eastAsia="zh-CN" w:bidi="ar-SA"/>
        </w:rPr>
      </w:pPr>
      <w:r>
        <w:rPr>
          <w:rFonts w:hint="eastAsia" w:ascii="方正仿宋_GB2312" w:hAnsi="方正仿宋_GB2312" w:eastAsia="方正仿宋_GB2312" w:cs="方正仿宋_GB2312"/>
          <w:b w:val="0"/>
          <w:kern w:val="2"/>
          <w:sz w:val="32"/>
          <w:szCs w:val="32"/>
          <w:lang w:val="en-US" w:eastAsia="zh-CN" w:bidi="ar-SA"/>
        </w:rPr>
        <w:t>5.采购标的质量、安全、技术规格、物理特性：均按照国家相关标准执行。</w:t>
      </w:r>
    </w:p>
    <w:p w14:paraId="7EF56D5C">
      <w:pPr>
        <w:pStyle w:val="2"/>
        <w:pageBreakBefore w:val="0"/>
        <w:widowControl w:val="0"/>
        <w:kinsoku/>
        <w:wordWrap/>
        <w:overflowPunct/>
        <w:topLinePunct w:val="0"/>
        <w:autoSpaceDE/>
        <w:autoSpaceDN/>
        <w:bidi w:val="0"/>
        <w:adjustRightInd/>
        <w:snapToGrid/>
        <w:spacing w:before="0" w:beforeLines="0" w:after="0" w:afterLines="0" w:line="240" w:lineRule="auto"/>
        <w:ind w:firstLine="581"/>
        <w:textAlignment w:val="auto"/>
        <w:rPr>
          <w:rFonts w:hint="eastAsia" w:ascii="方正仿宋_GB2312" w:hAnsi="方正仿宋_GB2312" w:eastAsia="方正仿宋_GB2312" w:cs="方正仿宋_GB2312"/>
          <w:b w:val="0"/>
          <w:kern w:val="2"/>
          <w:sz w:val="32"/>
          <w:szCs w:val="32"/>
          <w:lang w:val="en-US" w:eastAsia="zh-CN" w:bidi="ar-SA"/>
        </w:rPr>
      </w:pPr>
      <w:r>
        <w:rPr>
          <w:rFonts w:hint="eastAsia" w:ascii="方正仿宋_GB2312" w:hAnsi="方正仿宋_GB2312" w:eastAsia="方正仿宋_GB2312" w:cs="方正仿宋_GB2312"/>
          <w:b w:val="0"/>
          <w:kern w:val="2"/>
          <w:sz w:val="32"/>
          <w:szCs w:val="32"/>
          <w:lang w:val="en-US" w:eastAsia="zh-CN" w:bidi="ar-SA"/>
        </w:rPr>
        <w:t>6.采购标的其他技术、服务：配备专门的技术服务支持人员。 </w:t>
      </w:r>
    </w:p>
    <w:p w14:paraId="702BB77E">
      <w:pPr>
        <w:pStyle w:val="2"/>
        <w:pageBreakBefore w:val="0"/>
        <w:widowControl w:val="0"/>
        <w:kinsoku/>
        <w:wordWrap/>
        <w:overflowPunct/>
        <w:topLinePunct w:val="0"/>
        <w:autoSpaceDE/>
        <w:autoSpaceDN/>
        <w:bidi w:val="0"/>
        <w:adjustRightInd/>
        <w:snapToGrid/>
        <w:spacing w:before="0" w:beforeLines="0" w:after="0" w:afterLines="0" w:line="240" w:lineRule="auto"/>
        <w:ind w:firstLine="581"/>
        <w:textAlignment w:val="auto"/>
        <w:rPr>
          <w:rFonts w:hint="eastAsia" w:ascii="Times New Roman" w:hAnsi="Times New Roman" w:eastAsia="仿宋_GB2312" w:cstheme="minorBidi"/>
          <w:b w:val="0"/>
          <w:kern w:val="2"/>
          <w:sz w:val="32"/>
          <w:szCs w:val="32"/>
          <w:lang w:val="en-US" w:eastAsia="zh-CN" w:bidi="ar-SA"/>
        </w:rPr>
      </w:pPr>
      <w:r>
        <w:rPr>
          <w:rFonts w:hint="eastAsia" w:ascii="方正仿宋_GB2312" w:hAnsi="方正仿宋_GB2312" w:eastAsia="方正仿宋_GB2312" w:cs="方正仿宋_GB2312"/>
          <w:b w:val="0"/>
          <w:kern w:val="2"/>
          <w:sz w:val="32"/>
          <w:szCs w:val="32"/>
          <w:lang w:val="en-US" w:eastAsia="zh-CN" w:bidi="ar-SA"/>
        </w:rPr>
        <w:t>7.售后服务：提供7*24小时热线服务。</w:t>
      </w:r>
    </w:p>
    <w:p w14:paraId="121EA73F">
      <w:pPr>
        <w:keepNext w:val="0"/>
        <w:keepLines w:val="0"/>
        <w:pageBreakBefore w:val="0"/>
        <w:kinsoku/>
        <w:wordWrap/>
        <w:overflowPunct/>
        <w:topLinePunct w:val="0"/>
        <w:bidi w:val="0"/>
        <w:spacing w:line="560" w:lineRule="exact"/>
        <w:ind w:firstLine="643" w:firstLineChars="200"/>
        <w:textAlignment w:val="auto"/>
        <w:rPr>
          <w:rFonts w:ascii="Times New Roman" w:hAnsi="Times New Roman" w:eastAsia="楷体_GB2312"/>
          <w:b/>
          <w:sz w:val="32"/>
          <w:szCs w:val="32"/>
        </w:rPr>
      </w:pPr>
      <w:r>
        <w:rPr>
          <w:rFonts w:ascii="Times New Roman" w:hAnsi="Times New Roman" w:eastAsia="楷体_GB2312"/>
          <w:b/>
          <w:sz w:val="32"/>
          <w:szCs w:val="32"/>
        </w:rPr>
        <w:t>（三）网络质量巡检及运维保障要求</w:t>
      </w:r>
    </w:p>
    <w:p w14:paraId="6736C1F6">
      <w:pPr>
        <w:keepNext w:val="0"/>
        <w:keepLines w:val="0"/>
        <w:pageBreakBefore w:val="0"/>
        <w:kinsoku/>
        <w:wordWrap/>
        <w:overflowPunct/>
        <w:topLinePunct w:val="0"/>
        <w:bidi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运营商网络运维保障内容包括：</w:t>
      </w:r>
    </w:p>
    <w:p w14:paraId="41A0EB88">
      <w:pPr>
        <w:pStyle w:val="3"/>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1.运营商按行业主管部门规定的链路质量要求，提供7×24小时的</w:t>
      </w:r>
      <w:r>
        <w:rPr>
          <w:rFonts w:hint="eastAsia" w:ascii="方正仿宋_GB2312" w:hAnsi="方正仿宋_GB2312" w:eastAsia="方正仿宋_GB2312" w:cs="方正仿宋_GB2312"/>
          <w:sz w:val="32"/>
          <w:szCs w:val="32"/>
          <w:lang w:val="en-US" w:eastAsia="zh-CN"/>
        </w:rPr>
        <w:t>专用链路</w:t>
      </w:r>
      <w:r>
        <w:rPr>
          <w:rFonts w:hint="eastAsia" w:ascii="方正仿宋_GB2312" w:hAnsi="方正仿宋_GB2312" w:eastAsia="方正仿宋_GB2312" w:cs="方正仿宋_GB2312"/>
          <w:sz w:val="32"/>
          <w:szCs w:val="32"/>
        </w:rPr>
        <w:t>质量与运行监测服务，7×24小时响应并进行故障和发现、处理与恢复；</w:t>
      </w:r>
      <w:r>
        <w:rPr>
          <w:rFonts w:hint="eastAsia" w:ascii="方正仿宋_GB2312" w:hAnsi="方正仿宋_GB2312" w:eastAsia="方正仿宋_GB2312" w:cs="方正仿宋_GB2312"/>
          <w:kern w:val="2"/>
          <w:sz w:val="32"/>
          <w:szCs w:val="32"/>
          <w:lang w:val="en-US" w:eastAsia="zh-CN" w:bidi="ar-SA"/>
        </w:rPr>
        <w:t>链路租用期内，须提供免费的链路质保和相关维保服务。</w:t>
      </w:r>
    </w:p>
    <w:p w14:paraId="40474FDF">
      <w:pPr>
        <w:keepNext w:val="0"/>
        <w:keepLines w:val="0"/>
        <w:pageBreakBefore w:val="0"/>
        <w:kinsoku/>
        <w:wordWrap/>
        <w:overflowPunct/>
        <w:topLinePunct w:val="0"/>
        <w:bidi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2.运营商应对互联网链路通信质量提供长期、不间断的监测预警，一旦发现问题应及时解决并告知用户。</w:t>
      </w:r>
      <w:r>
        <w:rPr>
          <w:rFonts w:hint="eastAsia" w:ascii="方正仿宋_GB2312" w:hAnsi="方正仿宋_GB2312" w:eastAsia="方正仿宋_GB2312" w:cs="方正仿宋_GB2312"/>
          <w:sz w:val="32"/>
          <w:szCs w:val="32"/>
          <w:lang w:eastAsia="zh-CN"/>
        </w:rPr>
        <w:t>同时，</w:t>
      </w:r>
      <w:r>
        <w:rPr>
          <w:rFonts w:hint="eastAsia" w:ascii="方正仿宋_GB2312" w:hAnsi="方正仿宋_GB2312" w:eastAsia="方正仿宋_GB2312" w:cs="方正仿宋_GB2312"/>
          <w:sz w:val="32"/>
          <w:szCs w:val="32"/>
        </w:rPr>
        <w:t>提供应急响应，出现故障时，应在10分钟响应并在30分钟内解决，无法立即的解决的，2小时内提供备份</w:t>
      </w:r>
      <w:r>
        <w:rPr>
          <w:rFonts w:hint="eastAsia" w:ascii="方正仿宋_GB2312" w:hAnsi="方正仿宋_GB2312" w:eastAsia="方正仿宋_GB2312" w:cs="方正仿宋_GB2312"/>
          <w:sz w:val="32"/>
          <w:szCs w:val="32"/>
          <w:lang w:val="en-US" w:eastAsia="zh-CN"/>
        </w:rPr>
        <w:t>链路</w:t>
      </w:r>
      <w:r>
        <w:rPr>
          <w:rFonts w:hint="eastAsia" w:ascii="方正仿宋_GB2312" w:hAnsi="方正仿宋_GB2312" w:eastAsia="方正仿宋_GB2312" w:cs="方正仿宋_GB2312"/>
          <w:sz w:val="32"/>
          <w:szCs w:val="32"/>
        </w:rPr>
        <w:t>。</w:t>
      </w:r>
    </w:p>
    <w:p w14:paraId="079304E4">
      <w:pPr>
        <w:keepNext w:val="0"/>
        <w:keepLines w:val="0"/>
        <w:pageBreakBefore w:val="0"/>
        <w:kinsoku/>
        <w:wordWrap/>
        <w:overflowPunct/>
        <w:topLinePunct w:val="0"/>
        <w:bidi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3．运营商如需中断用户线路，应提前</w:t>
      </w:r>
      <w:r>
        <w:rPr>
          <w:rFonts w:hint="eastAsia" w:ascii="方正仿宋_GB2312" w:hAnsi="方正仿宋_GB2312" w:eastAsia="方正仿宋_GB2312" w:cs="方正仿宋_GB2312"/>
          <w:sz w:val="32"/>
          <w:szCs w:val="32"/>
          <w:lang w:val="en-US" w:eastAsia="zh-CN"/>
        </w:rPr>
        <w:t>24</w:t>
      </w:r>
      <w:r>
        <w:rPr>
          <w:rFonts w:hint="eastAsia" w:ascii="方正仿宋_GB2312" w:hAnsi="方正仿宋_GB2312" w:eastAsia="方正仿宋_GB2312" w:cs="方正仿宋_GB2312"/>
          <w:sz w:val="32"/>
          <w:szCs w:val="32"/>
        </w:rPr>
        <w:t>小时通知用户，经协商同意后实施，且不能影响用户的正常业务运行。</w:t>
      </w:r>
    </w:p>
    <w:p w14:paraId="1760C06B">
      <w:pPr>
        <w:keepNext w:val="0"/>
        <w:keepLines w:val="0"/>
        <w:pageBreakBefore w:val="0"/>
        <w:kinsoku/>
        <w:wordWrap/>
        <w:overflowPunct/>
        <w:topLinePunct w:val="0"/>
        <w:bidi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4.运营商应建立完备的用户档案，及时对相应的链路、设备进行特殊标记，以保证用户相关维护资料的准确性；建立详细、完备的链路资料档案和网络运行档案并提交用户。</w:t>
      </w:r>
    </w:p>
    <w:p w14:paraId="4D6738A6">
      <w:pPr>
        <w:numPr>
          <w:ilvl w:val="0"/>
          <w:numId w:val="0"/>
        </w:num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5.运营商要制定完善的应急故障处理流程及保障预案，保证紧急情况下快速处理故障，缩短故障处理时限</w:t>
      </w:r>
      <w:r>
        <w:rPr>
          <w:rFonts w:hint="eastAsia" w:ascii="方正仿宋_GB2312" w:hAnsi="方正仿宋_GB2312" w:eastAsia="方正仿宋_GB2312" w:cs="方正仿宋_GB2312"/>
          <w:sz w:val="32"/>
          <w:szCs w:val="32"/>
          <w:lang w:val="en-US" w:eastAsia="zh-CN"/>
        </w:rPr>
        <w:t>。</w:t>
      </w:r>
    </w:p>
    <w:p w14:paraId="7399F95B">
      <w:pPr>
        <w:pStyle w:val="3"/>
        <w:ind w:firstLine="643" w:firstLineChars="200"/>
        <w:rPr>
          <w:rFonts w:hint="eastAsia" w:eastAsia="楷体_GB2312"/>
          <w:lang w:val="en-US" w:eastAsia="zh-CN"/>
        </w:rPr>
      </w:pPr>
      <w:r>
        <w:rPr>
          <w:rFonts w:ascii="Times New Roman" w:hAnsi="Times New Roman" w:eastAsia="楷体_GB2312"/>
          <w:b/>
          <w:sz w:val="32"/>
          <w:szCs w:val="32"/>
        </w:rPr>
        <w:t>（</w:t>
      </w:r>
      <w:r>
        <w:rPr>
          <w:rFonts w:hint="eastAsia" w:ascii="Times New Roman" w:hAnsi="Times New Roman"/>
          <w:b/>
          <w:sz w:val="32"/>
          <w:szCs w:val="32"/>
          <w:lang w:val="en-US" w:eastAsia="zh-CN"/>
        </w:rPr>
        <w:t>四</w:t>
      </w:r>
      <w:r>
        <w:rPr>
          <w:rFonts w:ascii="Times New Roman" w:hAnsi="Times New Roman" w:eastAsia="楷体_GB2312"/>
          <w:b/>
          <w:sz w:val="32"/>
          <w:szCs w:val="32"/>
        </w:rPr>
        <w:t>）</w:t>
      </w:r>
      <w:r>
        <w:rPr>
          <w:rFonts w:hint="eastAsia" w:ascii="Times New Roman" w:hAnsi="Times New Roman"/>
          <w:b/>
          <w:sz w:val="32"/>
          <w:szCs w:val="32"/>
          <w:lang w:val="en-US" w:eastAsia="zh-CN"/>
        </w:rPr>
        <w:t>其他要求</w:t>
      </w:r>
    </w:p>
    <w:p w14:paraId="53BA1AB2">
      <w:pPr>
        <w:numPr>
          <w:ilvl w:val="0"/>
          <w:numId w:val="0"/>
        </w:numPr>
        <w:ind w:firstLine="640" w:firstLineChars="200"/>
        <w:rPr>
          <w:rFonts w:hint="eastAsia" w:ascii="方正仿宋_GB2312" w:hAnsi="方正仿宋_GB2312" w:eastAsia="方正仿宋_GB2312" w:cs="方正仿宋_GB2312"/>
          <w:i w:val="0"/>
          <w:caps w:val="0"/>
          <w:color w:val="333333"/>
          <w:spacing w:val="0"/>
          <w:sz w:val="32"/>
          <w:szCs w:val="32"/>
          <w:shd w:val="clear" w:fill="FFFFFF"/>
        </w:rPr>
      </w:pPr>
      <w:r>
        <w:rPr>
          <w:rFonts w:hint="eastAsia" w:ascii="方正仿宋_GB2312" w:hAnsi="方正仿宋_GB2312" w:eastAsia="方正仿宋_GB2312" w:cs="方正仿宋_GB2312"/>
          <w:i w:val="0"/>
          <w:caps w:val="0"/>
          <w:color w:val="333333"/>
          <w:spacing w:val="0"/>
          <w:sz w:val="32"/>
          <w:szCs w:val="32"/>
          <w:shd w:val="clear" w:fill="FFFFFF"/>
          <w:lang w:val="en-US" w:eastAsia="zh-CN"/>
        </w:rPr>
        <w:t>1、</w:t>
      </w:r>
      <w:r>
        <w:rPr>
          <w:rFonts w:hint="eastAsia" w:ascii="方正仿宋_GB2312" w:hAnsi="方正仿宋_GB2312" w:eastAsia="方正仿宋_GB2312" w:cs="方正仿宋_GB2312"/>
          <w:sz w:val="32"/>
          <w:szCs w:val="32"/>
        </w:rPr>
        <w:t>运营商</w:t>
      </w:r>
      <w:r>
        <w:rPr>
          <w:rFonts w:hint="eastAsia" w:ascii="方正仿宋_GB2312" w:hAnsi="方正仿宋_GB2312" w:eastAsia="方正仿宋_GB2312" w:cs="方正仿宋_GB2312"/>
          <w:i w:val="0"/>
          <w:caps w:val="0"/>
          <w:color w:val="333333"/>
          <w:spacing w:val="0"/>
          <w:sz w:val="32"/>
          <w:szCs w:val="32"/>
          <w:shd w:val="clear" w:fill="FFFFFF"/>
        </w:rPr>
        <w:t>商提供</w:t>
      </w:r>
      <w:r>
        <w:rPr>
          <w:rFonts w:hint="eastAsia" w:ascii="方正仿宋_GB2312" w:hAnsi="方正仿宋_GB2312" w:eastAsia="方正仿宋_GB2312" w:cs="方正仿宋_GB2312"/>
          <w:i w:val="0"/>
          <w:caps w:val="0"/>
          <w:color w:val="333333"/>
          <w:spacing w:val="0"/>
          <w:sz w:val="32"/>
          <w:szCs w:val="32"/>
          <w:shd w:val="clear" w:fill="FFFFFF"/>
          <w:lang w:val="en-US" w:eastAsia="zh-CN"/>
        </w:rPr>
        <w:t>数据专线</w:t>
      </w:r>
      <w:r>
        <w:rPr>
          <w:rFonts w:hint="eastAsia" w:ascii="方正仿宋_GB2312" w:hAnsi="方正仿宋_GB2312" w:eastAsia="方正仿宋_GB2312" w:cs="方正仿宋_GB2312"/>
          <w:i w:val="0"/>
          <w:caps w:val="0"/>
          <w:color w:val="333333"/>
          <w:spacing w:val="0"/>
          <w:sz w:val="32"/>
          <w:szCs w:val="32"/>
          <w:shd w:val="clear" w:fill="FFFFFF"/>
        </w:rPr>
        <w:t>接入服务的技术规范、产品质量以及为提供服务所使用的接入、传输交换等各类软硬件资源应符合中央网信办、工信部和其他相关行业主管部门的强制性、规范性要求，符合相关信息安全政策要求。 </w:t>
      </w:r>
    </w:p>
    <w:p w14:paraId="5BADCC56">
      <w:pPr>
        <w:numPr>
          <w:ilvl w:val="0"/>
          <w:numId w:val="0"/>
        </w:numPr>
        <w:ind w:leftChars="0" w:firstLine="640" w:firstLineChars="200"/>
        <w:rPr>
          <w:rFonts w:hint="eastAsia" w:ascii="方正仿宋_GB2312" w:hAnsi="方正仿宋_GB2312" w:eastAsia="方正仿宋_GB2312" w:cs="方正仿宋_GB2312"/>
          <w:i w:val="0"/>
          <w:caps w:val="0"/>
          <w:color w:val="333333"/>
          <w:spacing w:val="0"/>
          <w:sz w:val="32"/>
          <w:szCs w:val="32"/>
          <w:shd w:val="clear" w:fill="FFFFFF"/>
          <w:lang w:val="en-US" w:eastAsia="zh-CN"/>
        </w:rPr>
      </w:pPr>
      <w:r>
        <w:rPr>
          <w:rFonts w:hint="eastAsia" w:ascii="方正仿宋_GB2312" w:hAnsi="方正仿宋_GB2312" w:eastAsia="方正仿宋_GB2312" w:cs="方正仿宋_GB2312"/>
          <w:i w:val="0"/>
          <w:caps w:val="0"/>
          <w:color w:val="333333"/>
          <w:spacing w:val="0"/>
          <w:sz w:val="32"/>
          <w:szCs w:val="32"/>
          <w:shd w:val="clear" w:fill="FFFFFF"/>
          <w:lang w:val="en-US" w:eastAsia="zh-CN"/>
        </w:rPr>
        <w:t>2、</w:t>
      </w:r>
      <w:r>
        <w:rPr>
          <w:rFonts w:hint="eastAsia" w:ascii="方正仿宋_GB2312" w:hAnsi="方正仿宋_GB2312" w:eastAsia="方正仿宋_GB2312" w:cs="方正仿宋_GB2312"/>
          <w:i w:val="0"/>
          <w:caps w:val="0"/>
          <w:color w:val="333333"/>
          <w:spacing w:val="0"/>
          <w:sz w:val="32"/>
          <w:szCs w:val="32"/>
          <w:shd w:val="clear" w:fill="FFFFFF"/>
        </w:rPr>
        <w:t>应急保障。</w:t>
      </w:r>
      <w:r>
        <w:rPr>
          <w:rFonts w:hint="eastAsia" w:ascii="方正仿宋_GB2312" w:hAnsi="方正仿宋_GB2312" w:eastAsia="方正仿宋_GB2312" w:cs="方正仿宋_GB2312"/>
          <w:sz w:val="32"/>
          <w:szCs w:val="32"/>
        </w:rPr>
        <w:t>运营商</w:t>
      </w:r>
      <w:r>
        <w:rPr>
          <w:rFonts w:hint="eastAsia" w:ascii="方正仿宋_GB2312" w:hAnsi="方正仿宋_GB2312" w:eastAsia="方正仿宋_GB2312" w:cs="方正仿宋_GB2312"/>
          <w:i w:val="0"/>
          <w:caps w:val="0"/>
          <w:color w:val="333333"/>
          <w:spacing w:val="0"/>
          <w:sz w:val="32"/>
          <w:szCs w:val="32"/>
          <w:shd w:val="clear" w:fill="FFFFFF"/>
        </w:rPr>
        <w:t>应具有应急通信保障能力，可根据采购人需要在国家重大活动期间的提供重点专项服务保障，保证国庆、春节等节假日期间的服务连续性。可根据采</w:t>
      </w:r>
      <w:r>
        <w:rPr>
          <w:rFonts w:hint="eastAsia" w:ascii="方正仿宋_GB2312" w:hAnsi="方正仿宋_GB2312" w:eastAsia="方正仿宋_GB2312" w:cs="方正仿宋_GB2312"/>
          <w:i w:val="0"/>
          <w:caps w:val="0"/>
          <w:color w:val="333333"/>
          <w:spacing w:val="0"/>
          <w:sz w:val="32"/>
          <w:szCs w:val="32"/>
          <w:shd w:val="clear" w:fill="FFFFFF"/>
          <w:lang w:val="en-US" w:eastAsia="zh-CN"/>
        </w:rPr>
        <w:t>购人业务需要提供紧急线路开通、突发带宽扩容等服务。可为所有采购人制定重点专项保障方案和应急保障预案。 </w:t>
      </w:r>
    </w:p>
    <w:p w14:paraId="33B1A59B">
      <w:pPr>
        <w:numPr>
          <w:ilvl w:val="0"/>
          <w:numId w:val="0"/>
        </w:numPr>
        <w:ind w:leftChars="0" w:firstLine="640" w:firstLineChars="200"/>
        <w:rPr>
          <w:rFonts w:hint="eastAsia" w:ascii="方正仿宋_GB2312" w:hAnsi="方正仿宋_GB2312" w:eastAsia="方正仿宋_GB2312" w:cs="方正仿宋_GB2312"/>
          <w:i w:val="0"/>
          <w:caps w:val="0"/>
          <w:color w:val="333333"/>
          <w:spacing w:val="0"/>
          <w:sz w:val="32"/>
          <w:szCs w:val="32"/>
          <w:shd w:val="clear" w:fill="FFFFFF"/>
          <w:lang w:val="en-US" w:eastAsia="zh-CN"/>
        </w:rPr>
      </w:pPr>
      <w:r>
        <w:rPr>
          <w:rFonts w:hint="eastAsia" w:ascii="方正仿宋_GB2312" w:hAnsi="方正仿宋_GB2312" w:eastAsia="方正仿宋_GB2312" w:cs="方正仿宋_GB2312"/>
          <w:i w:val="0"/>
          <w:caps w:val="0"/>
          <w:color w:val="333333"/>
          <w:spacing w:val="0"/>
          <w:sz w:val="32"/>
          <w:szCs w:val="32"/>
          <w:shd w:val="clear" w:fill="FFFFFF"/>
          <w:lang w:val="en-US" w:eastAsia="zh-CN"/>
        </w:rPr>
        <w:t>3、投标人必须具有本地基础电信运营商授权及增值电信业务经营许可证。</w:t>
      </w:r>
    </w:p>
    <w:p w14:paraId="44696152">
      <w:pPr>
        <w:numPr>
          <w:ilvl w:val="0"/>
          <w:numId w:val="0"/>
        </w:numPr>
        <w:ind w:firstLine="640"/>
        <w:jc w:val="both"/>
        <w:rPr>
          <w:rFonts w:hint="eastAsia" w:ascii="仿宋_GB2312" w:hAnsi="仿宋_GB2312" w:eastAsia="仿宋_GB2312" w:cs="仿宋_GB2312"/>
          <w:sz w:val="32"/>
          <w:szCs w:val="32"/>
          <w:lang w:val="en-US" w:eastAsia="zh-CN"/>
        </w:rPr>
      </w:pPr>
    </w:p>
    <w:p w14:paraId="49B6F5FD">
      <w:pPr>
        <w:numPr>
          <w:ilvl w:val="0"/>
          <w:numId w:val="0"/>
        </w:numPr>
        <w:ind w:firstLine="640"/>
        <w:jc w:val="both"/>
        <w:rPr>
          <w:rFonts w:hint="default" w:ascii="仿宋_GB2312" w:hAnsi="仿宋_GB2312" w:eastAsia="仿宋_GB2312" w:cs="仿宋_GB2312"/>
          <w:sz w:val="32"/>
          <w:szCs w:val="32"/>
          <w:lang w:val="en-US" w:eastAsia="zh-CN"/>
        </w:rPr>
      </w:pPr>
    </w:p>
    <w:p w14:paraId="7551996C">
      <w:pPr>
        <w:numPr>
          <w:ilvl w:val="0"/>
          <w:numId w:val="0"/>
        </w:numPr>
        <w:ind w:firstLine="640"/>
        <w:jc w:val="center"/>
        <w:rPr>
          <w:rFonts w:hint="eastAsia" w:ascii="方正小标宋简体" w:hAnsi="方正小标宋简体" w:eastAsia="方正小标宋简体" w:cs="方正小标宋简体"/>
          <w:sz w:val="36"/>
          <w:szCs w:val="36"/>
          <w:lang w:val="en-US" w:eastAsia="zh-CN"/>
        </w:rPr>
      </w:pPr>
    </w:p>
    <w:p w14:paraId="2A8C7F8D">
      <w:pPr>
        <w:numPr>
          <w:ilvl w:val="0"/>
          <w:numId w:val="0"/>
        </w:numPr>
        <w:ind w:firstLine="640"/>
        <w:jc w:val="center"/>
        <w:rPr>
          <w:rFonts w:hint="eastAsia" w:ascii="方正小标宋简体" w:hAnsi="方正小标宋简体" w:eastAsia="方正小标宋简体" w:cs="方正小标宋简体"/>
          <w:sz w:val="36"/>
          <w:szCs w:val="36"/>
          <w:lang w:val="en-US" w:eastAsia="zh-CN"/>
        </w:rPr>
      </w:pPr>
    </w:p>
    <w:p w14:paraId="255DD1D4">
      <w:pPr>
        <w:pStyle w:val="2"/>
        <w:rPr>
          <w:rFonts w:hint="eastAsia" w:ascii="方正小标宋简体" w:hAnsi="方正小标宋简体" w:eastAsia="方正小标宋简体" w:cs="方正小标宋简体"/>
          <w:sz w:val="36"/>
          <w:szCs w:val="36"/>
          <w:lang w:val="en-US" w:eastAsia="zh-CN"/>
        </w:rPr>
      </w:pPr>
    </w:p>
    <w:p w14:paraId="320486A3">
      <w:pPr>
        <w:rPr>
          <w:rFonts w:hint="eastAsia" w:ascii="方正小标宋简体" w:hAnsi="方正小标宋简体" w:eastAsia="方正小标宋简体" w:cs="方正小标宋简体"/>
          <w:sz w:val="36"/>
          <w:szCs w:val="36"/>
          <w:lang w:val="en-US" w:eastAsia="zh-CN"/>
        </w:rPr>
      </w:pPr>
    </w:p>
    <w:p w14:paraId="2B010D06">
      <w:pPr>
        <w:pStyle w:val="2"/>
        <w:rPr>
          <w:rFonts w:hint="eastAsia" w:ascii="方正小标宋简体" w:hAnsi="方正小标宋简体" w:eastAsia="方正小标宋简体" w:cs="方正小标宋简体"/>
          <w:sz w:val="36"/>
          <w:szCs w:val="36"/>
          <w:lang w:val="en-US" w:eastAsia="zh-CN"/>
        </w:rPr>
      </w:pPr>
    </w:p>
    <w:p w14:paraId="729958AE">
      <w:pPr>
        <w:rPr>
          <w:rFonts w:hint="eastAsia" w:ascii="方正小标宋简体" w:hAnsi="方正小标宋简体" w:eastAsia="方正小标宋简体" w:cs="方正小标宋简体"/>
          <w:sz w:val="36"/>
          <w:szCs w:val="36"/>
          <w:lang w:val="en-US" w:eastAsia="zh-CN"/>
        </w:rPr>
      </w:pPr>
    </w:p>
    <w:p w14:paraId="7E19333F">
      <w:pPr>
        <w:pStyle w:val="2"/>
        <w:rPr>
          <w:rFonts w:hint="eastAsia" w:ascii="方正小标宋简体" w:hAnsi="方正小标宋简体" w:eastAsia="方正小标宋简体" w:cs="方正小标宋简体"/>
          <w:sz w:val="36"/>
          <w:szCs w:val="36"/>
          <w:lang w:val="en-US" w:eastAsia="zh-CN"/>
        </w:rPr>
      </w:pPr>
    </w:p>
    <w:p w14:paraId="50AD15DF">
      <w:pPr>
        <w:rPr>
          <w:rFonts w:hint="eastAsia" w:ascii="方正小标宋简体" w:hAnsi="方正小标宋简体" w:eastAsia="方正小标宋简体" w:cs="方正小标宋简体"/>
          <w:sz w:val="36"/>
          <w:szCs w:val="36"/>
          <w:lang w:val="en-US" w:eastAsia="zh-CN"/>
        </w:rPr>
      </w:pPr>
    </w:p>
    <w:p w14:paraId="3BEF1678">
      <w:pPr>
        <w:pStyle w:val="2"/>
        <w:rPr>
          <w:rFonts w:hint="eastAsia" w:ascii="方正小标宋简体" w:hAnsi="方正小标宋简体" w:eastAsia="方正小标宋简体" w:cs="方正小标宋简体"/>
          <w:sz w:val="36"/>
          <w:szCs w:val="36"/>
          <w:lang w:val="en-US" w:eastAsia="zh-CN"/>
        </w:rPr>
      </w:pPr>
    </w:p>
    <w:p w14:paraId="094DDBED">
      <w:pPr>
        <w:pStyle w:val="2"/>
        <w:rPr>
          <w:rFonts w:hint="eastAsia"/>
          <w:lang w:val="en-US" w:eastAsia="zh-CN"/>
        </w:rPr>
      </w:pPr>
    </w:p>
    <w:p w14:paraId="3B981D8F">
      <w:pP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br w:type="page"/>
      </w:r>
    </w:p>
    <w:p w14:paraId="2048AD84">
      <w:pPr>
        <w:numPr>
          <w:ilvl w:val="0"/>
          <w:numId w:val="0"/>
        </w:numPr>
        <w:jc w:val="both"/>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附件1：</w:t>
      </w:r>
    </w:p>
    <w:p w14:paraId="32A09036">
      <w:pPr>
        <w:numPr>
          <w:ilvl w:val="0"/>
          <w:numId w:val="0"/>
        </w:numPr>
        <w:ind w:firstLine="64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报价单</w:t>
      </w:r>
    </w:p>
    <w:p w14:paraId="1140E9E1">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伊犁哈萨克自治州无线电管理中心：</w:t>
      </w:r>
    </w:p>
    <w:p w14:paraId="46C08C4E">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我公司已认真阅读了你单位发布的“</w:t>
      </w:r>
      <w:r>
        <w:rPr>
          <w:rFonts w:hint="eastAsia" w:ascii="Times New Roman" w:hAnsi="Times New Roman" w:eastAsia="仿宋_GB2312"/>
          <w:sz w:val="32"/>
          <w:szCs w:val="32"/>
          <w:lang w:val="en-US" w:eastAsia="zh-CN"/>
        </w:rPr>
        <w:t>伊犁州无线电管理中心点对点数据专线链路租赁项目-2025-1</w:t>
      </w:r>
      <w:r>
        <w:rPr>
          <w:rFonts w:hint="eastAsia" w:ascii="仿宋_GB2312" w:hAnsi="仿宋_GB2312" w:eastAsia="仿宋_GB2312" w:cs="仿宋_GB2312"/>
          <w:sz w:val="32"/>
          <w:szCs w:val="32"/>
          <w:lang w:val="en-US" w:eastAsia="zh-CN"/>
        </w:rPr>
        <w:t>” 竞价采购公告， 接受“伊犁州无线电管理中心</w:t>
      </w:r>
      <w:r>
        <w:rPr>
          <w:rFonts w:hint="eastAsia" w:ascii="Times New Roman" w:hAnsi="Times New Roman" w:eastAsia="仿宋_GB2312"/>
          <w:sz w:val="32"/>
          <w:szCs w:val="32"/>
          <w:lang w:val="en-US" w:eastAsia="zh-CN"/>
        </w:rPr>
        <w:t>点对点数据专线链路租赁</w:t>
      </w:r>
      <w:r>
        <w:rPr>
          <w:rFonts w:hint="eastAsia" w:ascii="仿宋_GB2312" w:hAnsi="仿宋_GB2312" w:eastAsia="仿宋_GB2312" w:cs="仿宋_GB2312"/>
          <w:sz w:val="32"/>
          <w:szCs w:val="32"/>
          <w:lang w:val="en-US" w:eastAsia="zh-CN"/>
        </w:rPr>
        <w:t>要求”提出的各项要求，参与该项目竞价。报价详情如下：</w:t>
      </w:r>
    </w:p>
    <w:tbl>
      <w:tblPr>
        <w:tblStyle w:val="5"/>
        <w:tblW w:w="8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1364"/>
        <w:gridCol w:w="2906"/>
        <w:gridCol w:w="2467"/>
      </w:tblGrid>
      <w:tr w14:paraId="47ECA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631" w:type="dxa"/>
            <w:vAlign w:val="center"/>
          </w:tcPr>
          <w:p w14:paraId="7097E122">
            <w:pPr>
              <w:numPr>
                <w:ilvl w:val="0"/>
                <w:numId w:val="0"/>
              </w:num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服务名称</w:t>
            </w:r>
          </w:p>
        </w:tc>
        <w:tc>
          <w:tcPr>
            <w:tcW w:w="1364" w:type="dxa"/>
            <w:vAlign w:val="center"/>
          </w:tcPr>
          <w:p w14:paraId="7DBB2C79">
            <w:pPr>
              <w:numPr>
                <w:ilvl w:val="0"/>
                <w:numId w:val="0"/>
              </w:num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电路带宽</w:t>
            </w:r>
          </w:p>
        </w:tc>
        <w:tc>
          <w:tcPr>
            <w:tcW w:w="2906" w:type="dxa"/>
            <w:vAlign w:val="center"/>
          </w:tcPr>
          <w:p w14:paraId="2BE3910B">
            <w:pPr>
              <w:numPr>
                <w:ilvl w:val="0"/>
                <w:numId w:val="0"/>
              </w:num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数量</w:t>
            </w:r>
          </w:p>
        </w:tc>
        <w:tc>
          <w:tcPr>
            <w:tcW w:w="2467" w:type="dxa"/>
            <w:vAlign w:val="center"/>
          </w:tcPr>
          <w:p w14:paraId="3CFB5D7B">
            <w:pPr>
              <w:numPr>
                <w:ilvl w:val="0"/>
                <w:numId w:val="0"/>
              </w:num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单价（元）</w:t>
            </w:r>
          </w:p>
        </w:tc>
      </w:tr>
      <w:tr w14:paraId="6D263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8" w:hRule="atLeast"/>
        </w:trPr>
        <w:tc>
          <w:tcPr>
            <w:tcW w:w="1631" w:type="dxa"/>
            <w:vAlign w:val="center"/>
          </w:tcPr>
          <w:p w14:paraId="7F46F511">
            <w:pPr>
              <w:numPr>
                <w:ilvl w:val="0"/>
                <w:numId w:val="0"/>
              </w:numPr>
              <w:jc w:val="center"/>
              <w:rPr>
                <w:rFonts w:hint="default" w:ascii="仿宋_GB2312" w:hAnsi="仿宋_GB2312" w:eastAsia="仿宋_GB2312" w:cs="仿宋_GB2312"/>
                <w:sz w:val="32"/>
                <w:szCs w:val="32"/>
                <w:vertAlign w:val="baseline"/>
                <w:lang w:val="en-US" w:eastAsia="zh-CN"/>
              </w:rPr>
            </w:pPr>
            <w:r>
              <w:rPr>
                <w:rFonts w:hint="eastAsia" w:ascii="Times New Roman" w:hAnsi="Times New Roman" w:eastAsia="仿宋_GB2312"/>
                <w:sz w:val="32"/>
                <w:szCs w:val="32"/>
                <w:lang w:val="en-US" w:eastAsia="zh-CN"/>
              </w:rPr>
              <w:t>固定监测站点对点数据专线链路租赁</w:t>
            </w:r>
          </w:p>
        </w:tc>
        <w:tc>
          <w:tcPr>
            <w:tcW w:w="1364" w:type="dxa"/>
            <w:vAlign w:val="center"/>
          </w:tcPr>
          <w:p w14:paraId="6BCCE238">
            <w:pPr>
              <w:numPr>
                <w:ilvl w:val="0"/>
                <w:numId w:val="0"/>
              </w:num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w:t>
            </w:r>
            <w:r>
              <w:rPr>
                <w:rFonts w:hint="eastAsia" w:ascii="仿宋_GB2312" w:hAnsi="仿宋_GB2312" w:eastAsia="仿宋_GB2312" w:cs="仿宋_GB2312"/>
                <w:b/>
                <w:bCs/>
                <w:sz w:val="24"/>
                <w:szCs w:val="24"/>
              </w:rPr>
              <w:t>M</w:t>
            </w:r>
            <w:r>
              <w:rPr>
                <w:rFonts w:hint="eastAsia" w:ascii="仿宋_GB2312" w:hAnsi="仿宋_GB2312" w:eastAsia="仿宋_GB2312" w:cs="仿宋_GB2312"/>
                <w:b/>
                <w:bCs/>
                <w:sz w:val="24"/>
                <w:szCs w:val="24"/>
                <w:lang w:val="en-US" w:eastAsia="zh-CN"/>
              </w:rPr>
              <w:t>bps</w:t>
            </w:r>
          </w:p>
        </w:tc>
        <w:tc>
          <w:tcPr>
            <w:tcW w:w="2906" w:type="dxa"/>
            <w:vAlign w:val="center"/>
          </w:tcPr>
          <w:p w14:paraId="0B22D37A">
            <w:pPr>
              <w:numPr>
                <w:ilvl w:val="0"/>
                <w:numId w:val="0"/>
              </w:num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7条</w:t>
            </w:r>
          </w:p>
        </w:tc>
        <w:tc>
          <w:tcPr>
            <w:tcW w:w="2467" w:type="dxa"/>
            <w:vAlign w:val="center"/>
          </w:tcPr>
          <w:p w14:paraId="3A496BAE">
            <w:pPr>
              <w:numPr>
                <w:ilvl w:val="0"/>
                <w:numId w:val="0"/>
              </w:numPr>
              <w:jc w:val="center"/>
              <w:rPr>
                <w:rFonts w:hint="eastAsia" w:ascii="仿宋_GB2312" w:hAnsi="仿宋_GB2312" w:eastAsia="仿宋_GB2312" w:cs="仿宋_GB2312"/>
                <w:sz w:val="32"/>
                <w:szCs w:val="32"/>
                <w:vertAlign w:val="baseline"/>
                <w:lang w:val="en-US" w:eastAsia="zh-CN"/>
              </w:rPr>
            </w:pPr>
          </w:p>
        </w:tc>
      </w:tr>
      <w:tr w14:paraId="4A747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1631" w:type="dxa"/>
            <w:vAlign w:val="center"/>
          </w:tcPr>
          <w:p w14:paraId="3468578D">
            <w:pPr>
              <w:numPr>
                <w:ilvl w:val="0"/>
                <w:numId w:val="0"/>
              </w:numPr>
              <w:jc w:val="center"/>
              <w:rPr>
                <w:rFonts w:hint="eastAsia" w:ascii="仿宋_GB2312" w:hAnsi="仿宋_GB2312" w:eastAsia="仿宋_GB2312" w:cs="仿宋_GB2312"/>
                <w:sz w:val="32"/>
                <w:szCs w:val="32"/>
                <w:vertAlign w:val="baseline"/>
                <w:lang w:val="en-US" w:eastAsia="zh-CN"/>
              </w:rPr>
            </w:pPr>
            <w:r>
              <w:rPr>
                <w:rFonts w:hint="eastAsia" w:ascii="Times New Roman" w:hAnsi="Times New Roman" w:eastAsia="仿宋_GB2312"/>
                <w:sz w:val="32"/>
                <w:szCs w:val="32"/>
                <w:lang w:val="en-US" w:eastAsia="zh-CN"/>
              </w:rPr>
              <w:t>财政专线点对点数据专线链路租赁</w:t>
            </w:r>
          </w:p>
        </w:tc>
        <w:tc>
          <w:tcPr>
            <w:tcW w:w="1364" w:type="dxa"/>
            <w:vAlign w:val="center"/>
          </w:tcPr>
          <w:p w14:paraId="72007787">
            <w:pPr>
              <w:numPr>
                <w:ilvl w:val="0"/>
                <w:numId w:val="0"/>
              </w:numPr>
              <w:jc w:val="center"/>
              <w:rPr>
                <w:rFonts w:hint="default" w:ascii="仿宋_GB2312" w:hAnsi="仿宋_GB2312" w:eastAsia="仿宋_GB2312" w:cs="仿宋_GB2312"/>
                <w:sz w:val="32"/>
                <w:szCs w:val="32"/>
                <w:vertAlign w:val="baseline"/>
                <w:lang w:val="en-US" w:eastAsia="zh-CN"/>
              </w:rPr>
            </w:pPr>
          </w:p>
        </w:tc>
        <w:tc>
          <w:tcPr>
            <w:tcW w:w="2906" w:type="dxa"/>
            <w:vAlign w:val="center"/>
          </w:tcPr>
          <w:p w14:paraId="4B53A65D">
            <w:pPr>
              <w:numPr>
                <w:ilvl w:val="0"/>
                <w:numId w:val="0"/>
              </w:num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1条</w:t>
            </w:r>
          </w:p>
        </w:tc>
        <w:tc>
          <w:tcPr>
            <w:tcW w:w="2467" w:type="dxa"/>
            <w:vAlign w:val="center"/>
          </w:tcPr>
          <w:p w14:paraId="0A7A693D">
            <w:pPr>
              <w:numPr>
                <w:ilvl w:val="0"/>
                <w:numId w:val="0"/>
              </w:numPr>
              <w:jc w:val="center"/>
              <w:rPr>
                <w:rFonts w:hint="eastAsia" w:ascii="仿宋_GB2312" w:hAnsi="仿宋_GB2312" w:eastAsia="仿宋_GB2312" w:cs="仿宋_GB2312"/>
                <w:sz w:val="32"/>
                <w:szCs w:val="32"/>
                <w:vertAlign w:val="baseline"/>
                <w:lang w:val="en-US" w:eastAsia="zh-CN"/>
              </w:rPr>
            </w:pPr>
          </w:p>
        </w:tc>
      </w:tr>
      <w:tr w14:paraId="3DA4A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631" w:type="dxa"/>
            <w:vAlign w:val="center"/>
          </w:tcPr>
          <w:p w14:paraId="5FC9870E">
            <w:pPr>
              <w:numPr>
                <w:ilvl w:val="0"/>
                <w:numId w:val="0"/>
              </w:num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合计（元）</w:t>
            </w:r>
          </w:p>
        </w:tc>
        <w:tc>
          <w:tcPr>
            <w:tcW w:w="6737" w:type="dxa"/>
            <w:gridSpan w:val="3"/>
            <w:vAlign w:val="center"/>
          </w:tcPr>
          <w:p w14:paraId="74095AC9">
            <w:pPr>
              <w:numPr>
                <w:ilvl w:val="0"/>
                <w:numId w:val="0"/>
              </w:numPr>
              <w:jc w:val="center"/>
              <w:rPr>
                <w:rFonts w:hint="default" w:ascii="仿宋_GB2312" w:hAnsi="仿宋_GB2312" w:eastAsia="仿宋_GB2312" w:cs="仿宋_GB2312"/>
                <w:sz w:val="32"/>
                <w:szCs w:val="32"/>
                <w:vertAlign w:val="baseline"/>
                <w:lang w:val="en-US" w:eastAsia="zh-CN"/>
              </w:rPr>
            </w:pPr>
          </w:p>
        </w:tc>
      </w:tr>
    </w:tbl>
    <w:p w14:paraId="3AEE9AC5">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联系人：             联系电话：</w:t>
      </w:r>
    </w:p>
    <w:p w14:paraId="5B9A055A">
      <w:pPr>
        <w:numPr>
          <w:ilvl w:val="0"/>
          <w:numId w:val="0"/>
        </w:numPr>
        <w:ind w:firstLine="4166" w:firstLineChars="1302"/>
        <w:jc w:val="both"/>
        <w:rPr>
          <w:rFonts w:hint="eastAsia" w:ascii="仿宋_GB2312" w:hAnsi="仿宋_GB2312" w:eastAsia="仿宋_GB2312" w:cs="仿宋_GB2312"/>
          <w:sz w:val="32"/>
          <w:szCs w:val="32"/>
          <w:lang w:val="en-US" w:eastAsia="zh-CN"/>
        </w:rPr>
      </w:pPr>
    </w:p>
    <w:p w14:paraId="1B492896">
      <w:pPr>
        <w:numPr>
          <w:ilvl w:val="0"/>
          <w:numId w:val="0"/>
        </w:numPr>
        <w:ind w:firstLine="4166" w:firstLineChars="1302"/>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公司名称（公章）</w:t>
      </w:r>
    </w:p>
    <w:p w14:paraId="29A871BD">
      <w:pPr>
        <w:numPr>
          <w:ilvl w:val="0"/>
          <w:numId w:val="0"/>
        </w:numPr>
        <w:ind w:firstLine="4480" w:firstLineChars="1400"/>
        <w:jc w:val="both"/>
        <w:rPr>
          <w:rFonts w:hint="default"/>
          <w:lang w:val="en-US" w:eastAsia="zh-CN"/>
        </w:rPr>
      </w:pPr>
      <w:r>
        <w:rPr>
          <w:rFonts w:hint="eastAsia" w:ascii="仿宋_GB2312" w:hAnsi="仿宋_GB2312" w:eastAsia="仿宋_GB2312" w:cs="仿宋_GB2312"/>
          <w:sz w:val="32"/>
          <w:szCs w:val="32"/>
          <w:lang w:val="en-US" w:eastAsia="zh-CN"/>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9E14DA-07DC-41D4-9C06-00D703F787E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embedRegular r:id="rId2" w:fontKey="{F60F184D-E434-47C7-BB9F-F7B279B690EA}"/>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embedRegular r:id="rId3" w:fontKey="{9E77A3A2-1EF9-4C06-B4AC-07F2B4F648B5}"/>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embedRegular r:id="rId4" w:fontKey="{29FACE06-FCE2-49D5-B70D-4523FB640559}"/>
  </w:font>
  <w:font w:name="方正仿宋_GB2312">
    <w:panose1 w:val="02000000000000000000"/>
    <w:charset w:val="86"/>
    <w:family w:val="auto"/>
    <w:pitch w:val="default"/>
    <w:sig w:usb0="A00002BF" w:usb1="184F6CFA" w:usb2="00000012" w:usb3="00000000" w:csb0="00040001" w:csb1="00000000"/>
    <w:embedRegular r:id="rId5" w:fontKey="{4DB6F5E5-FB5F-42B5-A775-BB88A312304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iMDM0ZmE0NTFhYWVmNDMzZWIzZTU4ZTkxMmIyNzAifQ=="/>
  </w:docVars>
  <w:rsids>
    <w:rsidRoot w:val="66C24DDF"/>
    <w:rsid w:val="01E7687A"/>
    <w:rsid w:val="023B4DEC"/>
    <w:rsid w:val="0CAD7B7E"/>
    <w:rsid w:val="0EC341CA"/>
    <w:rsid w:val="13CF3E03"/>
    <w:rsid w:val="1456794A"/>
    <w:rsid w:val="1F636BEC"/>
    <w:rsid w:val="21AD0D3D"/>
    <w:rsid w:val="21CA447C"/>
    <w:rsid w:val="24600C0F"/>
    <w:rsid w:val="252A68FA"/>
    <w:rsid w:val="2A267A28"/>
    <w:rsid w:val="2CAE51DF"/>
    <w:rsid w:val="336458B3"/>
    <w:rsid w:val="37227682"/>
    <w:rsid w:val="3A1439A9"/>
    <w:rsid w:val="3E642A25"/>
    <w:rsid w:val="405232F1"/>
    <w:rsid w:val="429A4C67"/>
    <w:rsid w:val="44FB52BF"/>
    <w:rsid w:val="45C134E9"/>
    <w:rsid w:val="47C562E2"/>
    <w:rsid w:val="48480CC1"/>
    <w:rsid w:val="4AD30F4F"/>
    <w:rsid w:val="5BA04C44"/>
    <w:rsid w:val="5E710573"/>
    <w:rsid w:val="5F4973A1"/>
    <w:rsid w:val="60BB607C"/>
    <w:rsid w:val="620B1AB5"/>
    <w:rsid w:val="6626043C"/>
    <w:rsid w:val="665C1FB3"/>
    <w:rsid w:val="66C24DDF"/>
    <w:rsid w:val="68E575F2"/>
    <w:rsid w:val="6ABF059B"/>
    <w:rsid w:val="6C9C5622"/>
    <w:rsid w:val="6EB505AF"/>
    <w:rsid w:val="70D7566B"/>
    <w:rsid w:val="7D2A6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beforeLines="0" w:beforeAutospacing="0" w:after="260" w:afterLines="0" w:afterAutospacing="0" w:line="415" w:lineRule="auto"/>
      <w:outlineLvl w:val="2"/>
    </w:pPr>
    <w:rPr>
      <w:rFonts w:eastAsia="楷体_GB2312"/>
      <w:b/>
      <w:sz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ascii="楷体_GB2312" w:hAnsi="Arial" w:eastAsia="楷体_GB2312"/>
      <w:sz w:val="28"/>
      <w:szCs w:val="2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1678</Words>
  <Characters>1895</Characters>
  <Lines>0</Lines>
  <Paragraphs>0</Paragraphs>
  <TotalTime>0</TotalTime>
  <ScaleCrop>false</ScaleCrop>
  <LinksUpToDate>false</LinksUpToDate>
  <CharactersWithSpaces>1918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2023-11-02T02:52:00Z</dcterms:created>
  <dc:creator>admin</dc:creator>
  <cp:lastModifiedBy>逗妮开心</cp:lastModifiedBy>
  <dcterms:modified xsi:type="dcterms:W3CDTF">2025-03-21T13:10:15Z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99A2201927FF4346AB91AD6354167A4A_13</vt:lpwstr>
  </property>
  <property fmtid="{D5CDD505-2E9C-101B-9397-08002B2CF9AE}" pid="4" name="KSOTemplateDocerSaveRecord">
    <vt:lpwstr>eyJoZGlkIjoiY2ViMDM0ZmE0NTFhYWVmNDMzZWIzZTU4ZTkxMmIyNzAiLCJ1c2VySWQiOiI5NjQxMDQwMzEifQ==</vt:lpwstr>
  </property>
</Properties>
</file>