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玻璃钢里程碑技术参数和要求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一、技术参数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规格及质量玻璃钢里程碑需满足1000mm*400mm*150mm*3mm，技术要求符合GB5768-2022 玻璃钢国道里程碑技术规范要求中的技术要求的要求。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二、技术规范性文件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1、中华人民共和国国家标准５７６８．２—２０２２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代替５７６８．２—２００９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2、道路交通标志和标线第2部分道路交通标志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三、里程碑规格要求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用以表明公路的里程、里程碑设在公路桩号递增方向的右侧,每隔1Km设一块,正反面均应有道路编号及里程。里程碑表面为白色,国道编号用红字,省道编号用蓝字,县道乡道编号用黑字,可使用反光材料,见图如路侧条件受限无法设置里程碑时,可设置里程牌,见图里程牌宜采用单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67535" cy="2400300"/>
            <wp:effectExtent l="0" t="0" r="184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四、对货物的其他要求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1、供应商响应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产品须取得权威机构或者国家授权、许可产品检验检测机构出具的产品有效的检测报告、鉴定报告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出厂合格证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等证明产品合格的材料，且报告结论数据满足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产品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技术规范要求。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2、供货商供货时，对每批产品须提供生产厂家合格证、检测报告扫描件。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、货物检测过程中所发生的费用由供应商承担。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、供货地点：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喀什公路管理局麦盖提分局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、本次货物的成交金额含税费、运费、货物保险费、过磅费、停车费等货物的运输、装卸、验收过程的一切费用。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五、对供应商的竞价要求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1、供应商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必须是独立的法人，持有效的营业执照。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2、供应商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具有有效的基本账户开户许可证或基本存款账户信息证明。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3、供应商竞价时、要提供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在“信用中国”网站（www.creditchina.gov.cn）中未被列入失信被执行人名。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4、供应商竞价时、要提供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在国家企业信用信息公示系统（http://www.gsxt.gov.cn/）中未被列入严重违法失信企业名单。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5、供应商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必须为采购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产品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生产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商或代理商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经销商。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提供授权委托书或资格证明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、提供货物质量保证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、提供商业贿赂承诺书。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次采购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不接受联合体形式投标，不允许转包和分包。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六、必须提供上传的文件资料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响应时，以下要求的上传文件资料上供应商盖公章，高清扫描件在平台上上传、如果供应商扫描文件资料上未盖章、扫描文件资料模糊、不清楚、资料内容不符合采购方采购要求的，视为竞价无效，采购方有权取消供应商的竞价结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公司营业执照。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开户许可证或基本存款账户信息证明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未被列入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失信被执行人名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证明（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“信用中国”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未被列入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严重违法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行为证明（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国家企业信用信息公示系统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货物质量保证书（内容里面必须写清楚货物的名称、品牌、型号、质量保证的内容，如果以上核心内容不齐全，或漏项，按无效报价处理）。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商业贿赂承诺书。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不分包不转包承诺书。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8）提供授权委托书或资格证明。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备注：竞价成功签订合同时，供应商必须提供以上上传资料的原件。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1C1B1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1C1B1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1C1B1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1C1B10"/>
          <w:spacing w:val="0"/>
          <w:sz w:val="32"/>
          <w:szCs w:val="32"/>
          <w:u w:val="none"/>
          <w:shd w:val="clear" w:color="auto" w:fill="FFFFFF"/>
          <w:lang w:val="en-US" w:eastAsia="zh-CN"/>
        </w:rPr>
        <w:t>养护办公室成员签字：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41A6F"/>
    <w:multiLevelType w:val="singleLevel"/>
    <w:tmpl w:val="BA841A6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ZTJlNTM5MzU3YTUwZDUyODRlMjY1ODUzZWUwMjMifQ=="/>
  </w:docVars>
  <w:rsids>
    <w:rsidRoot w:val="00000000"/>
    <w:rsid w:val="3292647A"/>
    <w:rsid w:val="484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420" w:hanging="42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2023-07-13T10:34:00Z</dcterms:created>
  <dc:creator>Administrator</dc:creator>
  <cp:lastModifiedBy>Administrator</cp:lastModifiedBy>
  <cp:lastPrinted>2023-07-13T11:04:00Z</cp:lastPrinted>
  <dcterms:modified xsi:type="dcterms:W3CDTF">2024-04-23T09:06:26Z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97EE03FBDFEB4105B3A8D4607C6B6A7B_12</vt:lpwstr>
  </property>
</Properties>
</file>