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关于信息工程学院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数字媒体技术教研室申请采购师生作品展布展服务</w:t>
      </w:r>
      <w:r>
        <w:rPr>
          <w:rFonts w:hint="eastAsia" w:ascii="方正小标宋简体" w:eastAsia="方正小标宋简体"/>
          <w:sz w:val="44"/>
          <w:szCs w:val="44"/>
        </w:rPr>
        <w:t>的请示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信息工程学院党政联席会：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为了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丰富数字媒体技术专业学生的实践能力；支持数字媒体技术专业的全体教师开展科研和艺术创作；满足师生相关竞赛需求。数字媒体技术教研室计划于5月18日至5月24日（共7天）举行数字媒体技术专业师生作品展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经过我教研室老师充分论证及政府采购云平台初步比价，我部门拟采购师生作品展布展服务，本次采购预算费用为49470元(人民币大写：肆万玖仟肆佰柒拾元整)。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采购方式：建议采用政府采购云平台在线询价方式采购。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资金来源：建议从信息工程学院预算经费中列支。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现提交党政联席会审议。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附件：师生作品展布展服务预算清单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信息工程学院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数字媒体技术教研室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80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8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8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部门负责人签字：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8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8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分管院领导签字：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</w:t>
      </w:r>
    </w:p>
    <w:p>
      <w:pPr>
        <w:widowControl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师生作品展布展服务预算清单</w:t>
      </w:r>
    </w:p>
    <w:tbl>
      <w:tblPr>
        <w:tblStyle w:val="6"/>
        <w:tblpPr w:leftFromText="180" w:rightFromText="180" w:vertAnchor="text" w:horzAnchor="page" w:tblpXSpec="center" w:tblpY="520"/>
        <w:tblOverlap w:val="never"/>
        <w:tblW w:w="7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672"/>
        <w:gridCol w:w="2388"/>
        <w:gridCol w:w="627"/>
        <w:gridCol w:w="688"/>
        <w:gridCol w:w="1189"/>
        <w:gridCol w:w="733"/>
        <w:gridCol w:w="1264"/>
      </w:tblGrid>
      <w:tr>
        <w:trPr>
          <w:jc w:val="center"/>
        </w:trPr>
        <w:tc>
          <w:tcPr>
            <w:tcW w:w="3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序号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详细参数</w:t>
            </w: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单位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材质与工艺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总价</w:t>
            </w:r>
            <w:r>
              <w:rPr>
                <w:rFonts w:hint="eastAsia" w:ascii="仿宋_GB2312" w:eastAsia="仿宋_GB2312"/>
                <w:sz w:val="22"/>
                <w:szCs w:val="22"/>
              </w:rPr>
              <w:t>（元）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rPr>
          <w:trHeight w:val="292" w:hRule="atLeast"/>
          <w:jc w:val="center"/>
        </w:trPr>
        <w:tc>
          <w:tcPr>
            <w:tcW w:w="3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展架制作</w:t>
            </w:r>
          </w:p>
        </w:tc>
        <w:tc>
          <w:tcPr>
            <w:tcW w:w="238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用于支撑幕布、画框且能作用于分割场地，高约2m，每1米宽能够承重不低于10kg。</w:t>
            </w:r>
          </w:p>
        </w:tc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396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米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铝合金与实木结合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18200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需要根据作品展场地进场实际测量尺寸订做</w:t>
            </w:r>
          </w:p>
        </w:tc>
      </w:tr>
      <w:tr>
        <w:trPr>
          <w:trHeight w:val="451" w:hRule="atLeast"/>
          <w:jc w:val="center"/>
        </w:trPr>
        <w:tc>
          <w:tcPr>
            <w:tcW w:w="3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画框制作</w:t>
            </w:r>
          </w:p>
        </w:tc>
        <w:tc>
          <w:tcPr>
            <w:tcW w:w="238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包含竖版、横版、方形等形式，不小于0.5m宽*0.5m长。</w:t>
            </w:r>
          </w:p>
        </w:tc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米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原木色复古画框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13200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需要根据作品展内容数量进场实际测量尺寸订做</w:t>
            </w:r>
          </w:p>
        </w:tc>
      </w:tr>
      <w:tr>
        <w:trPr>
          <w:jc w:val="center"/>
        </w:trPr>
        <w:tc>
          <w:tcPr>
            <w:tcW w:w="39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展架幕布裁剪搭建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宽度不低于2.2m，长度不低于60米，能够置于2m铝合金与实木结合展架之上，能够支撑平面作品夹于幕布之上不断裂。</w:t>
            </w:r>
          </w:p>
        </w:tc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米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黑色标准装饰幕布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需要根据作品展场地展架数量及长度进场进行裁剪</w:t>
            </w:r>
          </w:p>
        </w:tc>
      </w:tr>
      <w:tr>
        <w:trPr>
          <w:jc w:val="center"/>
        </w:trPr>
        <w:tc>
          <w:tcPr>
            <w:tcW w:w="39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展台幕布裁剪制作</w:t>
            </w:r>
            <w:bookmarkStart w:id="0" w:name="_GoBack"/>
            <w:bookmarkEnd w:id="0"/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宽度不低于3m，长度不低于50米，能够置于2m铝合金与实木结合展架之上，能够支撑平面作品夹于幕布之上不断裂。</w:t>
            </w:r>
          </w:p>
        </w:tc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米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黑色二标装饰幕布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需要根据作品展场地展台数量及长度进场进行裁剪</w:t>
            </w:r>
          </w:p>
        </w:tc>
      </w:tr>
      <w:tr>
        <w:trPr>
          <w:jc w:val="center"/>
        </w:trPr>
        <w:tc>
          <w:tcPr>
            <w:tcW w:w="39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布展灯具搭建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灯轴照射夹角可调节不低于90度。</w:t>
            </w:r>
          </w:p>
        </w:tc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显指大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趋近自然光色差小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5F5F5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黑色外观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7790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竞价前需提供作品展灯具位置设计图</w:t>
            </w:r>
          </w:p>
        </w:tc>
      </w:tr>
      <w:tr>
        <w:trPr>
          <w:jc w:val="center"/>
        </w:trPr>
        <w:tc>
          <w:tcPr>
            <w:tcW w:w="39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平面作品夹子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可用于固定画框于幕布及展架之上，保证不掉落。</w:t>
            </w:r>
          </w:p>
        </w:tc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636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黑色不锈钢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39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展台制作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圆形三层及长方形展台，每个展台至少承重30kg。</w:t>
            </w:r>
          </w:p>
        </w:tc>
        <w:tc>
          <w:tcPr>
            <w:tcW w:w="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平方米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白色多层木质展台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需要根据作品展内容数量进场实际测量尺寸订做</w:t>
            </w:r>
          </w:p>
        </w:tc>
      </w:tr>
      <w:tr>
        <w:trPr>
          <w:jc w:val="center"/>
        </w:trPr>
        <w:tc>
          <w:tcPr>
            <w:tcW w:w="7951" w:type="dxa"/>
            <w:gridSpan w:val="8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合计（元）：49470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8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sectPr>
      <w:pgSz w:w="11906" w:h="16838"/>
      <w:pgMar w:top="209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altName w:val="苹方-简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4YzI0NDg1MDc4YjQ2NWZjNGVmMjhhZjViYjg2ZjYifQ=="/>
  </w:docVars>
  <w:rsids>
    <w:rsidRoot w:val="003B3C39"/>
    <w:rsid w:val="002465F3"/>
    <w:rsid w:val="003B3C39"/>
    <w:rsid w:val="00507C7C"/>
    <w:rsid w:val="00C81795"/>
    <w:rsid w:val="00C9240E"/>
    <w:rsid w:val="00CC35B7"/>
    <w:rsid w:val="00DE6177"/>
    <w:rsid w:val="02BE6955"/>
    <w:rsid w:val="044004C3"/>
    <w:rsid w:val="0C4548C9"/>
    <w:rsid w:val="125E66E4"/>
    <w:rsid w:val="14052D8E"/>
    <w:rsid w:val="19FA2589"/>
    <w:rsid w:val="1E390005"/>
    <w:rsid w:val="1FD0528B"/>
    <w:rsid w:val="22AE0FE1"/>
    <w:rsid w:val="2BD83874"/>
    <w:rsid w:val="2CFF2B2A"/>
    <w:rsid w:val="2D2F4BE6"/>
    <w:rsid w:val="380A23A7"/>
    <w:rsid w:val="3DFBCFA8"/>
    <w:rsid w:val="413C27B1"/>
    <w:rsid w:val="41DD71F0"/>
    <w:rsid w:val="4EAFAAEB"/>
    <w:rsid w:val="502838B2"/>
    <w:rsid w:val="5277467D"/>
    <w:rsid w:val="56850D43"/>
    <w:rsid w:val="57E427B4"/>
    <w:rsid w:val="5A05467D"/>
    <w:rsid w:val="62B9483E"/>
    <w:rsid w:val="63FABDB2"/>
    <w:rsid w:val="65F995DF"/>
    <w:rsid w:val="65FF6A0B"/>
    <w:rsid w:val="66666A8A"/>
    <w:rsid w:val="671A64A2"/>
    <w:rsid w:val="684D1CB0"/>
    <w:rsid w:val="6A8B3CB8"/>
    <w:rsid w:val="6D8049B5"/>
    <w:rsid w:val="6DB91B96"/>
    <w:rsid w:val="6DFEC314"/>
    <w:rsid w:val="71ECE9DA"/>
    <w:rsid w:val="74573835"/>
    <w:rsid w:val="77DB77B3"/>
    <w:rsid w:val="7B15597B"/>
    <w:rsid w:val="7D7F31A1"/>
    <w:rsid w:val="7E0724A9"/>
    <w:rsid w:val="7F3B065C"/>
    <w:rsid w:val="7FFF4B67"/>
    <w:rsid w:val="BEDB11C9"/>
    <w:rsid w:val="EF6F1149"/>
    <w:rsid w:val="FAEAA999"/>
    <w:rsid w:val="FBF7CFCE"/>
    <w:rsid w:val="FD7FD1E0"/>
    <w:rsid w:val="FDEFC2A1"/>
    <w:rsid w:val="FFDF8F48"/>
    <w:rsid w:val="FFFE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351</Words>
  <Characters>364</Characters>
  <Lines>2</Lines>
  <Paragraphs>1</Paragraphs>
  <TotalTime>3</TotalTime>
  <ScaleCrop>false</ScaleCrop>
  <LinksUpToDate>false</LinksUpToDate>
  <CharactersWithSpaces>365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2023-09-08T19:32:00Z</dcterms:created>
  <dc:creator>Administrator</dc:creator>
  <cp:lastModifiedBy>刘开宇</cp:lastModifiedBy>
  <dcterms:modified xsi:type="dcterms:W3CDTF">2024-04-27T13:39:05Z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07F2FFB526D2EE62298F2C66026D53B0_43</vt:lpwstr>
  </property>
</Properties>
</file>