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伊犁州无线电管理局界梁子点对点数据专线服务采购项目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伊犁州无线电管理局点对点数据专线链路服务项目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伊犁州无线电管理局</w:t>
      </w:r>
      <w:r>
        <w:rPr>
          <w:rFonts w:ascii="Times New Roman" w:hAnsi="Times New Roman" w:eastAsia="仿宋_GB2312"/>
          <w:sz w:val="32"/>
          <w:szCs w:val="32"/>
        </w:rPr>
        <w:t>采用专线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网络</w:t>
      </w:r>
      <w:r>
        <w:rPr>
          <w:rFonts w:ascii="Times New Roman" w:hAnsi="Times New Roman" w:eastAsia="仿宋_GB2312"/>
          <w:sz w:val="32"/>
          <w:szCs w:val="32"/>
        </w:rPr>
        <w:t>，实现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伊犁州B级控制中心与伊宁市界梁子站进行</w:t>
      </w:r>
      <w:r>
        <w:rPr>
          <w:rFonts w:hint="eastAsia" w:ascii="Times New Roman" w:hAnsi="Times New Roman" w:eastAsia="仿宋_GB2312"/>
          <w:sz w:val="32"/>
          <w:szCs w:val="32"/>
        </w:rPr>
        <w:t>互联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sz w:val="32"/>
          <w:szCs w:val="32"/>
        </w:rPr>
        <w:t>三、项目预算</w:t>
      </w:r>
    </w:p>
    <w:p>
      <w:pPr>
        <w:keepNext w:val="0"/>
        <w:keepLines w:val="0"/>
        <w:pageBreakBefore w:val="0"/>
        <w:widowControl/>
        <w:tabs>
          <w:tab w:val="left" w:pos="1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000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按年计费，包含所有接入设备、链路、施工、调试及服务费、售后等所有服务。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/>
          <w:b w:val="0"/>
          <w:bCs/>
          <w:sz w:val="32"/>
          <w:szCs w:val="32"/>
        </w:rPr>
        <w:t>项目内容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90"/>
        <w:gridCol w:w="1920"/>
        <w:gridCol w:w="168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16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09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数据专线起点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数据专线终点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带宽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bps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16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伊宁市界梁子村委会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伊犁州无线电管理局四楼机房（伊宁市边境经济合作区辽宁路103号）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不小于20</w:t>
            </w:r>
          </w:p>
        </w:tc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1条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需提供点对点专线服务硬件设施（光电转换设备等）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五、项目要求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</w:t>
      </w:r>
      <w:r>
        <w:rPr>
          <w:rFonts w:ascii="Times New Roman" w:hAnsi="Times New Roman" w:eastAsia="楷体_GB2312"/>
          <w:b/>
          <w:bCs/>
          <w:sz w:val="32"/>
          <w:szCs w:val="32"/>
        </w:rPr>
        <w:t>链路质量要求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ascii="Times New Roman" w:hAnsi="Times New Roman" w:eastAsia="仿宋_GB2312"/>
          <w:sz w:val="32"/>
          <w:szCs w:val="32"/>
        </w:rPr>
        <w:t>链路传输比特差错率</w:t>
      </w:r>
      <w:r>
        <w:rPr>
          <w:rFonts w:ascii="Times New Roman" w:hAnsi="Times New Roman" w:eastAsia="仿宋_GB2312"/>
          <w:color w:val="000000"/>
          <w:sz w:val="32"/>
          <w:szCs w:val="32"/>
        </w:rPr>
        <w:t>&lt;1×10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-8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2.链路可用率&gt;99.99%；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3.链路传输时延&lt;10ms；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4.单向丢包率&lt;0.5%。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</w:t>
      </w:r>
      <w:r>
        <w:rPr>
          <w:rFonts w:ascii="Times New Roman" w:hAnsi="Times New Roman" w:eastAsia="楷体_GB2312"/>
          <w:b/>
          <w:bCs/>
          <w:sz w:val="32"/>
          <w:szCs w:val="32"/>
        </w:rPr>
        <w:t>建设要求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</w:pPr>
      <w:r>
        <w:rPr>
          <w:rFonts w:ascii="Times New Roman" w:hAnsi="Times New Roman" w:eastAsia="仿宋_GB2312"/>
          <w:sz w:val="32"/>
          <w:szCs w:val="32"/>
        </w:rPr>
        <w:t>项目实施期间，不得影响现有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专线</w:t>
      </w:r>
      <w:r>
        <w:rPr>
          <w:rFonts w:ascii="Times New Roman" w:hAnsi="Times New Roman" w:eastAsia="仿宋_GB2312"/>
          <w:sz w:val="32"/>
          <w:szCs w:val="32"/>
        </w:rPr>
        <w:t>的正常网络接入，确保网络链路高可靠性、高可用性和高冗余性。运营商要加强项目组织管理，全面提高网络整体巡检运维管理水平，建立网络安全保障预警机制，满足用户对网络安全应急响应的保障能力。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（三）网络质量巡检及运维保障要求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运营商网络运维保障内容包括：</w:t>
      </w:r>
    </w:p>
    <w:p>
      <w:pPr>
        <w:pStyle w:val="2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1.运营商按行业主管部门规定的链路质量要求，</w:t>
      </w:r>
      <w:r>
        <w:rPr>
          <w:rFonts w:hint="eastAsia" w:ascii="Times New Roman" w:hAnsi="Times New Roman" w:eastAsia="仿宋_GB2312"/>
          <w:sz w:val="32"/>
          <w:szCs w:val="32"/>
        </w:rPr>
        <w:t>提供</w:t>
      </w:r>
      <w:r>
        <w:rPr>
          <w:rFonts w:ascii="Times New Roman" w:hAnsi="Times New Roman" w:eastAsia="仿宋_GB2312"/>
          <w:sz w:val="32"/>
          <w:szCs w:val="32"/>
        </w:rPr>
        <w:t>7×24</w:t>
      </w:r>
      <w:r>
        <w:rPr>
          <w:rFonts w:hint="eastAsia" w:ascii="Times New Roman" w:hAnsi="Times New Roman" w:eastAsia="仿宋_GB2312"/>
          <w:sz w:val="32"/>
          <w:szCs w:val="32"/>
        </w:rPr>
        <w:t>小时的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专用链路</w:t>
      </w:r>
      <w:r>
        <w:rPr>
          <w:rFonts w:hint="eastAsia" w:ascii="Times New Roman" w:hAnsi="Times New Roman" w:eastAsia="仿宋_GB2312"/>
          <w:sz w:val="32"/>
          <w:szCs w:val="32"/>
        </w:rPr>
        <w:t>质量与运行监测服务，</w:t>
      </w:r>
      <w:r>
        <w:rPr>
          <w:rFonts w:ascii="Times New Roman" w:hAnsi="Times New Roman" w:eastAsia="仿宋_GB2312"/>
          <w:sz w:val="32"/>
          <w:szCs w:val="32"/>
        </w:rPr>
        <w:t>7×24</w:t>
      </w:r>
      <w:r>
        <w:rPr>
          <w:rFonts w:hint="eastAsia" w:ascii="Times New Roman" w:hAnsi="Times New Roman" w:eastAsia="仿宋_GB2312"/>
          <w:sz w:val="32"/>
          <w:szCs w:val="32"/>
        </w:rPr>
        <w:t>小时响应并进行故障和发现、处理与恢复；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链路租用期内，须提供免费的链路质保和相关维保服务。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2.运营商应对互联网链路通信质量提供长期、不间断的监测预警，一旦发现问题应及时解决并告知用户。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同时，</w:t>
      </w:r>
      <w:r>
        <w:rPr>
          <w:rFonts w:hint="eastAsia" w:ascii="Times New Roman" w:hAnsi="Times New Roman" w:eastAsia="仿宋_GB2312"/>
          <w:sz w:val="32"/>
          <w:szCs w:val="32"/>
        </w:rPr>
        <w:t>提供应急响应，出现故障时，应在10分钟响应并在30分钟内解决，无法立即的解决的，2小时内提供备份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链路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3．运营商如需中断用户线路，应提前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sz w:val="32"/>
          <w:szCs w:val="32"/>
        </w:rPr>
        <w:t>小时通知用户，经协商同意后实施，且不能影响用户的正常业务运行。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4.运营商应建立完备的用户档案，及时对相应的链路、设备进行特殊标记，以保证用户相关维护资料的准确性；建立详细、完备的链路资料档案和网络运行档案并提交用户。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5.运营商要制定完善的应急故障处理流程及保障预案，保证紧急情况下快速处理故障，缩短故障处理时限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2"/>
        <w:ind w:firstLine="643" w:firstLineChars="200"/>
        <w:rPr>
          <w:rFonts w:hint="eastAsia" w:eastAsia="楷体_GB2312"/>
          <w:lang w:val="en-US" w:eastAsia="zh-CN"/>
        </w:rPr>
      </w:pPr>
      <w:r>
        <w:rPr>
          <w:rFonts w:ascii="Times New Roman" w:hAnsi="Times New Roman" w:eastAsia="楷体_GB2312"/>
          <w:b/>
          <w:sz w:val="32"/>
          <w:szCs w:val="32"/>
        </w:rPr>
        <w:t>（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b/>
          <w:sz w:val="32"/>
          <w:szCs w:val="32"/>
        </w:rPr>
        <w:t>）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其他要求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ascii="Times New Roman" w:hAnsi="Times New Roman" w:eastAsia="仿宋_GB2312"/>
          <w:sz w:val="32"/>
          <w:szCs w:val="32"/>
        </w:rPr>
        <w:t>运营商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商提供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数据专线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接入服务的技术规范、产品质量以及为提供服务所使用的接入、传输交换等各类软硬件资源应符合中央网信办、工信部和其他相关行业主管部门的强制性、规范性要求，符合相关信息安全政策要求。 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应急保障。</w:t>
      </w:r>
      <w:r>
        <w:rPr>
          <w:rFonts w:ascii="Times New Roman" w:hAnsi="Times New Roman" w:eastAsia="仿宋_GB2312"/>
          <w:sz w:val="32"/>
          <w:szCs w:val="32"/>
        </w:rPr>
        <w:t>运营商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应具有应急通信保障能力，可根据采购人需要在国家重大活动期间的提供重点专项服务保障，保证国庆、春节等节假日期间的服务连续性。可根据采购人业务需要提供紧急线路开通、突发带宽扩容等服务。可为所有采购人制定重点专项保障方案和应急保障预案。 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7616"/>
    <w:rsid w:val="078A3104"/>
    <w:rsid w:val="08FC01DC"/>
    <w:rsid w:val="0B7B066E"/>
    <w:rsid w:val="0F0C2C9E"/>
    <w:rsid w:val="12F97054"/>
    <w:rsid w:val="134C0C24"/>
    <w:rsid w:val="15F9537A"/>
    <w:rsid w:val="2CB624BA"/>
    <w:rsid w:val="35EE1D9A"/>
    <w:rsid w:val="39024A0D"/>
    <w:rsid w:val="3DE56FCF"/>
    <w:rsid w:val="4656460D"/>
    <w:rsid w:val="55841B3D"/>
    <w:rsid w:val="56BC4038"/>
    <w:rsid w:val="5BB501BD"/>
    <w:rsid w:val="5E417061"/>
    <w:rsid w:val="5FC02308"/>
    <w:rsid w:val="77D1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Administrator.XTTD-2020HUOPKG</dc:creator>
  <cp:lastModifiedBy>Administrator</cp:lastModifiedBy>
  <dcterms:modified xsi:type="dcterms:W3CDTF">2024-03-18T10:13:33Z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