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C1B2C7">
      <w:pPr>
        <w:jc w:val="center"/>
        <w:rPr>
          <w:rFonts w:hint="eastAsia" w:asciiTheme="majorEastAsia" w:hAnsiTheme="majorEastAsia" w:eastAsiaTheme="majorEastAsia" w:cstheme="majorEastAsia"/>
          <w:b/>
          <w:bCs/>
          <w:sz w:val="44"/>
          <w:szCs w:val="44"/>
        </w:rPr>
      </w:pPr>
      <w:bookmarkStart w:id="0" w:name="OLE_LINK10"/>
      <w:bookmarkStart w:id="1" w:name="OLE_LINK1"/>
      <w:r>
        <w:rPr>
          <w:rFonts w:hint="eastAsia" w:asciiTheme="majorEastAsia" w:hAnsiTheme="majorEastAsia" w:eastAsiaTheme="majorEastAsia" w:cstheme="majorEastAsia"/>
          <w:b/>
          <w:bCs/>
          <w:sz w:val="44"/>
          <w:szCs w:val="44"/>
        </w:rPr>
        <w:t>和田公路事业发展中心民丰养护所2025年路面病害</w:t>
      </w:r>
      <w:r>
        <w:rPr>
          <w:rFonts w:hint="eastAsia" w:asciiTheme="majorEastAsia" w:hAnsiTheme="majorEastAsia" w:eastAsiaTheme="majorEastAsia" w:cstheme="majorEastAsia"/>
          <w:b/>
          <w:bCs/>
          <w:sz w:val="44"/>
          <w:szCs w:val="44"/>
          <w:lang w:val="en-US" w:eastAsia="zh-CN"/>
        </w:rPr>
        <w:t>处治</w:t>
      </w:r>
      <w:r>
        <w:rPr>
          <w:rFonts w:hint="eastAsia" w:asciiTheme="majorEastAsia" w:hAnsiTheme="majorEastAsia" w:eastAsiaTheme="majorEastAsia" w:cstheme="majorEastAsia"/>
          <w:b/>
          <w:bCs/>
          <w:sz w:val="44"/>
          <w:szCs w:val="44"/>
        </w:rPr>
        <w:t>项目</w:t>
      </w:r>
      <w:bookmarkEnd w:id="0"/>
      <w:r>
        <w:rPr>
          <w:rFonts w:hint="eastAsia" w:asciiTheme="majorEastAsia" w:hAnsiTheme="majorEastAsia" w:eastAsiaTheme="majorEastAsia" w:cstheme="majorEastAsia"/>
          <w:b/>
          <w:bCs/>
          <w:sz w:val="44"/>
          <w:szCs w:val="44"/>
        </w:rPr>
        <w:t>在线询价相关要求</w:t>
      </w:r>
    </w:p>
    <w:bookmarkEnd w:id="1"/>
    <w:p w14:paraId="5A6AFAEF">
      <w:pPr>
        <w:rPr>
          <w:rFonts w:hint="eastAsia"/>
        </w:rPr>
      </w:pPr>
    </w:p>
    <w:p w14:paraId="7B0215CA">
      <w:pPr>
        <w:rPr>
          <w:rFonts w:hint="eastAsia" w:ascii="仿宋" w:hAnsi="仿宋" w:eastAsia="仿宋" w:cs="仿宋"/>
          <w:sz w:val="32"/>
          <w:szCs w:val="32"/>
        </w:rPr>
      </w:pPr>
      <w:r>
        <w:rPr>
          <w:rFonts w:hint="eastAsia" w:ascii="仿宋" w:hAnsi="仿宋" w:eastAsia="仿宋" w:cs="仿宋"/>
          <w:sz w:val="32"/>
          <w:szCs w:val="32"/>
        </w:rPr>
        <w:t>在线询价单位：和田公路事业发展中心民丰养护所</w:t>
      </w:r>
    </w:p>
    <w:p w14:paraId="06CD4C78">
      <w:pPr>
        <w:numPr>
          <w:ilvl w:val="0"/>
          <w:numId w:val="2"/>
        </w:num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项目概况：</w:t>
      </w:r>
    </w:p>
    <w:p w14:paraId="6641F08E">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采购数量：</w:t>
      </w:r>
    </w:p>
    <w:p w14:paraId="29A0E2F9">
      <w:pPr>
        <w:numPr>
          <w:ilvl w:val="0"/>
          <w:numId w:val="0"/>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1）处治路面病害工程量4712.68㎡</w:t>
      </w:r>
      <w:r>
        <w:rPr>
          <w:rFonts w:hint="eastAsia" w:ascii="仿宋" w:hAnsi="仿宋" w:eastAsia="仿宋" w:cs="仿宋"/>
          <w:sz w:val="32"/>
          <w:szCs w:val="32"/>
          <w:lang w:eastAsia="zh-CN"/>
        </w:rPr>
        <w:t>。</w:t>
      </w:r>
    </w:p>
    <w:p w14:paraId="6CB2E051">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此工程</w:t>
      </w:r>
      <w:r>
        <w:rPr>
          <w:rFonts w:hint="eastAsia" w:ascii="仿宋" w:hAnsi="仿宋" w:eastAsia="仿宋" w:cs="仿宋"/>
          <w:sz w:val="32"/>
          <w:szCs w:val="32"/>
          <w:lang w:val="en-US" w:eastAsia="zh-CN"/>
        </w:rPr>
        <w:t>包括：</w:t>
      </w:r>
      <w:r>
        <w:rPr>
          <w:rFonts w:hint="eastAsia" w:ascii="仿宋" w:hAnsi="仿宋" w:eastAsia="仿宋" w:cs="仿宋"/>
          <w:b/>
          <w:bCs/>
          <w:sz w:val="32"/>
          <w:szCs w:val="32"/>
          <w:lang w:val="en-US" w:eastAsia="zh-CN"/>
        </w:rPr>
        <w:t>除</w:t>
      </w:r>
      <w:r>
        <w:rPr>
          <w:rFonts w:hint="eastAsia" w:ascii="仿宋" w:hAnsi="仿宋" w:eastAsia="仿宋" w:cs="仿宋"/>
          <w:sz w:val="32"/>
          <w:szCs w:val="32"/>
          <w:lang w:val="en-US" w:eastAsia="zh-CN"/>
        </w:rPr>
        <w:t>使用材料（沥青混合料产生及运输）及处治病害使用铣刨机、压路机、综合养护车三个机械设备</w:t>
      </w:r>
      <w:r>
        <w:rPr>
          <w:rFonts w:hint="eastAsia" w:ascii="仿宋" w:hAnsi="仿宋" w:eastAsia="仿宋" w:cs="仿宋"/>
          <w:b/>
          <w:bCs/>
          <w:sz w:val="32"/>
          <w:szCs w:val="32"/>
          <w:lang w:val="en-US" w:eastAsia="zh-CN"/>
        </w:rPr>
        <w:t>外</w:t>
      </w:r>
      <w:r>
        <w:rPr>
          <w:rFonts w:hint="eastAsia" w:ascii="仿宋" w:hAnsi="仿宋" w:eastAsia="仿宋" w:cs="仿宋"/>
          <w:sz w:val="32"/>
          <w:szCs w:val="32"/>
          <w:lang w:val="en-US" w:eastAsia="zh-CN"/>
        </w:rPr>
        <w:t>的所有项目（施工人员、安全作业区设施、其他用到的机械设备），</w:t>
      </w:r>
      <w:r>
        <w:rPr>
          <w:rFonts w:hint="eastAsia" w:ascii="仿宋" w:hAnsi="仿宋" w:eastAsia="仿宋" w:cs="仿宋"/>
          <w:sz w:val="32"/>
          <w:szCs w:val="32"/>
        </w:rPr>
        <w:t>供应商认真查阅附件技术参数及上传资料要求。</w:t>
      </w:r>
    </w:p>
    <w:p w14:paraId="0BB7E74B">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lang w:val="en-US" w:eastAsia="zh-CN"/>
        </w:rPr>
        <w:t>施工地点包括</w:t>
      </w:r>
      <w:bookmarkStart w:id="2" w:name="OLE_LINK4"/>
      <w:r>
        <w:rPr>
          <w:rFonts w:hint="eastAsia" w:ascii="仿宋" w:hAnsi="仿宋" w:eastAsia="仿宋" w:cs="仿宋"/>
          <w:sz w:val="32"/>
          <w:szCs w:val="32"/>
          <w:lang w:val="en-US" w:eastAsia="zh-CN"/>
        </w:rPr>
        <w:t>国道216线和一级公路0612线。</w:t>
      </w:r>
      <w:bookmarkEnd w:id="2"/>
    </w:p>
    <w:p w14:paraId="37DDC174">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lang w:val="en-US" w:eastAsia="zh-CN"/>
        </w:rPr>
        <w:t>处治路面病害包括：</w:t>
      </w:r>
    </w:p>
    <w:p w14:paraId="44B4881B">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G216线K1942+000-K2040+986路段重度坑槽采用开挖修补法处治，工程量1242.13㎡。</w:t>
      </w:r>
    </w:p>
    <w:p w14:paraId="13FF4940">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G0612线K2069+820-K2120+000段路段轻度坑槽采用铣刨后热补沥青处治，工程量3470.55㎡。</w:t>
      </w:r>
    </w:p>
    <w:p w14:paraId="3F67D792">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lang w:val="en-US" w:eastAsia="zh-CN"/>
        </w:rPr>
        <w:t>二、病害处治</w:t>
      </w:r>
      <w:r>
        <w:rPr>
          <w:rFonts w:hint="eastAsia" w:ascii="仿宋" w:hAnsi="仿宋" w:eastAsia="仿宋" w:cs="仿宋"/>
          <w:b/>
          <w:bCs/>
          <w:sz w:val="32"/>
          <w:szCs w:val="32"/>
        </w:rPr>
        <w:t>技术要求</w:t>
      </w:r>
    </w:p>
    <w:p w14:paraId="57DE2AC4">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lang w:val="en-US" w:eastAsia="zh-CN"/>
        </w:rPr>
        <w:t>（一）严格执行</w:t>
      </w:r>
      <w:r>
        <w:rPr>
          <w:rFonts w:hint="eastAsia" w:ascii="仿宋" w:hAnsi="仿宋" w:eastAsia="仿宋" w:cs="仿宋"/>
          <w:sz w:val="32"/>
          <w:szCs w:val="32"/>
        </w:rPr>
        <w:t>《公路沥青路面养护技术规范》（JTG 5142）和《公路路基路面现场测试规程》（JTG 3450）</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道路交通标志和标线第4部分：作业区》</w:t>
      </w:r>
      <w:r>
        <w:rPr>
          <w:rFonts w:hint="eastAsia" w:ascii="仿宋" w:hAnsi="仿宋" w:eastAsia="仿宋" w:cs="仿宋"/>
          <w:sz w:val="32"/>
          <w:szCs w:val="32"/>
        </w:rPr>
        <w:t>（</w:t>
      </w:r>
      <w:r>
        <w:rPr>
          <w:rFonts w:hint="eastAsia" w:ascii="仿宋" w:hAnsi="仿宋" w:eastAsia="仿宋" w:cs="仿宋"/>
          <w:sz w:val="32"/>
          <w:szCs w:val="32"/>
          <w:lang w:val="en-US" w:eastAsia="zh-CN"/>
        </w:rPr>
        <w:t>GB 5768.4-2017</w:t>
      </w:r>
      <w:r>
        <w:rPr>
          <w:rFonts w:hint="eastAsia" w:ascii="仿宋" w:hAnsi="仿宋" w:eastAsia="仿宋" w:cs="仿宋"/>
          <w:sz w:val="32"/>
          <w:szCs w:val="32"/>
        </w:rPr>
        <w:t>）</w:t>
      </w:r>
      <w:r>
        <w:rPr>
          <w:rFonts w:hint="eastAsia" w:ascii="仿宋" w:hAnsi="仿宋" w:eastAsia="仿宋" w:cs="仿宋"/>
          <w:sz w:val="32"/>
          <w:szCs w:val="32"/>
          <w:lang w:val="en-US" w:eastAsia="zh-CN"/>
        </w:rPr>
        <w:t>等</w:t>
      </w:r>
      <w:r>
        <w:rPr>
          <w:rFonts w:hint="eastAsia" w:ascii="仿宋" w:hAnsi="仿宋" w:eastAsia="仿宋" w:cs="仿宋"/>
          <w:sz w:val="32"/>
          <w:szCs w:val="32"/>
        </w:rPr>
        <w:t>国家现行的有关规范、标准、规程、规定的要求</w:t>
      </w:r>
      <w:r>
        <w:rPr>
          <w:rFonts w:hint="eastAsia" w:ascii="仿宋" w:hAnsi="仿宋" w:eastAsia="仿宋" w:cs="仿宋"/>
          <w:sz w:val="32"/>
          <w:szCs w:val="32"/>
          <w:lang w:eastAsia="zh-CN"/>
        </w:rPr>
        <w:t>。</w:t>
      </w:r>
    </w:p>
    <w:p w14:paraId="4723ED52">
      <w:pPr>
        <w:ind w:firstLine="640" w:firstLineChars="200"/>
      </w:pPr>
      <w:r>
        <w:rPr>
          <w:rFonts w:hint="eastAsia" w:ascii="仿宋" w:hAnsi="仿宋" w:eastAsia="仿宋" w:cs="仿宋"/>
          <w:sz w:val="32"/>
          <w:szCs w:val="32"/>
          <w:lang w:val="en-US" w:eastAsia="zh-CN"/>
        </w:rPr>
        <w:t>（二）施工内容：</w:t>
      </w:r>
    </w:p>
    <w:p w14:paraId="561C41C3">
      <w:pPr>
        <w:pStyle w:val="5"/>
        <w:keepNext w:val="0"/>
        <w:keepLines w:val="0"/>
        <w:widowControl/>
        <w:suppressLineNumbers w:val="0"/>
        <w:spacing w:before="0" w:beforeAutospacing="0" w:after="0" w:afterAutospacing="0"/>
        <w:ind w:right="0" w:firstLine="643" w:firstLineChars="200"/>
        <w:jc w:val="left"/>
        <w:rPr>
          <w:rFonts w:hint="default"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1、病害范围划定与预处理</w:t>
      </w:r>
    </w:p>
    <w:p w14:paraId="4F3F9FEF">
      <w:pPr>
        <w:pStyle w:val="5"/>
        <w:keepNext w:val="0"/>
        <w:keepLines w:val="0"/>
        <w:widowControl/>
        <w:suppressLineNumbers w:val="0"/>
        <w:spacing w:before="0" w:beforeAutospacing="0" w:after="0" w:afterAutospacing="0"/>
        <w:ind w:right="0" w:firstLine="640" w:firstLineChars="200"/>
        <w:jc w:val="left"/>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（1）界定作业面</w:t>
      </w:r>
      <w:r>
        <w:rPr>
          <w:rFonts w:hint="default" w:ascii="仿宋" w:hAnsi="仿宋" w:eastAsia="仿宋" w:cs="仿宋"/>
          <w:kern w:val="2"/>
          <w:sz w:val="32"/>
          <w:szCs w:val="32"/>
          <w:lang w:val="en-US" w:eastAsia="zh-CN" w:bidi="ar-SA"/>
        </w:rPr>
        <w:t>：采用“圆坑方补、斜坑方补”原则，用切割机沿病害边缘切出规则矩形（如长方形），切割深度应穿透病害层至稳定结构层，修补范围需超出实际坑槽边缘10-20cm</w:t>
      </w:r>
      <w:r>
        <w:rPr>
          <w:rFonts w:hint="eastAsia" w:ascii="仿宋" w:hAnsi="仿宋" w:eastAsia="仿宋" w:cs="仿宋"/>
          <w:kern w:val="2"/>
          <w:sz w:val="32"/>
          <w:szCs w:val="32"/>
          <w:lang w:val="en-US" w:eastAsia="zh-CN" w:bidi="ar-SA"/>
        </w:rPr>
        <w:t>。</w:t>
      </w:r>
    </w:p>
    <w:p w14:paraId="32BACC08">
      <w:pPr>
        <w:pStyle w:val="5"/>
        <w:keepNext w:val="0"/>
        <w:keepLines w:val="0"/>
        <w:widowControl/>
        <w:suppressLineNumbers w:val="0"/>
        <w:spacing w:before="0" w:beforeAutospacing="0" w:after="0" w:afterAutospacing="0"/>
        <w:ind w:right="0" w:firstLine="640" w:firstLineChars="200"/>
        <w:jc w:val="left"/>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（2）铣刨凿除</w:t>
      </w:r>
      <w:r>
        <w:rPr>
          <w:rFonts w:hint="default" w:ascii="仿宋" w:hAnsi="仿宋" w:eastAsia="仿宋" w:cs="仿宋"/>
          <w:kern w:val="2"/>
          <w:sz w:val="32"/>
          <w:szCs w:val="32"/>
          <w:lang w:val="en-US" w:eastAsia="zh-CN" w:bidi="ar-SA"/>
        </w:rPr>
        <w:t>：</w:t>
      </w:r>
      <w:r>
        <w:rPr>
          <w:rFonts w:hint="eastAsia" w:ascii="仿宋" w:hAnsi="仿宋" w:eastAsia="仿宋" w:cs="仿宋"/>
          <w:kern w:val="2"/>
          <w:sz w:val="32"/>
          <w:szCs w:val="32"/>
          <w:lang w:val="en-US" w:eastAsia="zh-CN" w:bidi="ar-SA"/>
        </w:rPr>
        <w:t>使用铣刨机对病害区域进行铣刨，深度为3cm，铣刨废料集中运输至指定地点回收利用。</w:t>
      </w:r>
    </w:p>
    <w:p w14:paraId="24DD8728">
      <w:pPr>
        <w:pStyle w:val="5"/>
        <w:keepNext w:val="0"/>
        <w:keepLines w:val="0"/>
        <w:widowControl/>
        <w:suppressLineNumbers w:val="0"/>
        <w:spacing w:before="0" w:beforeAutospacing="0" w:after="0" w:afterAutospacing="0"/>
        <w:ind w:right="0" w:firstLine="640" w:firstLineChars="200"/>
        <w:jc w:val="left"/>
        <w:rPr>
          <w:rFonts w:hint="default"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（3）清理界面</w:t>
      </w:r>
      <w:r>
        <w:rPr>
          <w:rFonts w:hint="default" w:ascii="仿宋" w:hAnsi="仿宋" w:eastAsia="仿宋" w:cs="仿宋"/>
          <w:kern w:val="2"/>
          <w:sz w:val="32"/>
          <w:szCs w:val="32"/>
          <w:lang w:val="en-US" w:eastAsia="zh-CN" w:bidi="ar-SA"/>
        </w:rPr>
        <w:t>：</w:t>
      </w:r>
      <w:r>
        <w:rPr>
          <w:rFonts w:hint="eastAsia" w:ascii="仿宋" w:hAnsi="仿宋" w:eastAsia="仿宋" w:cs="仿宋"/>
          <w:kern w:val="2"/>
          <w:sz w:val="32"/>
          <w:szCs w:val="32"/>
          <w:lang w:val="en-US" w:eastAsia="zh-CN" w:bidi="ar-SA"/>
        </w:rPr>
        <w:t>采用高压吹风机清除碎屑和浮尘，确保修补界面干燥、无松散颗粒，底部无渗水或唧泥现象</w:t>
      </w:r>
      <w:r>
        <w:rPr>
          <w:rFonts w:hint="default" w:ascii="仿宋" w:hAnsi="仿宋" w:eastAsia="仿宋" w:cs="仿宋"/>
          <w:kern w:val="2"/>
          <w:sz w:val="32"/>
          <w:szCs w:val="32"/>
          <w:lang w:val="en-US" w:eastAsia="zh-CN" w:bidi="ar-SA"/>
        </w:rPr>
        <w:t>。</w:t>
      </w:r>
    </w:p>
    <w:p w14:paraId="52AE4877">
      <w:pPr>
        <w:pStyle w:val="5"/>
        <w:keepNext w:val="0"/>
        <w:keepLines w:val="0"/>
        <w:widowControl/>
        <w:suppressLineNumbers w:val="0"/>
        <w:spacing w:before="0" w:beforeAutospacing="0" w:after="0" w:afterAutospacing="0"/>
        <w:ind w:right="0" w:firstLine="640" w:firstLineChars="200"/>
        <w:jc w:val="left"/>
        <w:rPr>
          <w:rFonts w:hint="default"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（4）黏层油喷洒：喷洒快裂型阳离子乳化沥青黏层油（用量0.3~0.6kg/m²），增强新旧层黏结力，防止渗水。</w:t>
      </w:r>
    </w:p>
    <w:p w14:paraId="685883F7">
      <w:pPr>
        <w:pStyle w:val="5"/>
        <w:keepNext w:val="0"/>
        <w:keepLines w:val="0"/>
        <w:widowControl/>
        <w:suppressLineNumbers w:val="0"/>
        <w:spacing w:before="0" w:beforeAutospacing="0" w:after="0" w:afterAutospacing="0"/>
        <w:ind w:right="0" w:firstLine="643" w:firstLineChars="200"/>
        <w:jc w:val="left"/>
        <w:rPr>
          <w:rFonts w:hint="eastAsia"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2、</w:t>
      </w:r>
      <w:r>
        <w:rPr>
          <w:rFonts w:hint="default" w:ascii="仿宋" w:hAnsi="仿宋" w:eastAsia="仿宋" w:cs="仿宋"/>
          <w:b/>
          <w:bCs/>
          <w:kern w:val="2"/>
          <w:sz w:val="32"/>
          <w:szCs w:val="32"/>
          <w:lang w:val="en-US" w:eastAsia="zh-CN" w:bidi="ar-SA"/>
        </w:rPr>
        <w:t>沥青混合料摊铺</w:t>
      </w:r>
    </w:p>
    <w:p w14:paraId="7D856C65">
      <w:pPr>
        <w:pStyle w:val="5"/>
        <w:keepNext w:val="0"/>
        <w:keepLines w:val="0"/>
        <w:widowControl/>
        <w:suppressLineNumbers w:val="0"/>
        <w:spacing w:before="0" w:beforeAutospacing="0" w:after="0" w:afterAutospacing="0"/>
        <w:ind w:right="0" w:firstLine="640" w:firstLineChars="200"/>
        <w:jc w:val="left"/>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w:t>
      </w:r>
      <w:r>
        <w:rPr>
          <w:rFonts w:hint="default" w:ascii="仿宋" w:hAnsi="仿宋" w:eastAsia="仿宋" w:cs="仿宋"/>
          <w:kern w:val="2"/>
          <w:sz w:val="32"/>
          <w:szCs w:val="32"/>
          <w:lang w:val="en-US" w:eastAsia="zh-CN" w:bidi="ar-SA"/>
        </w:rPr>
        <w:t>材料选择：采用AC-13型沥青混合料</w:t>
      </w:r>
      <w:r>
        <w:rPr>
          <w:rFonts w:hint="eastAsia" w:ascii="仿宋" w:hAnsi="仿宋" w:eastAsia="仿宋" w:cs="仿宋"/>
          <w:kern w:val="2"/>
          <w:sz w:val="32"/>
          <w:szCs w:val="32"/>
          <w:lang w:val="en-US" w:eastAsia="zh-CN" w:bidi="ar-SA"/>
        </w:rPr>
        <w:t>，</w:t>
      </w:r>
      <w:r>
        <w:rPr>
          <w:rFonts w:hint="default" w:ascii="仿宋" w:hAnsi="仿宋" w:eastAsia="仿宋" w:cs="仿宋"/>
          <w:kern w:val="2"/>
          <w:sz w:val="32"/>
          <w:szCs w:val="32"/>
          <w:lang w:val="en-US" w:eastAsia="zh-CN" w:bidi="ar-SA"/>
        </w:rPr>
        <w:t>配合比需符合《公路沥青路面施工技术规范》（JTG F40）69。</w:t>
      </w:r>
    </w:p>
    <w:p w14:paraId="36028181">
      <w:pPr>
        <w:pStyle w:val="5"/>
        <w:keepNext w:val="0"/>
        <w:keepLines w:val="0"/>
        <w:widowControl/>
        <w:suppressLineNumbers w:val="0"/>
        <w:spacing w:before="0" w:beforeAutospacing="0" w:after="0" w:afterAutospacing="0"/>
        <w:ind w:right="0" w:firstLine="640" w:firstLineChars="200"/>
        <w:jc w:val="left"/>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w:t>
      </w:r>
      <w:r>
        <w:rPr>
          <w:rFonts w:hint="default" w:ascii="仿宋" w:hAnsi="仿宋" w:eastAsia="仿宋" w:cs="仿宋"/>
          <w:kern w:val="2"/>
          <w:sz w:val="32"/>
          <w:szCs w:val="32"/>
          <w:lang w:val="en-US" w:eastAsia="zh-CN" w:bidi="ar-SA"/>
        </w:rPr>
        <w:t>摊铺温度：普通沥青混合料摊铺温度不低于150℃</w:t>
      </w:r>
      <w:r>
        <w:rPr>
          <w:rFonts w:hint="eastAsia" w:ascii="仿宋" w:hAnsi="仿宋" w:eastAsia="仿宋" w:cs="仿宋"/>
          <w:kern w:val="2"/>
          <w:sz w:val="32"/>
          <w:szCs w:val="32"/>
          <w:lang w:val="en-US" w:eastAsia="zh-CN" w:bidi="ar-SA"/>
        </w:rPr>
        <w:t>。</w:t>
      </w:r>
    </w:p>
    <w:p w14:paraId="5BC24EA4">
      <w:pPr>
        <w:pStyle w:val="5"/>
        <w:keepNext w:val="0"/>
        <w:keepLines w:val="0"/>
        <w:widowControl/>
        <w:suppressLineNumbers w:val="0"/>
        <w:spacing w:before="0" w:beforeAutospacing="0" w:after="0" w:afterAutospacing="0"/>
        <w:ind w:right="0" w:firstLine="643" w:firstLineChars="200"/>
        <w:jc w:val="left"/>
        <w:rPr>
          <w:rFonts w:hint="default" w:ascii="仿宋" w:hAnsi="仿宋" w:eastAsia="仿宋" w:cs="仿宋"/>
          <w:b/>
          <w:bCs/>
          <w:kern w:val="2"/>
          <w:sz w:val="32"/>
          <w:szCs w:val="32"/>
          <w:lang w:val="en-US" w:eastAsia="zh-CN" w:bidi="ar-SA"/>
        </w:rPr>
      </w:pPr>
      <w:r>
        <w:rPr>
          <w:rFonts w:hint="eastAsia" w:ascii="仿宋" w:hAnsi="仿宋" w:eastAsia="仿宋" w:cs="仿宋"/>
          <w:b/>
          <w:bCs/>
          <w:kern w:val="2"/>
          <w:sz w:val="32"/>
          <w:szCs w:val="32"/>
          <w:lang w:val="en-US" w:eastAsia="zh-CN" w:bidi="ar-SA"/>
        </w:rPr>
        <w:t>3、</w:t>
      </w:r>
      <w:r>
        <w:rPr>
          <w:rFonts w:hint="default" w:ascii="仿宋" w:hAnsi="仿宋" w:eastAsia="仿宋" w:cs="仿宋"/>
          <w:b/>
          <w:bCs/>
          <w:kern w:val="2"/>
          <w:sz w:val="32"/>
          <w:szCs w:val="32"/>
          <w:lang w:val="en-US" w:eastAsia="zh-CN" w:bidi="ar-SA"/>
        </w:rPr>
        <w:t>碾压成型</w:t>
      </w:r>
    </w:p>
    <w:p w14:paraId="61C786A2">
      <w:pPr>
        <w:numPr>
          <w:ilvl w:val="0"/>
          <w:numId w:val="0"/>
        </w:numPr>
        <w:ind w:firstLine="640" w:firstLineChars="200"/>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压路机静压</w:t>
      </w:r>
      <w:r>
        <w:rPr>
          <w:rFonts w:hint="eastAsia" w:ascii="仿宋" w:hAnsi="仿宋" w:eastAsia="仿宋" w:cs="仿宋"/>
          <w:sz w:val="32"/>
          <w:szCs w:val="32"/>
          <w:lang w:val="en-US" w:eastAsia="zh-CN"/>
        </w:rPr>
        <w:t>4</w:t>
      </w:r>
      <w:r>
        <w:rPr>
          <w:rFonts w:hint="default" w:ascii="仿宋" w:hAnsi="仿宋" w:eastAsia="仿宋" w:cs="仿宋"/>
          <w:sz w:val="32"/>
          <w:szCs w:val="32"/>
          <w:lang w:val="en-US" w:eastAsia="zh-CN"/>
        </w:rPr>
        <w:t>~</w:t>
      </w:r>
      <w:r>
        <w:rPr>
          <w:rFonts w:hint="eastAsia" w:ascii="仿宋" w:hAnsi="仿宋" w:eastAsia="仿宋" w:cs="仿宋"/>
          <w:sz w:val="32"/>
          <w:szCs w:val="32"/>
          <w:lang w:val="en-US" w:eastAsia="zh-CN"/>
        </w:rPr>
        <w:t>6</w:t>
      </w:r>
      <w:r>
        <w:rPr>
          <w:rFonts w:hint="default" w:ascii="仿宋" w:hAnsi="仿宋" w:eastAsia="仿宋" w:cs="仿宋"/>
          <w:sz w:val="32"/>
          <w:szCs w:val="32"/>
          <w:lang w:val="en-US" w:eastAsia="zh-CN"/>
        </w:rPr>
        <w:t>遍，温度≥150℃，速度1.5~2km/h，</w:t>
      </w:r>
    </w:p>
    <w:p w14:paraId="5EBA0494">
      <w:pPr>
        <w:numPr>
          <w:ilvl w:val="0"/>
          <w:numId w:val="0"/>
        </w:numPr>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温度≥125℃，速度3.5~4.5km/h。温度≥90℃，消除轮迹，终压后路面温度降至50℃以下方可开放交通</w:t>
      </w:r>
      <w:r>
        <w:rPr>
          <w:rFonts w:hint="eastAsia" w:ascii="仿宋" w:hAnsi="仿宋" w:eastAsia="仿宋" w:cs="仿宋"/>
          <w:sz w:val="32"/>
          <w:szCs w:val="32"/>
          <w:lang w:val="en-US" w:eastAsia="zh-CN"/>
        </w:rPr>
        <w:t>；</w:t>
      </w:r>
    </w:p>
    <w:p w14:paraId="156FBA3A">
      <w:pPr>
        <w:numPr>
          <w:ilvl w:val="0"/>
          <w:numId w:val="0"/>
        </w:numPr>
        <w:ind w:firstLine="643" w:firstLineChars="20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三、质量要求</w:t>
      </w:r>
    </w:p>
    <w:p w14:paraId="6B8B6608">
      <w:pPr>
        <w:numPr>
          <w:ilvl w:val="0"/>
          <w:numId w:val="0"/>
        </w:numPr>
        <w:ind w:firstLine="960" w:firstLineChars="3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1、沥青混合料：需通过马歇尔试验和抽提试验验证级配及油石比，普通沥青≤160℃。</w:t>
      </w:r>
    </w:p>
    <w:p w14:paraId="39DF4779">
      <w:pPr>
        <w:numPr>
          <w:ilvl w:val="0"/>
          <w:numId w:val="0"/>
        </w:numPr>
        <w:ind w:firstLine="960" w:firstLineChars="3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2、压实度与平整度：压实度≥98%，采用核子密度仪或钻芯取样检测。平整度误差≤3mm（3m直尺检测），接缝高差≤2mm。</w:t>
      </w:r>
    </w:p>
    <w:p w14:paraId="3BFAD766">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3、温度控制：摊铺温度、碾压温度需实时监测并记录，超温混合料（普通沥青＞195℃）必须废弃。</w:t>
      </w:r>
    </w:p>
    <w:p w14:paraId="5D0C52DF">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4、界面与防水：修补界面需干燥、无浮灰，接缝处乳化沥青涂刷均匀，无渗水现象。修补后表面无离析，细料填边、碾压密实。</w:t>
      </w:r>
    </w:p>
    <w:p w14:paraId="20755FB1">
      <w:pPr>
        <w:numPr>
          <w:ilvl w:val="0"/>
          <w:numId w:val="0"/>
        </w:num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5、安全与环保：施工区域设置警示标志，按《公路养护安全作业规范》（JTG H30）进行交通管制。铣刨废料统一收集，减少环境污染</w:t>
      </w:r>
    </w:p>
    <w:p w14:paraId="2F0CEC83">
      <w:pPr>
        <w:numPr>
          <w:ilvl w:val="0"/>
          <w:numId w:val="0"/>
        </w:numPr>
        <w:ind w:firstLine="643" w:firstLineChars="200"/>
        <w:rPr>
          <w:rFonts w:hint="eastAsia" w:ascii="仿宋" w:hAnsi="仿宋" w:eastAsia="仿宋" w:cs="仿宋"/>
          <w:b/>
          <w:bCs/>
          <w:color w:val="auto"/>
          <w:sz w:val="32"/>
          <w:szCs w:val="32"/>
          <w:lang w:val="en-US" w:eastAsia="zh-CN"/>
        </w:rPr>
      </w:pPr>
      <w:bookmarkStart w:id="3" w:name="OLE_LINK3"/>
      <w:r>
        <w:rPr>
          <w:rFonts w:hint="eastAsia" w:ascii="仿宋" w:hAnsi="仿宋" w:eastAsia="仿宋" w:cs="仿宋"/>
          <w:b/>
          <w:bCs/>
          <w:color w:val="auto"/>
          <w:sz w:val="32"/>
          <w:szCs w:val="32"/>
          <w:lang w:val="en-US" w:eastAsia="zh-CN"/>
        </w:rPr>
        <w:t>四、安全施工作业要求</w:t>
      </w:r>
    </w:p>
    <w:p w14:paraId="4FFC215A">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1、严格按照国标规定的公路养护作业区摆设要求施工，如缺少标志牌和安全锥等不符合规定现象，我方有权拒绝施工或暂停施工。造成工期延误的由中标单位自行承担。</w:t>
      </w:r>
    </w:p>
    <w:p w14:paraId="40B8F1E7">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2、在进行路面作业前，应结合施工组织设计，制定安全保障措施方案，并报有关部门批准。作业人员必须接受安全技术教育，遵守各项安全技术操作规程，统一安全着装，严禁违章作业。</w:t>
      </w:r>
    </w:p>
    <w:p w14:paraId="27961D4E">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3、所有参与作业的人员必须穿着带有反光标志的工作服或背心，必须配备安全员并专人观察险情，操作特种养护机械的作业人员必须持证上岗，严禁在作业时乱丢杂物，注意观作业区情况，确保自身安全。‌‌</w:t>
      </w:r>
    </w:p>
    <w:p w14:paraId="293C6BE0">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4、当作业人员进入作业区域时，必须保持通讯设备畅通，以避免紧急情况的发生。</w:t>
      </w:r>
    </w:p>
    <w:p w14:paraId="267B1BDC">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5、路面病害作业完成后，及时清理作业区域内杂物和垃圾。</w:t>
      </w:r>
    </w:p>
    <w:p w14:paraId="0D99D304">
      <w:pPr>
        <w:numPr>
          <w:ilvl w:val="0"/>
          <w:numId w:val="0"/>
        </w:numPr>
        <w:ind w:firstLine="643" w:firstLineChars="200"/>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注：如投标单位未按照以上要求作业时出现安全事故一切责任由投标单位负责。</w:t>
      </w:r>
      <w:bookmarkEnd w:id="3"/>
    </w:p>
    <w:p w14:paraId="0DF9C731">
      <w:pPr>
        <w:numPr>
          <w:ilvl w:val="0"/>
          <w:numId w:val="0"/>
        </w:numPr>
        <w:ind w:firstLine="643" w:firstLineChars="20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五、验收保证及售后服务</w:t>
      </w:r>
    </w:p>
    <w:p w14:paraId="23452C60">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（一）验收</w:t>
      </w:r>
      <w:r>
        <w:rPr>
          <w:rFonts w:hint="eastAsia" w:ascii="仿宋" w:hAnsi="仿宋" w:eastAsia="仿宋" w:cs="仿宋"/>
          <w:sz w:val="32"/>
          <w:szCs w:val="32"/>
          <w:lang w:val="en-US" w:eastAsia="zh-CN"/>
        </w:rPr>
        <w:t>标准</w:t>
      </w:r>
    </w:p>
    <w:p w14:paraId="2F39A46D">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1.验收前所产生的一切损失应由中标方负责。</w:t>
      </w:r>
    </w:p>
    <w:p w14:paraId="6CC02ED3">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2.质量要符合《公路工程技术标准》（JTG B01—2014）、等国家现行的有关规范、标准、规程、规定的要求。</w:t>
      </w:r>
    </w:p>
    <w:p w14:paraId="5728BF85">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必须符合国家相关标准，同时必须满足本次</w:t>
      </w:r>
      <w:r>
        <w:rPr>
          <w:rFonts w:hint="eastAsia" w:ascii="仿宋" w:hAnsi="仿宋" w:eastAsia="仿宋" w:cs="仿宋"/>
          <w:sz w:val="32"/>
          <w:szCs w:val="32"/>
          <w:lang w:val="en-US" w:eastAsia="zh-CN"/>
        </w:rPr>
        <w:t>施工</w:t>
      </w:r>
      <w:r>
        <w:rPr>
          <w:rFonts w:hint="eastAsia" w:ascii="仿宋" w:hAnsi="仿宋" w:eastAsia="仿宋" w:cs="仿宋"/>
          <w:sz w:val="32"/>
          <w:szCs w:val="32"/>
        </w:rPr>
        <w:t>的要求。</w:t>
      </w:r>
    </w:p>
    <w:p w14:paraId="5023F643">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4、施工完成后中标单位</w:t>
      </w:r>
      <w:r>
        <w:rPr>
          <w:rFonts w:hint="eastAsia" w:ascii="仿宋" w:hAnsi="仿宋" w:eastAsia="仿宋" w:cs="仿宋"/>
          <w:sz w:val="32"/>
          <w:szCs w:val="32"/>
        </w:rPr>
        <w:t>和采购方双方对</w:t>
      </w:r>
      <w:r>
        <w:rPr>
          <w:rFonts w:hint="eastAsia" w:ascii="仿宋" w:hAnsi="仿宋" w:eastAsia="仿宋" w:cs="仿宋"/>
          <w:sz w:val="32"/>
          <w:szCs w:val="32"/>
          <w:lang w:val="en-US" w:eastAsia="zh-CN"/>
        </w:rPr>
        <w:t>工程量进行初步验收签字</w:t>
      </w:r>
      <w:r>
        <w:rPr>
          <w:rFonts w:hint="eastAsia" w:ascii="仿宋" w:hAnsi="仿宋" w:eastAsia="仿宋" w:cs="仿宋"/>
          <w:sz w:val="32"/>
          <w:szCs w:val="32"/>
        </w:rPr>
        <w:t>，</w:t>
      </w:r>
      <w:r>
        <w:rPr>
          <w:rFonts w:hint="eastAsia" w:ascii="仿宋" w:hAnsi="仿宋" w:eastAsia="仿宋" w:cs="仿宋"/>
          <w:sz w:val="32"/>
          <w:szCs w:val="32"/>
          <w:lang w:val="en-US" w:eastAsia="zh-CN"/>
        </w:rPr>
        <w:t>初验合格后由</w:t>
      </w:r>
      <w:bookmarkStart w:id="4" w:name="OLE_LINK2"/>
      <w:r>
        <w:rPr>
          <w:rFonts w:hint="eastAsia" w:ascii="仿宋" w:hAnsi="仿宋" w:eastAsia="仿宋" w:cs="仿宋"/>
          <w:sz w:val="32"/>
          <w:szCs w:val="32"/>
          <w:lang w:val="en-US" w:eastAsia="zh-CN"/>
        </w:rPr>
        <w:t>第三方</w:t>
      </w:r>
      <w:bookmarkEnd w:id="4"/>
      <w:r>
        <w:rPr>
          <w:rFonts w:hint="eastAsia" w:ascii="仿宋" w:hAnsi="仿宋" w:eastAsia="仿宋" w:cs="仿宋"/>
          <w:sz w:val="32"/>
          <w:szCs w:val="32"/>
        </w:rPr>
        <w:t>有资质的检测机构，</w:t>
      </w:r>
      <w:r>
        <w:rPr>
          <w:rFonts w:hint="eastAsia" w:ascii="仿宋" w:hAnsi="仿宋" w:eastAsia="仿宋" w:cs="仿宋"/>
          <w:sz w:val="32"/>
          <w:szCs w:val="32"/>
          <w:lang w:val="en-US" w:eastAsia="zh-CN"/>
        </w:rPr>
        <w:t>对全部工程量</w:t>
      </w:r>
      <w:r>
        <w:rPr>
          <w:rFonts w:hint="eastAsia" w:ascii="仿宋" w:hAnsi="仿宋" w:eastAsia="仿宋" w:cs="仿宋"/>
          <w:sz w:val="32"/>
          <w:szCs w:val="32"/>
        </w:rPr>
        <w:t>进行实验检测，实验检测合格</w:t>
      </w:r>
      <w:r>
        <w:rPr>
          <w:rFonts w:hint="eastAsia" w:ascii="仿宋" w:hAnsi="仿宋" w:eastAsia="仿宋" w:cs="仿宋"/>
          <w:sz w:val="32"/>
          <w:szCs w:val="32"/>
          <w:lang w:val="en-US" w:eastAsia="zh-CN"/>
        </w:rPr>
        <w:t>履行相关手续</w:t>
      </w:r>
      <w:r>
        <w:rPr>
          <w:rFonts w:hint="eastAsia" w:ascii="仿宋" w:hAnsi="仿宋" w:eastAsia="仿宋" w:cs="仿宋"/>
          <w:sz w:val="32"/>
          <w:szCs w:val="32"/>
        </w:rPr>
        <w:t>，否则不给予验收。</w:t>
      </w:r>
    </w:p>
    <w:p w14:paraId="05F942AB">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rPr>
        <w:t>、</w:t>
      </w:r>
      <w:r>
        <w:rPr>
          <w:rFonts w:hint="eastAsia" w:ascii="仿宋" w:hAnsi="仿宋" w:eastAsia="仿宋" w:cs="仿宋"/>
          <w:sz w:val="32"/>
          <w:szCs w:val="32"/>
          <w:lang w:val="en-US" w:eastAsia="zh-CN"/>
        </w:rPr>
        <w:t>中标</w:t>
      </w:r>
      <w:r>
        <w:rPr>
          <w:rFonts w:hint="eastAsia" w:ascii="仿宋" w:hAnsi="仿宋" w:eastAsia="仿宋" w:cs="仿宋"/>
          <w:sz w:val="32"/>
          <w:szCs w:val="32"/>
        </w:rPr>
        <w:t>方需提供纸质版验收人或代表证明。并与</w:t>
      </w:r>
      <w:r>
        <w:rPr>
          <w:rFonts w:hint="eastAsia" w:ascii="仿宋" w:hAnsi="仿宋" w:eastAsia="仿宋" w:cs="仿宋"/>
          <w:sz w:val="32"/>
          <w:szCs w:val="32"/>
          <w:lang w:val="en-US" w:eastAsia="zh-CN"/>
        </w:rPr>
        <w:t>采购</w:t>
      </w:r>
      <w:r>
        <w:rPr>
          <w:rFonts w:hint="eastAsia" w:ascii="仿宋" w:hAnsi="仿宋" w:eastAsia="仿宋" w:cs="仿宋"/>
          <w:sz w:val="32"/>
          <w:szCs w:val="32"/>
        </w:rPr>
        <w:t>方共同验收。</w:t>
      </w:r>
    </w:p>
    <w:p w14:paraId="599C623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（二）质量保证及售后服务</w:t>
      </w:r>
    </w:p>
    <w:p w14:paraId="4119149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1、质量保证期：</w:t>
      </w:r>
      <w:r>
        <w:rPr>
          <w:rFonts w:hint="eastAsia" w:ascii="仿宋" w:hAnsi="仿宋" w:eastAsia="仿宋" w:cs="仿宋"/>
          <w:sz w:val="32"/>
          <w:szCs w:val="32"/>
          <w:lang w:val="en-US" w:eastAsia="zh-CN"/>
        </w:rPr>
        <w:t>二</w:t>
      </w:r>
      <w:r>
        <w:rPr>
          <w:rFonts w:hint="eastAsia" w:ascii="仿宋" w:hAnsi="仿宋" w:eastAsia="仿宋" w:cs="仿宋"/>
          <w:sz w:val="32"/>
          <w:szCs w:val="32"/>
        </w:rPr>
        <w:t>年及以上。</w:t>
      </w:r>
    </w:p>
    <w:p w14:paraId="1D997B5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2、</w:t>
      </w:r>
      <w:r>
        <w:rPr>
          <w:rFonts w:hint="eastAsia" w:ascii="仿宋" w:hAnsi="仿宋" w:eastAsia="仿宋" w:cs="仿宋"/>
          <w:sz w:val="32"/>
          <w:szCs w:val="32"/>
          <w:lang w:val="en-US" w:eastAsia="zh-CN"/>
        </w:rPr>
        <w:t>因施工</w:t>
      </w:r>
      <w:r>
        <w:rPr>
          <w:rFonts w:hint="eastAsia" w:ascii="仿宋" w:hAnsi="仿宋" w:eastAsia="仿宋" w:cs="仿宋"/>
          <w:sz w:val="32"/>
          <w:szCs w:val="32"/>
        </w:rPr>
        <w:t>问题中标人需无条件进行</w:t>
      </w:r>
      <w:r>
        <w:rPr>
          <w:rFonts w:hint="eastAsia" w:ascii="仿宋" w:hAnsi="仿宋" w:eastAsia="仿宋" w:cs="仿宋"/>
          <w:sz w:val="32"/>
          <w:szCs w:val="32"/>
          <w:lang w:val="en-US" w:eastAsia="zh-CN"/>
        </w:rPr>
        <w:t>返工</w:t>
      </w:r>
      <w:r>
        <w:rPr>
          <w:rFonts w:hint="eastAsia" w:ascii="仿宋" w:hAnsi="仿宋" w:eastAsia="仿宋" w:cs="仿宋"/>
          <w:sz w:val="32"/>
          <w:szCs w:val="32"/>
        </w:rPr>
        <w:t>。</w:t>
      </w:r>
    </w:p>
    <w:p w14:paraId="6B7C8E88">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五、</w:t>
      </w:r>
      <w:r>
        <w:rPr>
          <w:rFonts w:hint="eastAsia" w:ascii="仿宋" w:hAnsi="仿宋" w:eastAsia="仿宋" w:cs="仿宋"/>
          <w:sz w:val="32"/>
          <w:szCs w:val="32"/>
        </w:rPr>
        <w:t>报价说明</w:t>
      </w:r>
    </w:p>
    <w:p w14:paraId="0051F6C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1、费用</w:t>
      </w:r>
    </w:p>
    <w:p w14:paraId="42369AE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投标单位</w:t>
      </w:r>
      <w:r>
        <w:rPr>
          <w:rFonts w:hint="eastAsia" w:ascii="仿宋" w:hAnsi="仿宋" w:eastAsia="仿宋" w:cs="仿宋"/>
          <w:sz w:val="32"/>
          <w:szCs w:val="32"/>
        </w:rPr>
        <w:t>报价包括</w:t>
      </w:r>
      <w:r>
        <w:rPr>
          <w:rFonts w:hint="eastAsia" w:ascii="仿宋" w:hAnsi="仿宋" w:eastAsia="仿宋" w:cs="仿宋"/>
          <w:sz w:val="32"/>
          <w:szCs w:val="32"/>
          <w:lang w:val="en-US" w:eastAsia="zh-CN"/>
        </w:rPr>
        <w:t>但不限于</w:t>
      </w:r>
      <w:r>
        <w:rPr>
          <w:rFonts w:hint="eastAsia" w:ascii="仿宋" w:hAnsi="仿宋" w:eastAsia="仿宋" w:cs="仿宋"/>
          <w:sz w:val="32"/>
          <w:szCs w:val="32"/>
        </w:rPr>
        <w:t>：本次在线询价文件确定的工作内容所需的全部费用（</w:t>
      </w:r>
      <w:r>
        <w:rPr>
          <w:rFonts w:hint="eastAsia" w:ascii="仿宋" w:hAnsi="仿宋" w:eastAsia="仿宋" w:cs="仿宋"/>
          <w:sz w:val="32"/>
          <w:szCs w:val="32"/>
          <w:lang w:val="en-US" w:eastAsia="zh-CN"/>
        </w:rPr>
        <w:t>除材料费、机械费外的</w:t>
      </w:r>
      <w:r>
        <w:rPr>
          <w:rFonts w:hint="eastAsia" w:ascii="仿宋" w:hAnsi="仿宋" w:eastAsia="仿宋" w:cs="仿宋"/>
          <w:sz w:val="32"/>
          <w:szCs w:val="32"/>
        </w:rPr>
        <w:t>验收过程中产生的一切费用）需提供费用承担承诺书。</w:t>
      </w:r>
    </w:p>
    <w:p w14:paraId="5B7EDE23">
      <w:pPr>
        <w:numPr>
          <w:ilvl w:val="0"/>
          <w:numId w:val="5"/>
        </w:numPr>
        <w:ind w:firstLine="643" w:firstLineChars="20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施工</w:t>
      </w:r>
      <w:r>
        <w:rPr>
          <w:rFonts w:hint="eastAsia" w:ascii="仿宋" w:hAnsi="仿宋" w:eastAsia="仿宋" w:cs="仿宋"/>
          <w:b/>
          <w:bCs/>
          <w:sz w:val="32"/>
          <w:szCs w:val="32"/>
        </w:rPr>
        <w:t>地点及时间</w:t>
      </w:r>
    </w:p>
    <w:p w14:paraId="38753428">
      <w:pPr>
        <w:numPr>
          <w:ilvl w:val="0"/>
          <w:numId w:val="6"/>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地点：</w:t>
      </w:r>
      <w:r>
        <w:rPr>
          <w:rFonts w:hint="eastAsia" w:ascii="仿宋" w:hAnsi="仿宋" w:eastAsia="仿宋" w:cs="仿宋"/>
          <w:sz w:val="32"/>
          <w:szCs w:val="32"/>
          <w:lang w:val="en-US" w:eastAsia="zh-CN"/>
        </w:rPr>
        <w:t>和田公路事业发展中心民丰养护所管辖</w:t>
      </w:r>
      <w:bookmarkStart w:id="5" w:name="OLE_LINK11"/>
      <w:r>
        <w:rPr>
          <w:rFonts w:hint="eastAsia" w:ascii="仿宋" w:hAnsi="仿宋" w:eastAsia="仿宋" w:cs="仿宋"/>
          <w:sz w:val="32"/>
          <w:szCs w:val="32"/>
          <w:lang w:val="en-US" w:eastAsia="zh-CN"/>
        </w:rPr>
        <w:t>范围的国道216线和一级公路0612线。</w:t>
      </w:r>
      <w:bookmarkEnd w:id="5"/>
    </w:p>
    <w:p w14:paraId="28A4ACF8">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2、施工</w:t>
      </w:r>
      <w:r>
        <w:rPr>
          <w:rFonts w:hint="eastAsia" w:ascii="仿宋" w:hAnsi="仿宋" w:eastAsia="仿宋" w:cs="仿宋"/>
          <w:sz w:val="32"/>
          <w:szCs w:val="32"/>
        </w:rPr>
        <w:t>时间：</w:t>
      </w:r>
      <w:r>
        <w:rPr>
          <w:rFonts w:hint="eastAsia" w:ascii="仿宋" w:hAnsi="仿宋" w:eastAsia="仿宋" w:cs="仿宋"/>
          <w:sz w:val="32"/>
          <w:szCs w:val="32"/>
          <w:lang w:val="en-US" w:eastAsia="zh-CN"/>
        </w:rPr>
        <w:t>签订合同后3日内所以人员及安全防护设备进场，</w:t>
      </w:r>
      <w:bookmarkStart w:id="6" w:name="OLE_LINK12"/>
      <w:r>
        <w:rPr>
          <w:rFonts w:hint="eastAsia" w:ascii="仿宋" w:hAnsi="仿宋" w:eastAsia="仿宋" w:cs="仿宋"/>
          <w:sz w:val="32"/>
          <w:szCs w:val="32"/>
          <w:lang w:val="en-US" w:eastAsia="zh-CN"/>
        </w:rPr>
        <w:t>10日内保质保量完成，</w:t>
      </w:r>
      <w:bookmarkEnd w:id="6"/>
      <w:r>
        <w:rPr>
          <w:rFonts w:hint="eastAsia" w:ascii="仿宋" w:hAnsi="仿宋" w:eastAsia="仿宋" w:cs="仿宋"/>
          <w:sz w:val="32"/>
          <w:szCs w:val="32"/>
          <w:lang w:val="en-US" w:eastAsia="zh-CN"/>
        </w:rPr>
        <w:t>节假日不允许施工（10日不包括</w:t>
      </w:r>
      <w:bookmarkStart w:id="7" w:name="OLE_LINK9"/>
      <w:r>
        <w:rPr>
          <w:rFonts w:hint="eastAsia" w:ascii="仿宋" w:hAnsi="仿宋" w:eastAsia="仿宋" w:cs="仿宋"/>
          <w:sz w:val="32"/>
          <w:szCs w:val="32"/>
          <w:lang w:val="en-US" w:eastAsia="zh-CN"/>
        </w:rPr>
        <w:t>节假日</w:t>
      </w:r>
      <w:bookmarkEnd w:id="7"/>
      <w:r>
        <w:rPr>
          <w:rFonts w:hint="eastAsia" w:ascii="仿宋" w:hAnsi="仿宋" w:eastAsia="仿宋" w:cs="仿宋"/>
          <w:sz w:val="32"/>
          <w:szCs w:val="32"/>
          <w:lang w:val="en-US" w:eastAsia="zh-CN"/>
        </w:rPr>
        <w:t>）。</w:t>
      </w:r>
    </w:p>
    <w:p w14:paraId="343F88B3">
      <w:pPr>
        <w:numPr>
          <w:ilvl w:val="0"/>
          <w:numId w:val="5"/>
        </w:numPr>
        <w:ind w:left="0" w:leftChars="0" w:firstLine="643" w:firstLineChars="200"/>
        <w:rPr>
          <w:rFonts w:hint="eastAsia" w:ascii="仿宋" w:hAnsi="仿宋" w:eastAsia="仿宋" w:cs="仿宋"/>
          <w:b/>
          <w:bCs/>
          <w:sz w:val="32"/>
          <w:szCs w:val="32"/>
        </w:rPr>
      </w:pPr>
      <w:r>
        <w:rPr>
          <w:rFonts w:hint="eastAsia" w:ascii="仿宋" w:hAnsi="仿宋" w:eastAsia="仿宋" w:cs="仿宋"/>
          <w:b/>
          <w:bCs/>
          <w:sz w:val="32"/>
          <w:szCs w:val="32"/>
        </w:rPr>
        <w:t>付款方式</w:t>
      </w:r>
    </w:p>
    <w:p w14:paraId="036EF23D">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一</w:t>
      </w:r>
      <w:r>
        <w:rPr>
          <w:rFonts w:hint="eastAsia" w:ascii="仿宋" w:hAnsi="仿宋" w:eastAsia="仿宋" w:cs="仿宋"/>
          <w:sz w:val="32"/>
          <w:szCs w:val="32"/>
          <w:lang w:eastAsia="zh-CN"/>
        </w:rPr>
        <w:t>）</w:t>
      </w:r>
      <w:r>
        <w:rPr>
          <w:rFonts w:hint="eastAsia" w:ascii="仿宋" w:hAnsi="仿宋" w:eastAsia="仿宋" w:cs="仿宋"/>
          <w:sz w:val="32"/>
          <w:szCs w:val="32"/>
        </w:rPr>
        <w:t>付款比例：</w:t>
      </w:r>
    </w:p>
    <w:p w14:paraId="4BD8E97C">
      <w:pPr>
        <w:numPr>
          <w:ilvl w:val="0"/>
          <w:numId w:val="7"/>
        </w:numPr>
        <w:ind w:firstLine="640" w:firstLineChars="200"/>
        <w:rPr>
          <w:rFonts w:hint="eastAsia" w:ascii="仿宋" w:hAnsi="仿宋" w:eastAsia="仿宋" w:cs="仿宋"/>
          <w:color w:val="auto"/>
          <w:sz w:val="32"/>
          <w:szCs w:val="32"/>
        </w:rPr>
      </w:pPr>
      <w:r>
        <w:rPr>
          <w:rFonts w:hint="eastAsia" w:ascii="仿宋" w:hAnsi="仿宋" w:eastAsia="仿宋" w:cs="仿宋"/>
          <w:sz w:val="32"/>
          <w:szCs w:val="32"/>
          <w:lang w:val="en-US" w:eastAsia="zh-CN"/>
        </w:rPr>
        <w:t>人员及安全设施全部入场后</w:t>
      </w:r>
      <w:bookmarkStart w:id="8" w:name="OLE_LINK5"/>
      <w:r>
        <w:rPr>
          <w:rFonts w:hint="eastAsia" w:ascii="仿宋" w:hAnsi="仿宋" w:eastAsia="仿宋" w:cs="仿宋"/>
          <w:sz w:val="32"/>
          <w:szCs w:val="32"/>
        </w:rPr>
        <w:t>支付</w:t>
      </w:r>
      <w:r>
        <w:rPr>
          <w:rFonts w:hint="eastAsia" w:ascii="仿宋" w:hAnsi="仿宋" w:eastAsia="仿宋" w:cs="仿宋"/>
          <w:sz w:val="32"/>
          <w:szCs w:val="32"/>
          <w:lang w:val="en-US" w:eastAsia="zh-CN"/>
        </w:rPr>
        <w:t>工程总价的30</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w:t>
      </w:r>
    </w:p>
    <w:bookmarkEnd w:id="8"/>
    <w:p w14:paraId="270F8E7B">
      <w:pPr>
        <w:numPr>
          <w:ilvl w:val="0"/>
          <w:numId w:val="7"/>
        </w:numPr>
        <w:ind w:firstLine="640" w:firstLineChars="200"/>
        <w:rPr>
          <w:rFonts w:hint="eastAsia" w:ascii="仿宋" w:hAnsi="仿宋" w:eastAsia="仿宋" w:cs="仿宋"/>
          <w:color w:val="auto"/>
          <w:sz w:val="32"/>
          <w:szCs w:val="32"/>
        </w:rPr>
      </w:pPr>
      <w:bookmarkStart w:id="9" w:name="OLE_LINK6"/>
      <w:r>
        <w:rPr>
          <w:rFonts w:hint="eastAsia" w:ascii="仿宋" w:hAnsi="仿宋" w:eastAsia="仿宋" w:cs="仿宋"/>
          <w:color w:val="auto"/>
          <w:sz w:val="32"/>
          <w:szCs w:val="32"/>
          <w:lang w:val="en-US" w:eastAsia="zh-CN"/>
        </w:rPr>
        <w:t>完成工程量的50%后</w:t>
      </w:r>
      <w:bookmarkEnd w:id="9"/>
      <w:r>
        <w:rPr>
          <w:rFonts w:hint="eastAsia" w:ascii="仿宋" w:hAnsi="仿宋" w:eastAsia="仿宋" w:cs="仿宋"/>
          <w:color w:val="auto"/>
          <w:sz w:val="32"/>
          <w:szCs w:val="32"/>
          <w:lang w:val="en-US" w:eastAsia="zh-CN"/>
        </w:rPr>
        <w:t>，</w:t>
      </w:r>
      <w:bookmarkStart w:id="10" w:name="OLE_LINK7"/>
      <w:r>
        <w:rPr>
          <w:rFonts w:hint="eastAsia" w:ascii="仿宋" w:hAnsi="仿宋" w:eastAsia="仿宋" w:cs="仿宋"/>
          <w:color w:val="auto"/>
          <w:sz w:val="32"/>
          <w:szCs w:val="32"/>
          <w:lang w:val="en-US" w:eastAsia="zh-CN"/>
        </w:rPr>
        <w:t>初验合格后</w:t>
      </w:r>
      <w:bookmarkEnd w:id="10"/>
      <w:bookmarkStart w:id="11" w:name="OLE_LINK8"/>
      <w:r>
        <w:rPr>
          <w:rFonts w:hint="eastAsia" w:ascii="仿宋" w:hAnsi="仿宋" w:eastAsia="仿宋" w:cs="仿宋"/>
          <w:color w:val="auto"/>
          <w:sz w:val="32"/>
          <w:szCs w:val="32"/>
        </w:rPr>
        <w:t>支付</w:t>
      </w:r>
      <w:r>
        <w:rPr>
          <w:rFonts w:hint="eastAsia" w:ascii="仿宋" w:hAnsi="仿宋" w:eastAsia="仿宋" w:cs="仿宋"/>
          <w:color w:val="auto"/>
          <w:sz w:val="32"/>
          <w:szCs w:val="32"/>
          <w:lang w:val="en-US" w:eastAsia="zh-CN"/>
        </w:rPr>
        <w:t>工程总价的30%</w:t>
      </w:r>
      <w:r>
        <w:rPr>
          <w:rFonts w:hint="eastAsia" w:ascii="仿宋" w:hAnsi="仿宋" w:eastAsia="仿宋" w:cs="仿宋"/>
          <w:color w:val="auto"/>
          <w:sz w:val="32"/>
          <w:szCs w:val="32"/>
        </w:rPr>
        <w:t>。</w:t>
      </w:r>
    </w:p>
    <w:bookmarkEnd w:id="11"/>
    <w:p w14:paraId="6E60D0B4">
      <w:pPr>
        <w:numPr>
          <w:ilvl w:val="0"/>
          <w:numId w:val="7"/>
        </w:num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完成工程量的100%后，初验合格及第三方验收合格后支付工程总价的剩余40%</w:t>
      </w:r>
      <w:r>
        <w:rPr>
          <w:rFonts w:hint="eastAsia" w:ascii="仿宋" w:hAnsi="仿宋" w:eastAsia="仿宋" w:cs="仿宋"/>
          <w:color w:val="auto"/>
          <w:sz w:val="32"/>
          <w:szCs w:val="32"/>
        </w:rPr>
        <w:t>。</w:t>
      </w:r>
    </w:p>
    <w:p w14:paraId="1F4C636D">
      <w:pPr>
        <w:numPr>
          <w:ilvl w:val="0"/>
          <w:numId w:val="7"/>
        </w:num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采购人对付款资料审核通过后，以转账方式向成交供应商支付采购资金。</w:t>
      </w:r>
    </w:p>
    <w:p w14:paraId="1529A74F">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八、对供应商的竞价要求</w:t>
      </w:r>
    </w:p>
    <w:p w14:paraId="7BEE9197">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1、供应商必须是独立的法人，持有效的营业执照及安全生产许可证。</w:t>
      </w:r>
    </w:p>
    <w:p w14:paraId="636FA616">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2、供应商具有有效的基本账户开户许可证或基本存款账户信息证明。</w:t>
      </w:r>
    </w:p>
    <w:p w14:paraId="0B707CAC">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3、本次询价不接受联合体形式投标，不允许转包和分包，如发现本单位有权废标。</w:t>
      </w:r>
    </w:p>
    <w:p w14:paraId="40488407">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4、经营范围：经营范围必须包含公路管理与养护或相关经营范围。</w:t>
      </w:r>
    </w:p>
    <w:p w14:paraId="11DBE58F">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5、资质要求：必须持有公路施工或公路养护相关的资质。</w:t>
      </w:r>
    </w:p>
    <w:p w14:paraId="70F56EC4">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6、项目经理：至少有一名，要有工程师及以上技术职称和持有有效的交通运输主管部门颁发的安全生产考核合格证书(B 类)；</w:t>
      </w:r>
    </w:p>
    <w:p w14:paraId="4C39BB19">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7、投标方必须有安全设施：高速及国道使用的作业区设施；</w:t>
      </w:r>
    </w:p>
    <w:p w14:paraId="4E4E169F">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8、参加政府采购活动前三年内，在经营活动中没有重大违法记录；</w:t>
      </w:r>
    </w:p>
    <w:p w14:paraId="248048BF">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9、与采购人存在利害关系可能影响招标公正性的单位，不得参加投标。</w:t>
      </w:r>
    </w:p>
    <w:p w14:paraId="77FFB3DA">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10、信誉要求：供应商应有良好的信誉，具有相应的施工能力，并有良好的技术支持能力和较强的服务能力；</w:t>
      </w:r>
    </w:p>
    <w:p w14:paraId="725A85B8">
      <w:pPr>
        <w:numPr>
          <w:ilvl w:val="0"/>
          <w:numId w:val="0"/>
        </w:numPr>
        <w:ind w:firstLine="640" w:firstLineChars="200"/>
        <w:rPr>
          <w:rFonts w:hint="eastAsia" w:ascii="仿宋" w:hAnsi="仿宋" w:eastAsia="仿宋" w:cs="仿宋"/>
          <w:color w:val="auto"/>
          <w:sz w:val="32"/>
          <w:szCs w:val="32"/>
          <w:lang w:val="en-US" w:eastAsia="zh-CN"/>
        </w:rPr>
      </w:pPr>
      <w:bookmarkStart w:id="12" w:name="OLE_LINK13"/>
      <w:r>
        <w:rPr>
          <w:rFonts w:hint="eastAsia" w:ascii="仿宋" w:hAnsi="仿宋" w:eastAsia="仿宋" w:cs="仿宋"/>
          <w:color w:val="auto"/>
          <w:sz w:val="32"/>
          <w:szCs w:val="32"/>
          <w:lang w:val="en-US" w:eastAsia="zh-CN"/>
        </w:rPr>
        <w:t>11、</w:t>
      </w:r>
      <w:r>
        <w:rPr>
          <w:rFonts w:hint="eastAsia" w:ascii="仿宋" w:hAnsi="仿宋" w:eastAsia="仿宋" w:cs="仿宋"/>
          <w:sz w:val="32"/>
          <w:szCs w:val="32"/>
          <w:lang w:val="en-US" w:eastAsia="zh-CN"/>
        </w:rPr>
        <w:t>为保证10日内保质保量完成，必须保证两条线同时施工。</w:t>
      </w:r>
    </w:p>
    <w:bookmarkEnd w:id="12"/>
    <w:p w14:paraId="40C5336C">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九、必须提供上传的文件资料</w:t>
      </w:r>
    </w:p>
    <w:p w14:paraId="30F49098">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响应时，以下要求的上传文件资料上供应商盖公章，高清扫描件后合成一件PDF文件在平台上上传、如果供应商扫描文件资料上未盖章、扫描文件资料模糊、不清楚、资料内容不符合采购方采购要求，没有按照要求合成一件PDF文件，视为竞价无效，采购方有权取消供应商的竞价结果。</w:t>
      </w:r>
    </w:p>
    <w:p w14:paraId="6F28D5B9">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1、公司营业执照（必须具有公路管理与养护相关经营范围）。</w:t>
      </w:r>
    </w:p>
    <w:p w14:paraId="54E7EB9E">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2、法人证。</w:t>
      </w:r>
    </w:p>
    <w:p w14:paraId="0446FD41">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3、安全生产许可证。</w:t>
      </w:r>
    </w:p>
    <w:p w14:paraId="1A8E4FEE">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4、开户许可证或基本存款账户信息证明。</w:t>
      </w:r>
    </w:p>
    <w:p w14:paraId="0394499C">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5、资质证书（</w:t>
      </w:r>
      <w:r>
        <w:rPr>
          <w:rFonts w:hint="eastAsia" w:ascii="仿宋" w:hAnsi="仿宋" w:eastAsia="仿宋" w:cs="仿宋"/>
          <w:color w:val="auto"/>
          <w:sz w:val="32"/>
          <w:szCs w:val="32"/>
        </w:rPr>
        <w:t>必须</w:t>
      </w:r>
      <w:r>
        <w:rPr>
          <w:rFonts w:hint="eastAsia" w:ascii="仿宋" w:hAnsi="仿宋" w:eastAsia="仿宋" w:cs="仿宋"/>
          <w:color w:val="auto"/>
          <w:sz w:val="32"/>
          <w:szCs w:val="32"/>
          <w:lang w:val="en-US" w:eastAsia="zh-CN"/>
        </w:rPr>
        <w:t>持有公路施工或公路养护相关的资质）。</w:t>
      </w:r>
    </w:p>
    <w:p w14:paraId="03EBC5B8">
      <w:pPr>
        <w:ind w:firstLine="320" w:firstLineChars="100"/>
        <w:rPr>
          <w:rFonts w:hint="eastAsia" w:ascii="仿宋" w:hAnsi="仿宋" w:eastAsia="仿宋" w:cs="仿宋"/>
          <w:color w:val="FF0000"/>
          <w:sz w:val="32"/>
          <w:szCs w:val="32"/>
          <w:lang w:val="en-US" w:eastAsia="zh-CN"/>
        </w:rPr>
      </w:pPr>
      <w:r>
        <w:rPr>
          <w:rFonts w:hint="eastAsia" w:ascii="仿宋" w:hAnsi="仿宋" w:eastAsia="仿宋" w:cs="仿宋"/>
          <w:color w:val="auto"/>
          <w:sz w:val="32"/>
          <w:szCs w:val="32"/>
          <w:lang w:val="en-US" w:eastAsia="zh-CN"/>
        </w:rPr>
        <w:t>6、项目经理工程师及以上技术职称证书，以及交通运输主管部门颁发的安全生产考核合格证书(B 类)；</w:t>
      </w:r>
    </w:p>
    <w:p w14:paraId="12A7977F">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7、未被列入失信被执行人名证明（“信用中国”）（截图）。</w:t>
      </w:r>
    </w:p>
    <w:p w14:paraId="4A4C3D4F">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8、未被列入严重违法行为证明（国家企业信用信息公示系统）（截图）。</w:t>
      </w:r>
    </w:p>
    <w:p w14:paraId="353A40FC">
      <w:pPr>
        <w:rPr>
          <w:rFonts w:hint="default" w:ascii="仿宋" w:hAnsi="仿宋" w:eastAsia="仿宋" w:cs="仿宋"/>
          <w:color w:val="FF0000"/>
          <w:sz w:val="32"/>
          <w:szCs w:val="32"/>
          <w:lang w:val="en-US" w:eastAsia="zh-CN"/>
        </w:rPr>
      </w:pPr>
      <w:r>
        <w:rPr>
          <w:rFonts w:hint="eastAsia" w:ascii="仿宋" w:hAnsi="仿宋" w:eastAsia="仿宋" w:cs="仿宋"/>
          <w:color w:val="FF0000"/>
          <w:sz w:val="32"/>
          <w:szCs w:val="32"/>
          <w:lang w:val="en-US" w:eastAsia="zh-CN"/>
        </w:rPr>
        <w:t xml:space="preserve"> </w:t>
      </w:r>
      <w:r>
        <w:rPr>
          <w:rFonts w:hint="eastAsia" w:ascii="仿宋" w:hAnsi="仿宋" w:eastAsia="仿宋" w:cs="仿宋"/>
          <w:color w:val="auto"/>
          <w:sz w:val="32"/>
          <w:szCs w:val="32"/>
          <w:lang w:val="en-US" w:eastAsia="zh-CN"/>
        </w:rPr>
        <w:t xml:space="preserve"> 9、新疆维吾尔自治区交通运输厅信用交通网站，未列入黑名单证明（截图）。</w:t>
      </w:r>
    </w:p>
    <w:p w14:paraId="1898349F">
      <w:pPr>
        <w:ind w:firstLine="320" w:firstLineChars="100"/>
        <w:rPr>
          <w:rFonts w:hint="eastAsia" w:ascii="仿宋" w:hAnsi="仿宋" w:eastAsia="仿宋" w:cs="仿宋"/>
          <w:color w:val="FF0000"/>
          <w:sz w:val="32"/>
          <w:szCs w:val="32"/>
        </w:rPr>
      </w:pPr>
      <w:r>
        <w:rPr>
          <w:rFonts w:hint="eastAsia" w:ascii="仿宋" w:hAnsi="仿宋" w:eastAsia="仿宋" w:cs="仿宋"/>
          <w:color w:val="auto"/>
          <w:sz w:val="32"/>
          <w:szCs w:val="32"/>
          <w:lang w:val="en-US" w:eastAsia="zh-CN"/>
        </w:rPr>
        <w:t>10、与采购人不存在利害关系证明</w:t>
      </w:r>
      <w:r>
        <w:rPr>
          <w:rFonts w:hint="eastAsia" w:ascii="仿宋" w:hAnsi="仿宋" w:eastAsia="仿宋" w:cs="仿宋"/>
          <w:color w:val="auto"/>
          <w:sz w:val="32"/>
          <w:szCs w:val="32"/>
        </w:rPr>
        <w:t>。</w:t>
      </w:r>
    </w:p>
    <w:p w14:paraId="22C5C536">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11、施工质量保证书（必须写清楚质量保证内容及造成验收不合格后的承诺，如核心内容不全视为无效报价）。</w:t>
      </w:r>
    </w:p>
    <w:p w14:paraId="3D20D466">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12、商业贿赂承诺书。</w:t>
      </w:r>
    </w:p>
    <w:p w14:paraId="5A815AD0">
      <w:pPr>
        <w:ind w:firstLine="320" w:firstLineChars="100"/>
        <w:rPr>
          <w:rFonts w:hint="eastAsia" w:ascii="仿宋" w:hAnsi="仿宋" w:eastAsia="仿宋" w:cs="仿宋"/>
          <w:color w:val="FF0000"/>
          <w:sz w:val="32"/>
          <w:szCs w:val="32"/>
        </w:rPr>
      </w:pPr>
      <w:r>
        <w:rPr>
          <w:rFonts w:hint="eastAsia" w:ascii="仿宋" w:hAnsi="仿宋" w:eastAsia="仿宋" w:cs="仿宋"/>
          <w:color w:val="auto"/>
          <w:sz w:val="32"/>
          <w:szCs w:val="32"/>
          <w:lang w:val="en-US" w:eastAsia="zh-CN"/>
        </w:rPr>
        <w:t>13、不分包不转包承诺书。</w:t>
      </w:r>
    </w:p>
    <w:p w14:paraId="1905E689">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14、安全设施的照片。</w:t>
      </w:r>
    </w:p>
    <w:p w14:paraId="018FA34F">
      <w:pPr>
        <w:rPr>
          <w:rFonts w:hint="eastAsia" w:ascii="仿宋" w:hAnsi="仿宋" w:eastAsia="仿宋" w:cs="仿宋"/>
          <w:color w:val="auto"/>
          <w:sz w:val="32"/>
          <w:szCs w:val="32"/>
          <w:lang w:val="en-US" w:eastAsia="zh-CN"/>
        </w:rPr>
      </w:pPr>
      <w:r>
        <w:rPr>
          <w:rFonts w:hint="eastAsia" w:ascii="仿宋" w:hAnsi="仿宋" w:eastAsia="仿宋" w:cs="仿宋"/>
          <w:color w:val="FF0000"/>
          <w:sz w:val="32"/>
          <w:szCs w:val="32"/>
        </w:rPr>
        <w:t xml:space="preserve">  </w:t>
      </w:r>
      <w:r>
        <w:rPr>
          <w:rFonts w:hint="eastAsia" w:ascii="仿宋" w:hAnsi="仿宋" w:eastAsia="仿宋" w:cs="仿宋"/>
          <w:color w:val="auto"/>
          <w:sz w:val="32"/>
          <w:szCs w:val="32"/>
          <w:lang w:val="en-US" w:eastAsia="zh-CN"/>
        </w:rPr>
        <w:t>15、报价表（附件1）。</w:t>
      </w:r>
    </w:p>
    <w:p w14:paraId="311DDFCA">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16、需提供费用承担承诺书（需明确施工过程中产生的所有费用及验收不合格后返工过程中产生的费用）。</w:t>
      </w:r>
    </w:p>
    <w:p w14:paraId="2EDC441F">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17、参与</w:t>
      </w:r>
      <w:r>
        <w:rPr>
          <w:rFonts w:hint="default" w:ascii="仿宋" w:hAnsi="仿宋" w:eastAsia="仿宋" w:cs="仿宋"/>
          <w:color w:val="auto"/>
          <w:sz w:val="32"/>
          <w:szCs w:val="32"/>
          <w:lang w:val="en-US" w:eastAsia="zh-CN"/>
        </w:rPr>
        <w:t>报价供应商的</w:t>
      </w:r>
      <w:r>
        <w:rPr>
          <w:rFonts w:hint="eastAsia" w:ascii="仿宋" w:hAnsi="仿宋" w:eastAsia="仿宋" w:cs="仿宋"/>
          <w:color w:val="auto"/>
          <w:sz w:val="32"/>
          <w:szCs w:val="32"/>
          <w:lang w:val="en-US" w:eastAsia="zh-CN"/>
        </w:rPr>
        <w:t>基本情况表（附件2）.</w:t>
      </w:r>
    </w:p>
    <w:p w14:paraId="488700ED">
      <w:pPr>
        <w:pStyle w:val="2"/>
        <w:numPr>
          <w:ilvl w:val="0"/>
          <w:numId w:val="0"/>
        </w:numPr>
        <w:spacing w:line="360" w:lineRule="exact"/>
        <w:ind w:firstLine="320" w:firstLineChars="100"/>
        <w:jc w:val="left"/>
        <w:rPr>
          <w:rFonts w:hint="default" w:ascii="仿宋" w:hAnsi="仿宋" w:eastAsia="仿宋" w:cs="仿宋"/>
          <w:color w:val="auto"/>
          <w:sz w:val="32"/>
          <w:szCs w:val="32"/>
          <w:lang w:val="en-US" w:eastAsia="zh-CN"/>
        </w:rPr>
      </w:pPr>
      <w:r>
        <w:rPr>
          <w:rFonts w:hint="eastAsia" w:ascii="仿宋" w:hAnsi="仿宋" w:eastAsia="仿宋" w:cs="仿宋"/>
          <w:b w:val="0"/>
          <w:color w:val="auto"/>
          <w:kern w:val="2"/>
          <w:sz w:val="32"/>
          <w:szCs w:val="32"/>
          <w:lang w:val="en-US" w:eastAsia="zh-CN" w:bidi="ar-SA"/>
        </w:rPr>
        <w:t>18、法定代表人身份证明及授权委托书法定代表人身份证明（附件3）</w:t>
      </w:r>
    </w:p>
    <w:p w14:paraId="517EF45C">
      <w:pPr>
        <w:ind w:firstLine="320" w:firstLineChars="100"/>
        <w:rPr>
          <w:rFonts w:hint="eastAsia" w:ascii="仿宋" w:hAnsi="仿宋" w:eastAsia="仿宋" w:cs="仿宋"/>
          <w:b/>
          <w:bCs/>
          <w:kern w:val="0"/>
          <w:sz w:val="28"/>
          <w:szCs w:val="28"/>
          <w:lang w:val="en-US" w:eastAsia="zh-CN"/>
        </w:rPr>
      </w:pPr>
      <w:r>
        <w:rPr>
          <w:rFonts w:hint="eastAsia" w:ascii="仿宋" w:hAnsi="仿宋" w:eastAsia="仿宋" w:cs="仿宋"/>
          <w:color w:val="auto"/>
          <w:sz w:val="32"/>
          <w:szCs w:val="32"/>
          <w:lang w:val="en-US" w:eastAsia="zh-CN"/>
        </w:rPr>
        <w:t>备注：竞价成功签订合同时，供应商必须提供以上上传资料的原件（必须成册三份）。</w:t>
      </w:r>
    </w:p>
    <w:p w14:paraId="205DDC05">
      <w:pPr>
        <w:pStyle w:val="4"/>
        <w:jc w:val="left"/>
        <w:rPr>
          <w:rFonts w:hint="eastAsia" w:ascii="仿宋" w:hAnsi="仿宋" w:eastAsia="仿宋" w:cs="仿宋"/>
          <w:b/>
          <w:bCs/>
          <w:kern w:val="0"/>
          <w:sz w:val="28"/>
          <w:szCs w:val="28"/>
          <w:lang w:val="en-US" w:eastAsia="zh-CN"/>
        </w:rPr>
      </w:pPr>
    </w:p>
    <w:p w14:paraId="4FA3871D">
      <w:pPr>
        <w:pStyle w:val="4"/>
        <w:jc w:val="left"/>
        <w:rPr>
          <w:rFonts w:hint="eastAsia" w:ascii="仿宋" w:hAnsi="仿宋" w:eastAsia="仿宋" w:cs="仿宋"/>
          <w:b/>
          <w:bCs/>
          <w:kern w:val="0"/>
          <w:sz w:val="28"/>
          <w:szCs w:val="28"/>
          <w:lang w:val="en-US" w:eastAsia="zh-CN"/>
        </w:rPr>
      </w:pPr>
    </w:p>
    <w:p w14:paraId="68788A80">
      <w:pPr>
        <w:pStyle w:val="4"/>
        <w:jc w:val="left"/>
        <w:rPr>
          <w:rFonts w:hint="eastAsia" w:ascii="仿宋" w:hAnsi="仿宋" w:eastAsia="仿宋" w:cs="仿宋"/>
          <w:b/>
          <w:bCs/>
          <w:kern w:val="0"/>
          <w:sz w:val="28"/>
          <w:szCs w:val="28"/>
          <w:lang w:val="en-US" w:eastAsia="zh-CN"/>
        </w:rPr>
      </w:pPr>
    </w:p>
    <w:p w14:paraId="24C332EA">
      <w:pPr>
        <w:pStyle w:val="4"/>
        <w:jc w:val="left"/>
        <w:rPr>
          <w:rFonts w:hint="eastAsia" w:ascii="仿宋" w:hAnsi="仿宋" w:eastAsia="仿宋" w:cs="仿宋"/>
          <w:b/>
          <w:bCs/>
          <w:kern w:val="0"/>
          <w:sz w:val="28"/>
          <w:szCs w:val="28"/>
          <w:lang w:val="en-US" w:eastAsia="zh-CN"/>
        </w:rPr>
      </w:pPr>
    </w:p>
    <w:p w14:paraId="018EF88A">
      <w:pPr>
        <w:pStyle w:val="4"/>
        <w:jc w:val="left"/>
        <w:rPr>
          <w:rFonts w:hint="eastAsia" w:ascii="仿宋" w:hAnsi="仿宋" w:eastAsia="仿宋" w:cs="仿宋"/>
          <w:b/>
          <w:bCs/>
          <w:kern w:val="0"/>
          <w:sz w:val="28"/>
          <w:szCs w:val="28"/>
          <w:lang w:val="en-US" w:eastAsia="zh-CN"/>
        </w:rPr>
      </w:pPr>
    </w:p>
    <w:p w14:paraId="1F6BE09E">
      <w:pPr>
        <w:pStyle w:val="4"/>
        <w:jc w:val="left"/>
        <w:rPr>
          <w:rFonts w:hint="eastAsia" w:ascii="仿宋" w:hAnsi="仿宋" w:eastAsia="仿宋" w:cs="仿宋"/>
          <w:b/>
          <w:bCs/>
          <w:kern w:val="0"/>
          <w:sz w:val="28"/>
          <w:szCs w:val="28"/>
          <w:lang w:val="en-US" w:eastAsia="zh-CN"/>
        </w:rPr>
      </w:pPr>
    </w:p>
    <w:p w14:paraId="4F048AB1">
      <w:pPr>
        <w:pStyle w:val="4"/>
        <w:jc w:val="left"/>
        <w:rPr>
          <w:rFonts w:hint="eastAsia" w:ascii="仿宋" w:hAnsi="仿宋" w:eastAsia="仿宋" w:cs="仿宋"/>
          <w:b/>
          <w:bCs/>
          <w:kern w:val="0"/>
          <w:sz w:val="28"/>
          <w:szCs w:val="28"/>
          <w:lang w:val="en-US" w:eastAsia="zh-CN"/>
        </w:rPr>
      </w:pPr>
    </w:p>
    <w:p w14:paraId="52756FA6">
      <w:pPr>
        <w:pStyle w:val="4"/>
        <w:jc w:val="left"/>
        <w:rPr>
          <w:rFonts w:hint="eastAsia" w:ascii="仿宋" w:hAnsi="仿宋" w:eastAsia="仿宋" w:cs="仿宋"/>
          <w:b/>
          <w:bCs/>
          <w:kern w:val="0"/>
          <w:sz w:val="28"/>
          <w:szCs w:val="28"/>
          <w:lang w:val="en-US" w:eastAsia="zh-CN"/>
        </w:rPr>
      </w:pPr>
    </w:p>
    <w:p w14:paraId="03E7DDEE">
      <w:pPr>
        <w:pStyle w:val="4"/>
        <w:jc w:val="left"/>
        <w:rPr>
          <w:rFonts w:hint="eastAsia" w:ascii="仿宋" w:hAnsi="仿宋" w:eastAsia="仿宋" w:cs="仿宋"/>
          <w:b/>
          <w:bCs/>
          <w:kern w:val="0"/>
          <w:sz w:val="28"/>
          <w:szCs w:val="28"/>
          <w:lang w:val="en-US" w:eastAsia="zh-CN"/>
        </w:rPr>
      </w:pPr>
    </w:p>
    <w:p w14:paraId="3D405240">
      <w:pPr>
        <w:pStyle w:val="4"/>
        <w:jc w:val="left"/>
        <w:rPr>
          <w:rFonts w:hint="default" w:ascii="仿宋" w:hAnsi="仿宋" w:eastAsia="仿宋" w:cs="仿宋"/>
          <w:b/>
          <w:bCs/>
          <w:kern w:val="0"/>
          <w:sz w:val="28"/>
          <w:szCs w:val="28"/>
          <w:lang w:val="en-US" w:eastAsia="zh-CN"/>
        </w:rPr>
      </w:pPr>
      <w:r>
        <w:rPr>
          <w:rFonts w:hint="eastAsia" w:ascii="仿宋" w:hAnsi="仿宋" w:eastAsia="仿宋" w:cs="仿宋"/>
          <w:b/>
          <w:bCs/>
          <w:kern w:val="0"/>
          <w:sz w:val="28"/>
          <w:szCs w:val="28"/>
          <w:lang w:val="en-US" w:eastAsia="zh-CN"/>
        </w:rPr>
        <w:t>附件1</w:t>
      </w:r>
    </w:p>
    <w:p w14:paraId="392BE445">
      <w:pPr>
        <w:pStyle w:val="4"/>
        <w:jc w:val="center"/>
        <w:rPr>
          <w:rFonts w:hint="eastAsia"/>
        </w:rPr>
      </w:pPr>
      <w:r>
        <w:rPr>
          <w:rFonts w:hint="eastAsia" w:ascii="仿宋" w:hAnsi="仿宋" w:eastAsia="仿宋" w:cs="仿宋"/>
          <w:b/>
          <w:bCs/>
          <w:kern w:val="0"/>
          <w:sz w:val="28"/>
          <w:szCs w:val="28"/>
          <w:lang w:eastAsia="zh-CN"/>
        </w:rPr>
        <w:t>和田公路事业发展中心</w:t>
      </w:r>
      <w:r>
        <w:rPr>
          <w:rFonts w:hint="eastAsia" w:ascii="仿宋" w:hAnsi="仿宋" w:eastAsia="仿宋" w:cs="仿宋"/>
          <w:b/>
          <w:bCs/>
          <w:kern w:val="0"/>
          <w:sz w:val="28"/>
          <w:szCs w:val="28"/>
          <w:lang w:val="en-US" w:eastAsia="zh-CN"/>
        </w:rPr>
        <w:t>民丰</w:t>
      </w:r>
      <w:r>
        <w:rPr>
          <w:rFonts w:hint="eastAsia" w:ascii="仿宋" w:hAnsi="仿宋" w:eastAsia="仿宋" w:cs="仿宋"/>
          <w:b/>
          <w:bCs/>
          <w:kern w:val="0"/>
          <w:sz w:val="28"/>
          <w:szCs w:val="28"/>
          <w:lang w:eastAsia="zh-CN"/>
        </w:rPr>
        <w:t>养护所2025年</w:t>
      </w:r>
      <w:r>
        <w:rPr>
          <w:rFonts w:hint="eastAsia" w:ascii="仿宋" w:hAnsi="仿宋" w:eastAsia="仿宋" w:cs="仿宋"/>
          <w:b/>
          <w:bCs/>
          <w:kern w:val="0"/>
          <w:sz w:val="28"/>
          <w:szCs w:val="28"/>
        </w:rPr>
        <w:t>日常养护</w:t>
      </w:r>
      <w:r>
        <w:rPr>
          <w:rFonts w:hint="eastAsia" w:ascii="仿宋" w:hAnsi="仿宋" w:eastAsia="仿宋" w:cs="仿宋"/>
          <w:b/>
          <w:bCs/>
          <w:kern w:val="0"/>
          <w:sz w:val="28"/>
          <w:szCs w:val="28"/>
          <w:lang w:eastAsia="zh-CN"/>
        </w:rPr>
        <w:t>（</w:t>
      </w:r>
      <w:r>
        <w:rPr>
          <w:rFonts w:hint="eastAsia" w:ascii="仿宋" w:hAnsi="仿宋" w:eastAsia="仿宋" w:cs="仿宋"/>
          <w:b/>
          <w:bCs/>
          <w:kern w:val="0"/>
          <w:sz w:val="28"/>
          <w:szCs w:val="28"/>
          <w:lang w:val="en-US" w:eastAsia="zh-CN"/>
        </w:rPr>
        <w:t>路面开槽灌缝</w:t>
      </w:r>
      <w:r>
        <w:rPr>
          <w:rFonts w:hint="eastAsia" w:ascii="仿宋" w:hAnsi="仿宋" w:eastAsia="仿宋" w:cs="仿宋"/>
          <w:b/>
          <w:bCs/>
          <w:kern w:val="0"/>
          <w:sz w:val="28"/>
          <w:szCs w:val="28"/>
          <w:lang w:eastAsia="zh-CN"/>
        </w:rPr>
        <w:t>）</w:t>
      </w:r>
      <w:r>
        <w:rPr>
          <w:rFonts w:hint="eastAsia" w:ascii="仿宋" w:hAnsi="仿宋" w:eastAsia="仿宋" w:cs="仿宋"/>
          <w:b/>
          <w:bCs/>
          <w:kern w:val="0"/>
          <w:sz w:val="28"/>
          <w:szCs w:val="28"/>
        </w:rPr>
        <w:t>采购</w:t>
      </w:r>
      <w:r>
        <w:rPr>
          <w:rFonts w:hint="eastAsia" w:ascii="仿宋" w:hAnsi="仿宋" w:eastAsia="仿宋" w:cs="仿宋"/>
          <w:b/>
          <w:bCs/>
          <w:kern w:val="0"/>
          <w:sz w:val="28"/>
          <w:szCs w:val="28"/>
          <w:lang w:val="en-US" w:eastAsia="zh-CN"/>
        </w:rPr>
        <w:t>项目</w:t>
      </w:r>
      <w:r>
        <w:rPr>
          <w:rFonts w:hint="eastAsia" w:ascii="仿宋" w:hAnsi="仿宋" w:eastAsia="仿宋" w:cs="仿宋"/>
          <w:b/>
          <w:bCs/>
          <w:kern w:val="0"/>
          <w:sz w:val="28"/>
          <w:szCs w:val="28"/>
        </w:rPr>
        <w:t>报价表</w:t>
      </w:r>
    </w:p>
    <w:p w14:paraId="3A1381D8">
      <w:pPr>
        <w:rPr>
          <w:rFonts w:hint="eastAsia"/>
        </w:rPr>
      </w:pP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2"/>
        <w:gridCol w:w="723"/>
        <w:gridCol w:w="1176"/>
        <w:gridCol w:w="522"/>
        <w:gridCol w:w="1392"/>
        <w:gridCol w:w="1531"/>
        <w:gridCol w:w="1246"/>
        <w:gridCol w:w="1410"/>
      </w:tblGrid>
      <w:tr w14:paraId="187EF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22" w:type="dxa"/>
            <w:vAlign w:val="center"/>
          </w:tcPr>
          <w:p w14:paraId="43DC69EA">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序号</w:t>
            </w:r>
          </w:p>
        </w:tc>
        <w:tc>
          <w:tcPr>
            <w:tcW w:w="723" w:type="dxa"/>
            <w:vAlign w:val="center"/>
          </w:tcPr>
          <w:p w14:paraId="439D62F0">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名称</w:t>
            </w:r>
          </w:p>
        </w:tc>
        <w:tc>
          <w:tcPr>
            <w:tcW w:w="1176" w:type="dxa"/>
            <w:vAlign w:val="center"/>
          </w:tcPr>
          <w:p w14:paraId="175B001E">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数量</w:t>
            </w:r>
          </w:p>
        </w:tc>
        <w:tc>
          <w:tcPr>
            <w:tcW w:w="522" w:type="dxa"/>
            <w:vAlign w:val="center"/>
          </w:tcPr>
          <w:p w14:paraId="7903CD44">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单位</w:t>
            </w:r>
          </w:p>
        </w:tc>
        <w:tc>
          <w:tcPr>
            <w:tcW w:w="1392" w:type="dxa"/>
            <w:vAlign w:val="center"/>
          </w:tcPr>
          <w:p w14:paraId="6E238645">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最高</w:t>
            </w:r>
            <w:r>
              <w:rPr>
                <w:rFonts w:hint="eastAsia" w:ascii="仿宋" w:hAnsi="仿宋" w:eastAsia="仿宋" w:cs="仿宋"/>
                <w:bCs/>
                <w:kern w:val="0"/>
                <w:sz w:val="28"/>
                <w:szCs w:val="28"/>
                <w:lang w:val="en-US" w:eastAsia="zh-CN"/>
              </w:rPr>
              <w:t>单</w:t>
            </w:r>
            <w:r>
              <w:rPr>
                <w:rFonts w:hint="eastAsia" w:ascii="仿宋" w:hAnsi="仿宋" w:eastAsia="仿宋" w:cs="仿宋"/>
                <w:bCs/>
                <w:kern w:val="0"/>
                <w:sz w:val="28"/>
                <w:szCs w:val="28"/>
              </w:rPr>
              <w:t>价</w:t>
            </w:r>
          </w:p>
        </w:tc>
        <w:tc>
          <w:tcPr>
            <w:tcW w:w="1531" w:type="dxa"/>
            <w:vAlign w:val="center"/>
          </w:tcPr>
          <w:p w14:paraId="76F63863">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最高限价（元）</w:t>
            </w:r>
          </w:p>
        </w:tc>
        <w:tc>
          <w:tcPr>
            <w:tcW w:w="1246" w:type="dxa"/>
            <w:vAlign w:val="center"/>
          </w:tcPr>
          <w:p w14:paraId="7E978AE2">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单价投标报价（元）</w:t>
            </w:r>
          </w:p>
        </w:tc>
        <w:tc>
          <w:tcPr>
            <w:tcW w:w="1410" w:type="dxa"/>
            <w:vAlign w:val="center"/>
          </w:tcPr>
          <w:p w14:paraId="2D2F2E2E">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投标合价（元）</w:t>
            </w:r>
          </w:p>
        </w:tc>
      </w:tr>
      <w:tr w14:paraId="23FF6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trPr>
        <w:tc>
          <w:tcPr>
            <w:tcW w:w="522" w:type="dxa"/>
            <w:vAlign w:val="center"/>
          </w:tcPr>
          <w:p w14:paraId="3048328F">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1</w:t>
            </w:r>
          </w:p>
        </w:tc>
        <w:tc>
          <w:tcPr>
            <w:tcW w:w="723" w:type="dxa"/>
            <w:vAlign w:val="center"/>
          </w:tcPr>
          <w:p w14:paraId="52561A0F">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路面病害处治</w:t>
            </w:r>
            <w:bookmarkStart w:id="14" w:name="_GoBack"/>
            <w:bookmarkEnd w:id="14"/>
          </w:p>
        </w:tc>
        <w:tc>
          <w:tcPr>
            <w:tcW w:w="1176" w:type="dxa"/>
            <w:vAlign w:val="center"/>
          </w:tcPr>
          <w:p w14:paraId="06547E13">
            <w:pPr>
              <w:tabs>
                <w:tab w:val="left" w:pos="546"/>
                <w:tab w:val="left" w:pos="711"/>
              </w:tabs>
              <w:snapToGrid w:val="0"/>
              <w:spacing w:line="360" w:lineRule="auto"/>
              <w:jc w:val="center"/>
              <w:rPr>
                <w:rFonts w:hint="eastAsia" w:ascii="仿宋" w:hAnsi="仿宋" w:eastAsia="仿宋" w:cs="仿宋"/>
                <w:bCs/>
                <w:kern w:val="0"/>
                <w:sz w:val="28"/>
                <w:szCs w:val="28"/>
                <w:lang w:val="en-US" w:eastAsia="zh-CN"/>
              </w:rPr>
            </w:pPr>
            <w:r>
              <w:rPr>
                <w:rFonts w:hint="eastAsia" w:ascii="仿宋" w:hAnsi="仿宋" w:eastAsia="仿宋" w:cs="仿宋"/>
                <w:sz w:val="32"/>
                <w:szCs w:val="32"/>
                <w:lang w:val="en-US" w:eastAsia="zh-CN"/>
              </w:rPr>
              <w:t>4712.68</w:t>
            </w:r>
          </w:p>
        </w:tc>
        <w:tc>
          <w:tcPr>
            <w:tcW w:w="522" w:type="dxa"/>
            <w:vAlign w:val="center"/>
          </w:tcPr>
          <w:p w14:paraId="3DCCA883">
            <w:pPr>
              <w:tabs>
                <w:tab w:val="left" w:pos="546"/>
                <w:tab w:val="left" w:pos="711"/>
              </w:tabs>
              <w:snapToGrid w:val="0"/>
              <w:spacing w:line="360" w:lineRule="auto"/>
              <w:jc w:val="center"/>
              <w:rPr>
                <w:rFonts w:hint="eastAsia" w:ascii="仿宋" w:hAnsi="仿宋" w:eastAsia="仿宋" w:cs="仿宋"/>
                <w:bCs/>
                <w:kern w:val="0"/>
                <w:sz w:val="28"/>
                <w:szCs w:val="28"/>
                <w:lang w:eastAsia="zh-CN"/>
              </w:rPr>
            </w:pPr>
            <w:r>
              <w:rPr>
                <w:rFonts w:hint="eastAsia" w:ascii="仿宋" w:hAnsi="仿宋" w:eastAsia="仿宋" w:cs="仿宋"/>
                <w:bCs/>
                <w:kern w:val="0"/>
                <w:sz w:val="28"/>
                <w:szCs w:val="28"/>
                <w:lang w:val="en-US" w:eastAsia="zh-CN"/>
              </w:rPr>
              <w:t>㎡</w:t>
            </w:r>
          </w:p>
        </w:tc>
        <w:tc>
          <w:tcPr>
            <w:tcW w:w="1392" w:type="dxa"/>
            <w:vAlign w:val="center"/>
          </w:tcPr>
          <w:p w14:paraId="201647BB">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23</w:t>
            </w:r>
          </w:p>
        </w:tc>
        <w:tc>
          <w:tcPr>
            <w:tcW w:w="1531" w:type="dxa"/>
            <w:vAlign w:val="center"/>
          </w:tcPr>
          <w:p w14:paraId="31B3FDB7">
            <w:pPr>
              <w:tabs>
                <w:tab w:val="left" w:pos="546"/>
                <w:tab w:val="left" w:pos="711"/>
              </w:tabs>
              <w:snapToGrid w:val="0"/>
              <w:spacing w:line="360" w:lineRule="auto"/>
              <w:jc w:val="center"/>
              <w:rPr>
                <w:rFonts w:hint="default" w:ascii="仿宋" w:hAnsi="仿宋" w:eastAsia="仿宋" w:cs="仿宋"/>
                <w:bCs/>
                <w:kern w:val="0"/>
                <w:sz w:val="28"/>
                <w:szCs w:val="28"/>
                <w:lang w:val="en-US"/>
              </w:rPr>
            </w:pPr>
            <w:r>
              <w:rPr>
                <w:rFonts w:hint="eastAsia" w:ascii="仿宋" w:hAnsi="仿宋" w:eastAsia="仿宋" w:cs="仿宋"/>
                <w:bCs/>
                <w:kern w:val="0"/>
                <w:sz w:val="28"/>
                <w:szCs w:val="28"/>
                <w:lang w:val="en-US" w:eastAsia="zh-CN"/>
              </w:rPr>
              <w:t>108391.64</w:t>
            </w:r>
          </w:p>
        </w:tc>
        <w:tc>
          <w:tcPr>
            <w:tcW w:w="1246" w:type="dxa"/>
            <w:vAlign w:val="center"/>
          </w:tcPr>
          <w:p w14:paraId="383E0ED1">
            <w:pPr>
              <w:tabs>
                <w:tab w:val="left" w:pos="546"/>
                <w:tab w:val="left" w:pos="711"/>
              </w:tabs>
              <w:snapToGrid w:val="0"/>
              <w:spacing w:line="360" w:lineRule="auto"/>
              <w:jc w:val="center"/>
              <w:rPr>
                <w:rFonts w:hint="eastAsia" w:ascii="仿宋" w:hAnsi="仿宋" w:eastAsia="仿宋" w:cs="仿宋"/>
                <w:bCs/>
                <w:kern w:val="0"/>
                <w:sz w:val="28"/>
                <w:szCs w:val="28"/>
              </w:rPr>
            </w:pPr>
          </w:p>
        </w:tc>
        <w:tc>
          <w:tcPr>
            <w:tcW w:w="1410" w:type="dxa"/>
            <w:vAlign w:val="center"/>
          </w:tcPr>
          <w:p w14:paraId="1B6730F9">
            <w:pPr>
              <w:tabs>
                <w:tab w:val="left" w:pos="546"/>
                <w:tab w:val="left" w:pos="711"/>
              </w:tabs>
              <w:snapToGrid w:val="0"/>
              <w:spacing w:line="360" w:lineRule="auto"/>
              <w:jc w:val="center"/>
              <w:rPr>
                <w:rFonts w:hint="eastAsia" w:ascii="仿宋" w:hAnsi="仿宋" w:eastAsia="仿宋" w:cs="仿宋"/>
                <w:b/>
                <w:bCs/>
                <w:kern w:val="0"/>
                <w:sz w:val="28"/>
                <w:szCs w:val="28"/>
              </w:rPr>
            </w:pPr>
          </w:p>
        </w:tc>
      </w:tr>
      <w:tr w14:paraId="2AA1A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7112" w:type="dxa"/>
            <w:gridSpan w:val="7"/>
            <w:vAlign w:val="center"/>
          </w:tcPr>
          <w:p w14:paraId="384AF66B">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合计</w:t>
            </w:r>
          </w:p>
        </w:tc>
        <w:tc>
          <w:tcPr>
            <w:tcW w:w="1410" w:type="dxa"/>
            <w:vAlign w:val="center"/>
          </w:tcPr>
          <w:p w14:paraId="0AA247A8">
            <w:pPr>
              <w:tabs>
                <w:tab w:val="left" w:pos="546"/>
                <w:tab w:val="left" w:pos="711"/>
              </w:tabs>
              <w:snapToGrid w:val="0"/>
              <w:spacing w:line="360" w:lineRule="auto"/>
              <w:jc w:val="center"/>
              <w:rPr>
                <w:rFonts w:hint="eastAsia" w:ascii="仿宋" w:hAnsi="仿宋" w:eastAsia="仿宋" w:cs="仿宋"/>
                <w:b/>
                <w:bCs/>
                <w:kern w:val="0"/>
                <w:sz w:val="28"/>
                <w:szCs w:val="28"/>
              </w:rPr>
            </w:pPr>
          </w:p>
        </w:tc>
      </w:tr>
    </w:tbl>
    <w:p w14:paraId="4FB95D9D">
      <w:pPr>
        <w:widowControl/>
        <w:jc w:val="both"/>
        <w:rPr>
          <w:rFonts w:hint="eastAsia" w:ascii="仿宋" w:hAnsi="仿宋" w:eastAsia="仿宋" w:cs="仿宋"/>
          <w:color w:val="000000"/>
          <w:kern w:val="0"/>
          <w:sz w:val="28"/>
          <w:szCs w:val="28"/>
        </w:rPr>
      </w:pPr>
    </w:p>
    <w:p w14:paraId="1FF4A006">
      <w:pPr>
        <w:widowControl/>
        <w:ind w:firstLine="840" w:firstLineChars="300"/>
        <w:jc w:val="both"/>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竞争单位：</w:t>
      </w:r>
      <w:r>
        <w:rPr>
          <w:rFonts w:hint="eastAsia" w:ascii="仿宋" w:hAnsi="仿宋" w:eastAsia="仿宋" w:cs="仿宋"/>
          <w:color w:val="000000"/>
          <w:kern w:val="0"/>
          <w:sz w:val="28"/>
          <w:szCs w:val="28"/>
          <w:u w:val="single"/>
        </w:rPr>
        <w:t>           </w:t>
      </w:r>
      <w:r>
        <w:rPr>
          <w:rFonts w:hint="eastAsia" w:ascii="仿宋" w:hAnsi="仿宋" w:eastAsia="仿宋" w:cs="仿宋"/>
          <w:color w:val="000000"/>
          <w:kern w:val="0"/>
          <w:sz w:val="28"/>
          <w:szCs w:val="28"/>
        </w:rPr>
        <w:t>（盖单位公章）</w:t>
      </w:r>
    </w:p>
    <w:p w14:paraId="203ADB9F">
      <w:pPr>
        <w:widowControl/>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      法定代表人：</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（签字）</w:t>
      </w:r>
    </w:p>
    <w:p w14:paraId="068D3F0F">
      <w:pPr>
        <w:widowControl/>
        <w:jc w:val="right"/>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w:t>
      </w:r>
    </w:p>
    <w:p w14:paraId="68979786">
      <w:pPr>
        <w:widowControl/>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         </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年</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月</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日</w:t>
      </w:r>
    </w:p>
    <w:p w14:paraId="773D436B">
      <w:pPr>
        <w:tabs>
          <w:tab w:val="left" w:pos="546"/>
          <w:tab w:val="left" w:pos="711"/>
        </w:tabs>
        <w:snapToGrid w:val="0"/>
        <w:spacing w:line="360" w:lineRule="auto"/>
        <w:rPr>
          <w:rFonts w:hint="eastAsia" w:ascii="仿宋" w:hAnsi="仿宋" w:eastAsia="仿宋" w:cs="仿宋"/>
          <w:b/>
          <w:kern w:val="0"/>
          <w:sz w:val="28"/>
          <w:szCs w:val="28"/>
        </w:rPr>
      </w:pPr>
    </w:p>
    <w:p w14:paraId="08043D06">
      <w:pPr>
        <w:tabs>
          <w:tab w:val="left" w:pos="546"/>
          <w:tab w:val="left" w:pos="711"/>
        </w:tabs>
        <w:snapToGrid w:val="0"/>
        <w:spacing w:line="360" w:lineRule="auto"/>
        <w:rPr>
          <w:rFonts w:hint="eastAsia" w:ascii="仿宋" w:hAnsi="仿宋" w:eastAsia="仿宋" w:cs="仿宋"/>
          <w:b/>
          <w:kern w:val="0"/>
          <w:sz w:val="28"/>
          <w:szCs w:val="28"/>
        </w:rPr>
      </w:pPr>
    </w:p>
    <w:p w14:paraId="273BBC76">
      <w:pPr>
        <w:tabs>
          <w:tab w:val="left" w:pos="546"/>
          <w:tab w:val="left" w:pos="711"/>
        </w:tabs>
        <w:snapToGrid w:val="0"/>
        <w:spacing w:line="360" w:lineRule="auto"/>
        <w:rPr>
          <w:rFonts w:hint="eastAsia" w:ascii="仿宋" w:hAnsi="仿宋" w:eastAsia="仿宋" w:cs="仿宋"/>
          <w:b/>
          <w:kern w:val="0"/>
          <w:sz w:val="28"/>
          <w:szCs w:val="28"/>
        </w:rPr>
      </w:pPr>
    </w:p>
    <w:p w14:paraId="587EBEE4">
      <w:pPr>
        <w:rPr>
          <w:rFonts w:hint="eastAsia"/>
        </w:rPr>
      </w:pPr>
    </w:p>
    <w:p w14:paraId="24D7BB17">
      <w:pPr>
        <w:pStyle w:val="9"/>
        <w:rPr>
          <w:rFonts w:hint="eastAsia"/>
        </w:rPr>
      </w:pPr>
    </w:p>
    <w:p w14:paraId="3891E80C">
      <w:pPr>
        <w:tabs>
          <w:tab w:val="left" w:pos="546"/>
          <w:tab w:val="left" w:pos="711"/>
        </w:tabs>
        <w:snapToGrid w:val="0"/>
        <w:spacing w:line="360" w:lineRule="auto"/>
        <w:rPr>
          <w:rFonts w:hint="eastAsia" w:ascii="仿宋" w:hAnsi="仿宋" w:eastAsia="仿宋" w:cs="仿宋"/>
          <w:b/>
          <w:kern w:val="0"/>
          <w:sz w:val="28"/>
          <w:szCs w:val="28"/>
        </w:rPr>
      </w:pPr>
      <w:r>
        <w:rPr>
          <w:rFonts w:hint="eastAsia" w:ascii="仿宋" w:hAnsi="仿宋" w:eastAsia="仿宋" w:cs="仿宋"/>
          <w:b/>
          <w:kern w:val="0"/>
          <w:sz w:val="28"/>
          <w:szCs w:val="28"/>
        </w:rPr>
        <w:t>附件2</w:t>
      </w:r>
    </w:p>
    <w:p w14:paraId="69AB164E">
      <w:pPr>
        <w:pStyle w:val="2"/>
        <w:numPr>
          <w:ilvl w:val="0"/>
          <w:numId w:val="0"/>
        </w:numPr>
        <w:spacing w:after="312" w:afterLines="100"/>
        <w:ind w:firstLine="562" w:firstLineChars="200"/>
        <w:jc w:val="center"/>
        <w:rPr>
          <w:rFonts w:hint="eastAsia" w:ascii="仿宋" w:hAnsi="仿宋" w:eastAsia="仿宋" w:cs="仿宋"/>
          <w:szCs w:val="28"/>
        </w:rPr>
      </w:pPr>
      <w:r>
        <w:rPr>
          <w:rFonts w:hint="eastAsia" w:ascii="仿宋" w:hAnsi="仿宋" w:eastAsia="仿宋" w:cs="仿宋"/>
          <w:szCs w:val="28"/>
        </w:rPr>
        <w:t>参与</w:t>
      </w:r>
      <w:r>
        <w:rPr>
          <w:rFonts w:hint="default" w:ascii="仿宋" w:hAnsi="仿宋" w:eastAsia="仿宋" w:cs="仿宋"/>
          <w:szCs w:val="28"/>
        </w:rPr>
        <w:t>报价供应商的</w:t>
      </w:r>
      <w:r>
        <w:rPr>
          <w:rFonts w:hint="eastAsia" w:ascii="仿宋" w:hAnsi="仿宋" w:eastAsia="仿宋" w:cs="仿宋"/>
          <w:szCs w:val="28"/>
        </w:rPr>
        <w:t>基本情况表</w:t>
      </w:r>
    </w:p>
    <w:tbl>
      <w:tblPr>
        <w:tblStyle w:val="6"/>
        <w:tblW w:w="8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80"/>
        <w:gridCol w:w="180"/>
        <w:gridCol w:w="1080"/>
        <w:gridCol w:w="360"/>
        <w:gridCol w:w="2880"/>
        <w:gridCol w:w="1626"/>
        <w:gridCol w:w="1080"/>
      </w:tblGrid>
      <w:tr w14:paraId="1272A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260" w:type="dxa"/>
            <w:gridSpan w:val="2"/>
            <w:vAlign w:val="center"/>
          </w:tcPr>
          <w:p w14:paraId="1D76897C">
            <w:pPr>
              <w:jc w:val="center"/>
              <w:rPr>
                <w:rFonts w:hint="eastAsia" w:ascii="仿宋" w:hAnsi="仿宋" w:eastAsia="仿宋" w:cs="仿宋"/>
                <w:kern w:val="0"/>
                <w:sz w:val="28"/>
                <w:szCs w:val="28"/>
              </w:rPr>
            </w:pPr>
            <w:r>
              <w:rPr>
                <w:rFonts w:hint="eastAsia" w:ascii="仿宋" w:hAnsi="仿宋" w:eastAsia="仿宋" w:cs="仿宋"/>
                <w:kern w:val="0"/>
                <w:sz w:val="28"/>
                <w:szCs w:val="28"/>
              </w:rPr>
              <w:t>企业名称</w:t>
            </w:r>
          </w:p>
        </w:tc>
        <w:tc>
          <w:tcPr>
            <w:tcW w:w="7026" w:type="dxa"/>
            <w:gridSpan w:val="5"/>
            <w:vAlign w:val="center"/>
          </w:tcPr>
          <w:p w14:paraId="054C1A64">
            <w:pPr>
              <w:jc w:val="center"/>
              <w:rPr>
                <w:rFonts w:hint="eastAsia" w:ascii="仿宋" w:hAnsi="仿宋" w:eastAsia="仿宋" w:cs="仿宋"/>
                <w:kern w:val="0"/>
                <w:sz w:val="28"/>
                <w:szCs w:val="28"/>
              </w:rPr>
            </w:pPr>
          </w:p>
        </w:tc>
      </w:tr>
      <w:tr w14:paraId="50FA5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5F7BAF2C">
            <w:pPr>
              <w:jc w:val="center"/>
              <w:rPr>
                <w:rFonts w:hint="eastAsia" w:ascii="仿宋" w:hAnsi="仿宋" w:eastAsia="仿宋" w:cs="仿宋"/>
                <w:kern w:val="0"/>
                <w:sz w:val="28"/>
                <w:szCs w:val="28"/>
              </w:rPr>
            </w:pPr>
            <w:r>
              <w:rPr>
                <w:rFonts w:hint="eastAsia" w:ascii="仿宋" w:hAnsi="仿宋" w:eastAsia="仿宋" w:cs="仿宋"/>
                <w:kern w:val="0"/>
                <w:sz w:val="28"/>
                <w:szCs w:val="28"/>
              </w:rPr>
              <w:t>注册地址</w:t>
            </w:r>
          </w:p>
        </w:tc>
        <w:tc>
          <w:tcPr>
            <w:tcW w:w="7026" w:type="dxa"/>
            <w:gridSpan w:val="5"/>
            <w:vAlign w:val="center"/>
          </w:tcPr>
          <w:p w14:paraId="6DD6EFD0">
            <w:pPr>
              <w:jc w:val="center"/>
              <w:rPr>
                <w:rFonts w:hint="eastAsia" w:ascii="仿宋" w:hAnsi="仿宋" w:eastAsia="仿宋" w:cs="仿宋"/>
                <w:kern w:val="0"/>
                <w:sz w:val="28"/>
                <w:szCs w:val="28"/>
              </w:rPr>
            </w:pPr>
          </w:p>
        </w:tc>
      </w:tr>
      <w:tr w14:paraId="2659E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260" w:type="dxa"/>
            <w:gridSpan w:val="2"/>
            <w:vMerge w:val="restart"/>
            <w:vAlign w:val="center"/>
          </w:tcPr>
          <w:p w14:paraId="72EB77B7">
            <w:pPr>
              <w:jc w:val="center"/>
              <w:rPr>
                <w:rFonts w:hint="eastAsia" w:ascii="仿宋" w:hAnsi="仿宋" w:eastAsia="仿宋" w:cs="仿宋"/>
                <w:kern w:val="0"/>
                <w:sz w:val="28"/>
                <w:szCs w:val="28"/>
              </w:rPr>
            </w:pPr>
            <w:r>
              <w:rPr>
                <w:rFonts w:hint="eastAsia" w:ascii="仿宋" w:hAnsi="仿宋" w:eastAsia="仿宋" w:cs="仿宋"/>
                <w:kern w:val="0"/>
                <w:sz w:val="28"/>
                <w:szCs w:val="28"/>
              </w:rPr>
              <w:t>通讯代码</w:t>
            </w:r>
          </w:p>
        </w:tc>
        <w:tc>
          <w:tcPr>
            <w:tcW w:w="1440" w:type="dxa"/>
            <w:gridSpan w:val="2"/>
            <w:tcBorders>
              <w:bottom w:val="single" w:color="auto" w:sz="4" w:space="0"/>
            </w:tcBorders>
            <w:vAlign w:val="center"/>
          </w:tcPr>
          <w:p w14:paraId="14468BC7">
            <w:pPr>
              <w:jc w:val="center"/>
              <w:rPr>
                <w:rFonts w:hint="eastAsia" w:ascii="仿宋" w:hAnsi="仿宋" w:eastAsia="仿宋" w:cs="仿宋"/>
                <w:kern w:val="0"/>
                <w:sz w:val="28"/>
                <w:szCs w:val="28"/>
              </w:rPr>
            </w:pPr>
            <w:r>
              <w:rPr>
                <w:rFonts w:hint="eastAsia" w:ascii="仿宋" w:hAnsi="仿宋" w:eastAsia="仿宋" w:cs="仿宋"/>
                <w:kern w:val="0"/>
                <w:sz w:val="28"/>
                <w:szCs w:val="28"/>
              </w:rPr>
              <w:t>电  话</w:t>
            </w:r>
          </w:p>
        </w:tc>
        <w:tc>
          <w:tcPr>
            <w:tcW w:w="2880" w:type="dxa"/>
            <w:vAlign w:val="center"/>
          </w:tcPr>
          <w:p w14:paraId="3F4D171C">
            <w:pPr>
              <w:jc w:val="center"/>
              <w:rPr>
                <w:rFonts w:hint="eastAsia" w:ascii="仿宋" w:hAnsi="仿宋" w:eastAsia="仿宋" w:cs="仿宋"/>
                <w:kern w:val="0"/>
                <w:sz w:val="28"/>
                <w:szCs w:val="28"/>
              </w:rPr>
            </w:pPr>
          </w:p>
        </w:tc>
        <w:tc>
          <w:tcPr>
            <w:tcW w:w="1626" w:type="dxa"/>
            <w:vAlign w:val="center"/>
          </w:tcPr>
          <w:p w14:paraId="1BCF7C9C">
            <w:pPr>
              <w:jc w:val="center"/>
              <w:rPr>
                <w:rFonts w:hint="eastAsia" w:ascii="仿宋" w:hAnsi="仿宋" w:eastAsia="仿宋" w:cs="仿宋"/>
                <w:kern w:val="0"/>
                <w:sz w:val="28"/>
                <w:szCs w:val="28"/>
              </w:rPr>
            </w:pPr>
            <w:r>
              <w:rPr>
                <w:rFonts w:hint="eastAsia" w:ascii="仿宋" w:hAnsi="仿宋" w:eastAsia="仿宋" w:cs="仿宋"/>
                <w:kern w:val="0"/>
                <w:sz w:val="28"/>
                <w:szCs w:val="28"/>
              </w:rPr>
              <w:t>传    真</w:t>
            </w:r>
          </w:p>
        </w:tc>
        <w:tc>
          <w:tcPr>
            <w:tcW w:w="1080" w:type="dxa"/>
            <w:tcBorders>
              <w:bottom w:val="single" w:color="auto" w:sz="4" w:space="0"/>
            </w:tcBorders>
            <w:vAlign w:val="center"/>
          </w:tcPr>
          <w:p w14:paraId="41E22FCA">
            <w:pPr>
              <w:jc w:val="center"/>
              <w:rPr>
                <w:rFonts w:hint="eastAsia" w:ascii="仿宋" w:hAnsi="仿宋" w:eastAsia="仿宋" w:cs="仿宋"/>
                <w:kern w:val="0"/>
                <w:sz w:val="28"/>
                <w:szCs w:val="28"/>
              </w:rPr>
            </w:pPr>
          </w:p>
        </w:tc>
      </w:tr>
      <w:tr w14:paraId="388B4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260" w:type="dxa"/>
            <w:gridSpan w:val="2"/>
            <w:vMerge w:val="continue"/>
            <w:tcBorders>
              <w:bottom w:val="single" w:color="auto" w:sz="4" w:space="0"/>
            </w:tcBorders>
            <w:vAlign w:val="center"/>
          </w:tcPr>
          <w:p w14:paraId="41753EDB">
            <w:pPr>
              <w:jc w:val="center"/>
              <w:rPr>
                <w:rFonts w:hint="eastAsia" w:ascii="仿宋" w:hAnsi="仿宋" w:eastAsia="仿宋" w:cs="仿宋"/>
                <w:kern w:val="0"/>
                <w:sz w:val="28"/>
                <w:szCs w:val="28"/>
              </w:rPr>
            </w:pPr>
          </w:p>
        </w:tc>
        <w:tc>
          <w:tcPr>
            <w:tcW w:w="1440" w:type="dxa"/>
            <w:gridSpan w:val="2"/>
            <w:tcBorders>
              <w:bottom w:val="single" w:color="auto" w:sz="4" w:space="0"/>
            </w:tcBorders>
            <w:vAlign w:val="center"/>
          </w:tcPr>
          <w:p w14:paraId="75B237AC">
            <w:pPr>
              <w:ind w:firstLine="280" w:firstLineChars="100"/>
              <w:rPr>
                <w:rFonts w:hint="eastAsia" w:ascii="仿宋" w:hAnsi="仿宋" w:eastAsia="仿宋" w:cs="仿宋"/>
                <w:kern w:val="0"/>
                <w:sz w:val="28"/>
                <w:szCs w:val="28"/>
              </w:rPr>
            </w:pPr>
            <w:r>
              <w:rPr>
                <w:rFonts w:hint="eastAsia" w:ascii="仿宋" w:hAnsi="仿宋" w:eastAsia="仿宋" w:cs="仿宋"/>
                <w:kern w:val="0"/>
                <w:sz w:val="28"/>
                <w:szCs w:val="28"/>
              </w:rPr>
              <w:t>邮政编码</w:t>
            </w:r>
          </w:p>
        </w:tc>
        <w:tc>
          <w:tcPr>
            <w:tcW w:w="2880" w:type="dxa"/>
            <w:tcBorders>
              <w:bottom w:val="single" w:color="auto" w:sz="4" w:space="0"/>
            </w:tcBorders>
            <w:vAlign w:val="center"/>
          </w:tcPr>
          <w:p w14:paraId="043349F5">
            <w:pPr>
              <w:jc w:val="center"/>
              <w:rPr>
                <w:rFonts w:hint="eastAsia" w:ascii="仿宋" w:hAnsi="仿宋" w:eastAsia="仿宋" w:cs="仿宋"/>
                <w:kern w:val="0"/>
                <w:sz w:val="28"/>
                <w:szCs w:val="28"/>
              </w:rPr>
            </w:pPr>
          </w:p>
        </w:tc>
        <w:tc>
          <w:tcPr>
            <w:tcW w:w="1626" w:type="dxa"/>
            <w:tcBorders>
              <w:bottom w:val="single" w:color="auto" w:sz="4" w:space="0"/>
            </w:tcBorders>
            <w:vAlign w:val="center"/>
          </w:tcPr>
          <w:p w14:paraId="4B41D3B3">
            <w:pPr>
              <w:jc w:val="center"/>
              <w:rPr>
                <w:rFonts w:hint="eastAsia" w:ascii="仿宋" w:hAnsi="仿宋" w:eastAsia="仿宋" w:cs="仿宋"/>
                <w:kern w:val="0"/>
                <w:sz w:val="28"/>
                <w:szCs w:val="28"/>
              </w:rPr>
            </w:pPr>
          </w:p>
        </w:tc>
        <w:tc>
          <w:tcPr>
            <w:tcW w:w="1080" w:type="dxa"/>
            <w:tcBorders>
              <w:bottom w:val="single" w:color="auto" w:sz="4" w:space="0"/>
            </w:tcBorders>
            <w:vAlign w:val="center"/>
          </w:tcPr>
          <w:p w14:paraId="5319CA88">
            <w:pPr>
              <w:jc w:val="center"/>
              <w:rPr>
                <w:rFonts w:hint="eastAsia" w:ascii="仿宋" w:hAnsi="仿宋" w:eastAsia="仿宋" w:cs="仿宋"/>
                <w:kern w:val="0"/>
                <w:sz w:val="28"/>
                <w:szCs w:val="28"/>
              </w:rPr>
            </w:pPr>
          </w:p>
        </w:tc>
      </w:tr>
      <w:tr w14:paraId="4846C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54122E3C">
            <w:pPr>
              <w:jc w:val="center"/>
              <w:rPr>
                <w:rFonts w:hint="eastAsia" w:ascii="仿宋" w:hAnsi="仿宋" w:eastAsia="仿宋" w:cs="仿宋"/>
                <w:kern w:val="0"/>
                <w:sz w:val="28"/>
                <w:szCs w:val="28"/>
              </w:rPr>
            </w:pPr>
            <w:r>
              <w:rPr>
                <w:rFonts w:hint="eastAsia" w:ascii="仿宋" w:hAnsi="仿宋" w:eastAsia="仿宋" w:cs="仿宋"/>
                <w:kern w:val="0"/>
                <w:sz w:val="28"/>
                <w:szCs w:val="28"/>
              </w:rPr>
              <w:t>成立时间</w:t>
            </w:r>
          </w:p>
        </w:tc>
        <w:tc>
          <w:tcPr>
            <w:tcW w:w="7026" w:type="dxa"/>
            <w:gridSpan w:val="5"/>
            <w:vAlign w:val="center"/>
          </w:tcPr>
          <w:p w14:paraId="1EE6D1CC">
            <w:pPr>
              <w:jc w:val="center"/>
              <w:rPr>
                <w:rFonts w:hint="eastAsia" w:ascii="仿宋" w:hAnsi="仿宋" w:eastAsia="仿宋" w:cs="仿宋"/>
                <w:kern w:val="0"/>
                <w:sz w:val="28"/>
                <w:szCs w:val="28"/>
              </w:rPr>
            </w:pPr>
          </w:p>
        </w:tc>
      </w:tr>
      <w:tr w14:paraId="2CDA4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0F3777B9">
            <w:pPr>
              <w:jc w:val="center"/>
              <w:rPr>
                <w:rFonts w:hint="eastAsia" w:ascii="仿宋" w:hAnsi="仿宋" w:eastAsia="仿宋" w:cs="仿宋"/>
                <w:kern w:val="0"/>
                <w:sz w:val="28"/>
                <w:szCs w:val="28"/>
              </w:rPr>
            </w:pPr>
            <w:r>
              <w:rPr>
                <w:rFonts w:hint="eastAsia" w:ascii="仿宋" w:hAnsi="仿宋" w:eastAsia="仿宋" w:cs="仿宋"/>
                <w:kern w:val="0"/>
                <w:sz w:val="28"/>
                <w:szCs w:val="28"/>
              </w:rPr>
              <w:t>企业性质</w:t>
            </w:r>
          </w:p>
        </w:tc>
        <w:tc>
          <w:tcPr>
            <w:tcW w:w="7026" w:type="dxa"/>
            <w:gridSpan w:val="5"/>
            <w:vAlign w:val="center"/>
          </w:tcPr>
          <w:p w14:paraId="390F15A1">
            <w:pPr>
              <w:jc w:val="center"/>
              <w:rPr>
                <w:rFonts w:hint="eastAsia" w:ascii="仿宋" w:hAnsi="仿宋" w:eastAsia="仿宋" w:cs="仿宋"/>
                <w:kern w:val="0"/>
                <w:sz w:val="28"/>
                <w:szCs w:val="28"/>
              </w:rPr>
            </w:pPr>
          </w:p>
        </w:tc>
      </w:tr>
      <w:tr w14:paraId="2CA3E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2340" w:type="dxa"/>
            <w:gridSpan w:val="3"/>
            <w:vAlign w:val="center"/>
          </w:tcPr>
          <w:p w14:paraId="67FB61C5">
            <w:pPr>
              <w:jc w:val="center"/>
              <w:rPr>
                <w:rFonts w:hint="eastAsia" w:ascii="仿宋" w:hAnsi="仿宋" w:eastAsia="仿宋" w:cs="仿宋"/>
                <w:kern w:val="0"/>
                <w:sz w:val="28"/>
                <w:szCs w:val="28"/>
              </w:rPr>
            </w:pPr>
            <w:r>
              <w:rPr>
                <w:rFonts w:hint="eastAsia" w:ascii="仿宋" w:hAnsi="仿宋" w:eastAsia="仿宋" w:cs="仿宋"/>
                <w:kern w:val="0"/>
                <w:sz w:val="28"/>
                <w:szCs w:val="28"/>
              </w:rPr>
              <w:t>法人营业执照号</w:t>
            </w:r>
          </w:p>
        </w:tc>
        <w:tc>
          <w:tcPr>
            <w:tcW w:w="5946" w:type="dxa"/>
            <w:gridSpan w:val="4"/>
            <w:vAlign w:val="center"/>
          </w:tcPr>
          <w:p w14:paraId="0104ADE6">
            <w:pPr>
              <w:rPr>
                <w:rFonts w:hint="eastAsia" w:ascii="仿宋" w:hAnsi="仿宋" w:eastAsia="仿宋" w:cs="仿宋"/>
                <w:kern w:val="0"/>
                <w:sz w:val="28"/>
                <w:szCs w:val="28"/>
              </w:rPr>
            </w:pPr>
          </w:p>
        </w:tc>
      </w:tr>
      <w:tr w14:paraId="78D20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2340" w:type="dxa"/>
            <w:gridSpan w:val="3"/>
            <w:vAlign w:val="center"/>
          </w:tcPr>
          <w:p w14:paraId="104C9C6B">
            <w:pPr>
              <w:jc w:val="center"/>
              <w:rPr>
                <w:rFonts w:hint="eastAsia" w:ascii="仿宋" w:hAnsi="仿宋" w:eastAsia="仿宋" w:cs="仿宋"/>
                <w:kern w:val="0"/>
                <w:sz w:val="28"/>
                <w:szCs w:val="28"/>
              </w:rPr>
            </w:pPr>
            <w:r>
              <w:rPr>
                <w:rFonts w:hint="eastAsia" w:ascii="仿宋" w:hAnsi="仿宋" w:eastAsia="仿宋" w:cs="仿宋"/>
                <w:kern w:val="0"/>
                <w:sz w:val="28"/>
                <w:szCs w:val="28"/>
              </w:rPr>
              <w:t>固定资产（万元）</w:t>
            </w:r>
          </w:p>
        </w:tc>
        <w:tc>
          <w:tcPr>
            <w:tcW w:w="5946" w:type="dxa"/>
            <w:gridSpan w:val="4"/>
            <w:vAlign w:val="center"/>
          </w:tcPr>
          <w:p w14:paraId="2F2CC9FE">
            <w:pPr>
              <w:rPr>
                <w:rFonts w:hint="eastAsia" w:ascii="仿宋" w:hAnsi="仿宋" w:eastAsia="仿宋" w:cs="仿宋"/>
                <w:kern w:val="0"/>
                <w:sz w:val="28"/>
                <w:szCs w:val="28"/>
              </w:rPr>
            </w:pPr>
          </w:p>
        </w:tc>
      </w:tr>
      <w:tr w14:paraId="5BE8E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080" w:type="dxa"/>
            <w:vMerge w:val="restart"/>
            <w:vAlign w:val="center"/>
          </w:tcPr>
          <w:p w14:paraId="77601681">
            <w:pPr>
              <w:jc w:val="center"/>
              <w:rPr>
                <w:rFonts w:hint="eastAsia" w:ascii="仿宋" w:hAnsi="仿宋" w:eastAsia="仿宋" w:cs="仿宋"/>
                <w:kern w:val="0"/>
                <w:sz w:val="28"/>
                <w:szCs w:val="28"/>
              </w:rPr>
            </w:pPr>
            <w:r>
              <w:rPr>
                <w:rFonts w:hint="eastAsia" w:ascii="仿宋" w:hAnsi="仿宋" w:eastAsia="仿宋" w:cs="仿宋"/>
                <w:kern w:val="0"/>
                <w:sz w:val="28"/>
                <w:szCs w:val="28"/>
              </w:rPr>
              <w:t>开  户</w:t>
            </w:r>
          </w:p>
          <w:p w14:paraId="51D3AD0E">
            <w:pPr>
              <w:jc w:val="center"/>
              <w:rPr>
                <w:rFonts w:hint="eastAsia" w:ascii="仿宋" w:hAnsi="仿宋" w:eastAsia="仿宋" w:cs="仿宋"/>
                <w:kern w:val="0"/>
                <w:sz w:val="28"/>
                <w:szCs w:val="28"/>
              </w:rPr>
            </w:pPr>
            <w:r>
              <w:rPr>
                <w:rFonts w:hint="eastAsia" w:ascii="仿宋" w:hAnsi="仿宋" w:eastAsia="仿宋" w:cs="仿宋"/>
                <w:kern w:val="0"/>
                <w:sz w:val="28"/>
                <w:szCs w:val="28"/>
              </w:rPr>
              <w:t>银  行</w:t>
            </w:r>
          </w:p>
        </w:tc>
        <w:tc>
          <w:tcPr>
            <w:tcW w:w="1260" w:type="dxa"/>
            <w:gridSpan w:val="2"/>
            <w:vAlign w:val="center"/>
          </w:tcPr>
          <w:p w14:paraId="1F28BB23">
            <w:pPr>
              <w:jc w:val="center"/>
              <w:rPr>
                <w:rFonts w:hint="eastAsia" w:ascii="仿宋" w:hAnsi="仿宋" w:eastAsia="仿宋" w:cs="仿宋"/>
                <w:kern w:val="0"/>
                <w:sz w:val="28"/>
                <w:szCs w:val="28"/>
              </w:rPr>
            </w:pPr>
            <w:r>
              <w:rPr>
                <w:rFonts w:hint="eastAsia" w:ascii="仿宋" w:hAnsi="仿宋" w:eastAsia="仿宋" w:cs="仿宋"/>
                <w:kern w:val="0"/>
                <w:sz w:val="28"/>
                <w:szCs w:val="28"/>
              </w:rPr>
              <w:t>名   称</w:t>
            </w:r>
          </w:p>
        </w:tc>
        <w:tc>
          <w:tcPr>
            <w:tcW w:w="5946" w:type="dxa"/>
            <w:gridSpan w:val="4"/>
            <w:vAlign w:val="center"/>
          </w:tcPr>
          <w:p w14:paraId="12F3AD78">
            <w:pPr>
              <w:rPr>
                <w:rFonts w:hint="eastAsia" w:ascii="仿宋" w:hAnsi="仿宋" w:eastAsia="仿宋" w:cs="仿宋"/>
                <w:kern w:val="0"/>
                <w:sz w:val="28"/>
                <w:szCs w:val="28"/>
              </w:rPr>
            </w:pPr>
          </w:p>
        </w:tc>
      </w:tr>
      <w:tr w14:paraId="4601C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080" w:type="dxa"/>
            <w:vMerge w:val="continue"/>
            <w:vAlign w:val="center"/>
          </w:tcPr>
          <w:p w14:paraId="4C01856F">
            <w:pPr>
              <w:rPr>
                <w:rFonts w:hint="eastAsia" w:ascii="仿宋" w:hAnsi="仿宋" w:eastAsia="仿宋" w:cs="仿宋"/>
                <w:kern w:val="0"/>
                <w:sz w:val="28"/>
                <w:szCs w:val="28"/>
              </w:rPr>
            </w:pPr>
          </w:p>
        </w:tc>
        <w:tc>
          <w:tcPr>
            <w:tcW w:w="1260" w:type="dxa"/>
            <w:gridSpan w:val="2"/>
            <w:vAlign w:val="center"/>
          </w:tcPr>
          <w:p w14:paraId="5D963005">
            <w:pPr>
              <w:jc w:val="center"/>
              <w:rPr>
                <w:rFonts w:hint="eastAsia" w:ascii="仿宋" w:hAnsi="仿宋" w:eastAsia="仿宋" w:cs="仿宋"/>
                <w:kern w:val="0"/>
                <w:sz w:val="28"/>
                <w:szCs w:val="28"/>
              </w:rPr>
            </w:pPr>
            <w:r>
              <w:rPr>
                <w:rFonts w:hint="eastAsia" w:ascii="仿宋" w:hAnsi="仿宋" w:eastAsia="仿宋" w:cs="仿宋"/>
                <w:kern w:val="0"/>
                <w:sz w:val="28"/>
                <w:szCs w:val="28"/>
              </w:rPr>
              <w:t>帐   号</w:t>
            </w:r>
          </w:p>
        </w:tc>
        <w:tc>
          <w:tcPr>
            <w:tcW w:w="5946" w:type="dxa"/>
            <w:gridSpan w:val="4"/>
            <w:vAlign w:val="center"/>
          </w:tcPr>
          <w:p w14:paraId="400EFAB1">
            <w:pPr>
              <w:rPr>
                <w:rFonts w:hint="eastAsia" w:ascii="仿宋" w:hAnsi="仿宋" w:eastAsia="仿宋" w:cs="仿宋"/>
                <w:kern w:val="0"/>
                <w:sz w:val="28"/>
                <w:szCs w:val="28"/>
              </w:rPr>
            </w:pPr>
          </w:p>
        </w:tc>
      </w:tr>
    </w:tbl>
    <w:p w14:paraId="367AFAAC">
      <w:pPr>
        <w:tabs>
          <w:tab w:val="left" w:pos="3960"/>
        </w:tabs>
        <w:spacing w:line="500" w:lineRule="exact"/>
        <w:ind w:firstLine="980" w:firstLineChars="350"/>
        <w:rPr>
          <w:rFonts w:hint="eastAsia" w:ascii="仿宋" w:hAnsi="仿宋" w:eastAsia="仿宋" w:cs="仿宋"/>
          <w:kern w:val="0"/>
          <w:sz w:val="28"/>
          <w:szCs w:val="28"/>
        </w:rPr>
      </w:pPr>
    </w:p>
    <w:p w14:paraId="0050A3D8">
      <w:pPr>
        <w:tabs>
          <w:tab w:val="left" w:pos="3960"/>
        </w:tabs>
        <w:spacing w:line="500" w:lineRule="exact"/>
        <w:ind w:firstLine="1680" w:firstLineChars="600"/>
        <w:rPr>
          <w:rFonts w:hint="eastAsia" w:ascii="仿宋" w:hAnsi="仿宋" w:eastAsia="仿宋" w:cs="仿宋"/>
          <w:sz w:val="28"/>
          <w:szCs w:val="28"/>
        </w:rPr>
      </w:pPr>
      <w:r>
        <w:rPr>
          <w:rFonts w:hint="eastAsia" w:ascii="仿宋" w:hAnsi="仿宋" w:eastAsia="仿宋" w:cs="仿宋"/>
          <w:sz w:val="28"/>
          <w:szCs w:val="28"/>
        </w:rPr>
        <w:t xml:space="preserve">             投标人：</w:t>
      </w:r>
      <w:r>
        <w:rPr>
          <w:rFonts w:hint="eastAsia" w:ascii="仿宋" w:hAnsi="仿宋" w:eastAsia="仿宋" w:cs="仿宋"/>
          <w:sz w:val="28"/>
          <w:szCs w:val="28"/>
          <w:u w:val="single"/>
        </w:rPr>
        <w:t xml:space="preserve">               </w:t>
      </w:r>
      <w:r>
        <w:rPr>
          <w:rFonts w:hint="eastAsia" w:ascii="仿宋" w:hAnsi="仿宋" w:eastAsia="仿宋" w:cs="仿宋"/>
          <w:sz w:val="28"/>
          <w:szCs w:val="28"/>
        </w:rPr>
        <w:t>（盖单位公章）</w:t>
      </w:r>
    </w:p>
    <w:p w14:paraId="0E6F4A02">
      <w:pPr>
        <w:spacing w:line="500" w:lineRule="exact"/>
        <w:ind w:firstLine="3500" w:firstLineChars="1250"/>
        <w:rPr>
          <w:rFonts w:hint="eastAsia" w:ascii="仿宋" w:hAnsi="仿宋" w:eastAsia="仿宋" w:cs="仿宋"/>
          <w:sz w:val="28"/>
          <w:szCs w:val="28"/>
        </w:rPr>
      </w:pPr>
      <w:r>
        <w:rPr>
          <w:rFonts w:hint="eastAsia" w:ascii="仿宋" w:hAnsi="仿宋" w:eastAsia="仿宋" w:cs="仿宋"/>
          <w:sz w:val="28"/>
          <w:szCs w:val="28"/>
        </w:rPr>
        <w:t>法定代表人：</w:t>
      </w:r>
      <w:r>
        <w:rPr>
          <w:rFonts w:hint="eastAsia" w:ascii="仿宋" w:hAnsi="仿宋" w:eastAsia="仿宋" w:cs="仿宋"/>
          <w:sz w:val="28"/>
          <w:szCs w:val="28"/>
          <w:u w:val="single"/>
        </w:rPr>
        <w:t xml:space="preserve">             </w:t>
      </w:r>
      <w:r>
        <w:rPr>
          <w:rFonts w:hint="eastAsia" w:ascii="仿宋" w:hAnsi="仿宋" w:eastAsia="仿宋" w:cs="仿宋"/>
          <w:sz w:val="28"/>
          <w:szCs w:val="28"/>
        </w:rPr>
        <w:t>（签字）</w:t>
      </w:r>
    </w:p>
    <w:p w14:paraId="0105D487">
      <w:pPr>
        <w:spacing w:line="500" w:lineRule="exact"/>
        <w:ind w:firstLine="6580" w:firstLineChars="2350"/>
        <w:rPr>
          <w:rFonts w:hint="eastAsia" w:ascii="仿宋" w:hAnsi="仿宋" w:eastAsia="仿宋" w:cs="仿宋"/>
          <w:sz w:val="28"/>
          <w:szCs w:val="28"/>
        </w:rPr>
      </w:pPr>
    </w:p>
    <w:p w14:paraId="4A60BEF2">
      <w:pPr>
        <w:spacing w:line="500" w:lineRule="exact"/>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14:paraId="02448237">
      <w:pPr>
        <w:pStyle w:val="10"/>
        <w:rPr>
          <w:rFonts w:hint="eastAsia" w:ascii="仿宋" w:hAnsi="仿宋" w:eastAsia="仿宋" w:cs="仿宋"/>
          <w:sz w:val="28"/>
          <w:szCs w:val="28"/>
        </w:rPr>
      </w:pPr>
    </w:p>
    <w:p w14:paraId="62F0A139">
      <w:pPr>
        <w:pStyle w:val="2"/>
        <w:numPr>
          <w:ilvl w:val="0"/>
          <w:numId w:val="0"/>
        </w:numPr>
        <w:spacing w:line="360" w:lineRule="exact"/>
        <w:rPr>
          <w:rFonts w:hint="eastAsia" w:ascii="仿宋" w:hAnsi="仿宋" w:eastAsia="仿宋" w:cs="仿宋"/>
          <w:color w:val="000000"/>
          <w:szCs w:val="28"/>
        </w:rPr>
      </w:pPr>
    </w:p>
    <w:p w14:paraId="6D99F715">
      <w:pPr>
        <w:pStyle w:val="2"/>
        <w:numPr>
          <w:ilvl w:val="0"/>
          <w:numId w:val="0"/>
        </w:numPr>
        <w:spacing w:line="360" w:lineRule="exact"/>
        <w:rPr>
          <w:rFonts w:hint="eastAsia" w:ascii="仿宋" w:hAnsi="仿宋" w:eastAsia="仿宋" w:cs="仿宋"/>
          <w:color w:val="000000"/>
          <w:szCs w:val="28"/>
        </w:rPr>
      </w:pPr>
    </w:p>
    <w:p w14:paraId="1B267C88">
      <w:pPr>
        <w:pStyle w:val="3"/>
        <w:ind w:firstLine="560"/>
        <w:rPr>
          <w:rFonts w:hint="eastAsia" w:ascii="仿宋" w:hAnsi="仿宋" w:eastAsia="仿宋" w:cs="仿宋"/>
          <w:color w:val="000000"/>
          <w:sz w:val="28"/>
          <w:szCs w:val="28"/>
        </w:rPr>
      </w:pPr>
    </w:p>
    <w:p w14:paraId="0903FE43">
      <w:pPr>
        <w:pStyle w:val="3"/>
        <w:ind w:firstLine="560"/>
        <w:rPr>
          <w:rFonts w:hint="eastAsia" w:ascii="仿宋" w:hAnsi="仿宋" w:eastAsia="仿宋" w:cs="仿宋"/>
          <w:color w:val="000000"/>
          <w:sz w:val="28"/>
          <w:szCs w:val="28"/>
        </w:rPr>
      </w:pPr>
    </w:p>
    <w:p w14:paraId="78F5F547">
      <w:pPr>
        <w:pStyle w:val="2"/>
        <w:numPr>
          <w:ilvl w:val="0"/>
          <w:numId w:val="0"/>
        </w:numPr>
        <w:spacing w:line="360" w:lineRule="exact"/>
        <w:rPr>
          <w:rFonts w:hint="eastAsia" w:ascii="仿宋" w:hAnsi="仿宋" w:eastAsia="仿宋" w:cs="仿宋"/>
          <w:color w:val="000000"/>
          <w:szCs w:val="28"/>
          <w:lang w:eastAsia="zh-CN"/>
        </w:rPr>
      </w:pPr>
      <w:r>
        <w:rPr>
          <w:rFonts w:hint="eastAsia" w:ascii="仿宋" w:hAnsi="仿宋" w:eastAsia="仿宋" w:cs="仿宋"/>
          <w:color w:val="000000"/>
          <w:szCs w:val="28"/>
        </w:rPr>
        <w:t>附件</w:t>
      </w:r>
      <w:bookmarkStart w:id="13" w:name="_Toc267598738"/>
      <w:r>
        <w:rPr>
          <w:rFonts w:hint="eastAsia" w:ascii="仿宋" w:hAnsi="仿宋" w:eastAsia="仿宋" w:cs="仿宋"/>
          <w:color w:val="000000"/>
          <w:szCs w:val="28"/>
          <w:lang w:val="en-US" w:eastAsia="zh-CN"/>
        </w:rPr>
        <w:t>3</w:t>
      </w:r>
    </w:p>
    <w:p w14:paraId="21CE605B">
      <w:pPr>
        <w:pStyle w:val="2"/>
        <w:numPr>
          <w:ilvl w:val="0"/>
          <w:numId w:val="0"/>
        </w:numPr>
        <w:spacing w:line="360" w:lineRule="exact"/>
        <w:ind w:left="420" w:leftChars="200"/>
        <w:jc w:val="center"/>
        <w:rPr>
          <w:rFonts w:hint="eastAsia" w:ascii="仿宋" w:hAnsi="仿宋" w:eastAsia="仿宋" w:cs="仿宋"/>
          <w:szCs w:val="28"/>
        </w:rPr>
      </w:pPr>
      <w:r>
        <w:rPr>
          <w:rFonts w:hint="eastAsia" w:ascii="仿宋" w:hAnsi="仿宋" w:eastAsia="仿宋" w:cs="仿宋"/>
          <w:szCs w:val="28"/>
        </w:rPr>
        <w:t>法定代表人身份证明及授权委托书</w:t>
      </w:r>
      <w:bookmarkEnd w:id="13"/>
    </w:p>
    <w:p w14:paraId="61FAABE6">
      <w:pPr>
        <w:spacing w:line="360" w:lineRule="exact"/>
        <w:ind w:firstLine="562" w:firstLineChars="200"/>
        <w:rPr>
          <w:rFonts w:hint="eastAsia" w:ascii="仿宋" w:hAnsi="仿宋" w:eastAsia="仿宋" w:cs="仿宋"/>
          <w:b/>
          <w:sz w:val="28"/>
          <w:szCs w:val="28"/>
        </w:rPr>
      </w:pPr>
    </w:p>
    <w:p w14:paraId="122566A2">
      <w:pPr>
        <w:spacing w:line="360" w:lineRule="exact"/>
        <w:ind w:firstLine="562" w:firstLineChars="200"/>
        <w:jc w:val="center"/>
        <w:rPr>
          <w:rFonts w:hint="eastAsia" w:ascii="仿宋" w:hAnsi="仿宋" w:eastAsia="仿宋" w:cs="仿宋"/>
          <w:b/>
          <w:sz w:val="28"/>
          <w:szCs w:val="28"/>
        </w:rPr>
      </w:pPr>
      <w:r>
        <w:rPr>
          <w:rFonts w:hint="eastAsia" w:ascii="仿宋" w:hAnsi="仿宋" w:eastAsia="仿宋" w:cs="仿宋"/>
          <w:b/>
          <w:sz w:val="28"/>
          <w:szCs w:val="28"/>
        </w:rPr>
        <w:t>法定代表人身份证明</w:t>
      </w:r>
    </w:p>
    <w:p w14:paraId="4B372064">
      <w:pPr>
        <w:tabs>
          <w:tab w:val="left" w:pos="556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06957DB4">
      <w:pPr>
        <w:tabs>
          <w:tab w:val="left" w:pos="556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竞争单位名称：</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5857134B">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7EB519E9">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单位性质：</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2ECF4FCA">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331E8E11">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地址：</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2F2E71A9">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5491D60F">
      <w:pPr>
        <w:tabs>
          <w:tab w:val="left" w:pos="2520"/>
          <w:tab w:val="left" w:pos="3836"/>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成立时间：</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月</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14:paraId="390EADAD">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7DC14258">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经营期限：</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509750BB">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7D16F29F">
      <w:pPr>
        <w:tabs>
          <w:tab w:val="left" w:pos="1580"/>
          <w:tab w:val="left" w:pos="3260"/>
          <w:tab w:val="left" w:pos="4840"/>
          <w:tab w:val="left" w:pos="6300"/>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性别</w:t>
      </w:r>
      <w:r>
        <w:rPr>
          <w:rFonts w:hint="eastAsia" w:ascii="仿宋" w:hAnsi="仿宋" w:eastAsia="仿宋" w:cs="仿宋"/>
          <w:spacing w:val="-1"/>
          <w:kern w:val="0"/>
          <w:sz w:val="28"/>
          <w:szCs w:val="28"/>
        </w:rPr>
        <w:t>：</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kern w:val="0"/>
          <w:sz w:val="28"/>
          <w:szCs w:val="28"/>
        </w:rPr>
        <w:t>龄：</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职务：</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5B7CE79E">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37B9A909">
      <w:pPr>
        <w:tabs>
          <w:tab w:val="left" w:pos="3360"/>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系</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（竞争单位名称）的法定代表人。</w:t>
      </w:r>
    </w:p>
    <w:p w14:paraId="451EA1B3">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DA94AB6">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特此证明。</w:t>
      </w:r>
    </w:p>
    <w:p w14:paraId="7368CB33">
      <w:pPr>
        <w:tabs>
          <w:tab w:val="left" w:pos="142"/>
        </w:tabs>
        <w:spacing w:line="3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mc:AlternateContent>
          <mc:Choice Requires="wps">
            <w:drawing>
              <wp:anchor distT="0" distB="0" distL="114300" distR="114300" simplePos="0" relativeHeight="251659264" behindDoc="0" locked="0" layoutInCell="1" allowOverlap="1">
                <wp:simplePos x="0" y="0"/>
                <wp:positionH relativeFrom="column">
                  <wp:posOffset>388620</wp:posOffset>
                </wp:positionH>
                <wp:positionV relativeFrom="paragraph">
                  <wp:posOffset>68580</wp:posOffset>
                </wp:positionV>
                <wp:extent cx="3543300" cy="1821180"/>
                <wp:effectExtent l="5080" t="5080" r="13970" b="21590"/>
                <wp:wrapNone/>
                <wp:docPr id="1" name="矩形 1"/>
                <wp:cNvGraphicFramePr/>
                <a:graphic xmlns:a="http://schemas.openxmlformats.org/drawingml/2006/main">
                  <a:graphicData uri="http://schemas.microsoft.com/office/word/2010/wordprocessingShape">
                    <wps:wsp>
                      <wps:cNvSpPr/>
                      <wps:spPr>
                        <a:xfrm>
                          <a:off x="0" y="0"/>
                          <a:ext cx="3543300" cy="1821180"/>
                        </a:xfrm>
                        <a:prstGeom prst="rect">
                          <a:avLst/>
                        </a:prstGeom>
                        <a:no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30.6pt;margin-top:5.4pt;height:143.4pt;width:279pt;z-index:251659264;mso-width-relative:page;mso-height-relative:page;" filled="f" stroked="t" coordsize="21600,21600" o:gfxdata="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Fwkkj7WAAAACQEAAA8AAAAAAAAAAQAgAAAAIgAAAGRycy9kb3ducmV2Lnht&#10;bFBLAQIUABQAAAAIAIdO4kBYCyuE+wEAAAQEAAAOAAAAAAAAAAEAIAAAACUBAABkcnMvZTJvRG9j&#10;LnhtbFBLBQYAAAAABgAGAFkBAACSBQAAAAA=&#10;">
                <v:fill on="f" focussize="0,0"/>
                <v:stroke color="#000000" joinstyle="miter"/>
                <v:imagedata o:title=""/>
                <o:lock v:ext="edit" aspectratio="f"/>
              </v:rect>
            </w:pict>
          </mc:Fallback>
        </mc:AlternateContent>
      </w:r>
    </w:p>
    <w:p w14:paraId="756AB2C5">
      <w:pPr>
        <w:tabs>
          <w:tab w:val="left" w:pos="142"/>
        </w:tabs>
        <w:spacing w:line="360" w:lineRule="exact"/>
        <w:ind w:firstLine="560" w:firstLineChars="200"/>
        <w:rPr>
          <w:rFonts w:hint="eastAsia" w:ascii="仿宋" w:hAnsi="仿宋" w:eastAsia="仿宋" w:cs="仿宋"/>
          <w:sz w:val="28"/>
          <w:szCs w:val="28"/>
        </w:rPr>
      </w:pPr>
    </w:p>
    <w:p w14:paraId="14433434">
      <w:pPr>
        <w:tabs>
          <w:tab w:val="left" w:pos="142"/>
        </w:tabs>
        <w:spacing w:line="360" w:lineRule="exact"/>
        <w:ind w:firstLine="560" w:firstLineChars="200"/>
        <w:rPr>
          <w:rFonts w:hint="eastAsia" w:ascii="仿宋" w:hAnsi="仿宋" w:eastAsia="仿宋" w:cs="仿宋"/>
          <w:sz w:val="28"/>
          <w:szCs w:val="28"/>
        </w:rPr>
      </w:pPr>
    </w:p>
    <w:p w14:paraId="6E6082B4">
      <w:pPr>
        <w:tabs>
          <w:tab w:val="left" w:pos="142"/>
        </w:tabs>
        <w:spacing w:line="360" w:lineRule="exact"/>
        <w:ind w:firstLine="560" w:firstLineChars="200"/>
        <w:rPr>
          <w:rFonts w:hint="eastAsia" w:ascii="仿宋" w:hAnsi="仿宋" w:eastAsia="仿宋" w:cs="仿宋"/>
          <w:sz w:val="28"/>
          <w:szCs w:val="28"/>
        </w:rPr>
      </w:pPr>
    </w:p>
    <w:p w14:paraId="2A2BE97E">
      <w:pPr>
        <w:tabs>
          <w:tab w:val="left" w:pos="142"/>
        </w:tabs>
        <w:spacing w:line="360" w:lineRule="exact"/>
        <w:ind w:firstLine="980" w:firstLineChars="350"/>
        <w:rPr>
          <w:rFonts w:hint="eastAsia" w:ascii="仿宋" w:hAnsi="仿宋" w:eastAsia="仿宋" w:cs="仿宋"/>
          <w:sz w:val="28"/>
          <w:szCs w:val="28"/>
        </w:rPr>
      </w:pPr>
      <w:r>
        <w:rPr>
          <w:rFonts w:hint="eastAsia" w:ascii="仿宋" w:hAnsi="仿宋" w:eastAsia="仿宋" w:cs="仿宋"/>
          <w:sz w:val="28"/>
          <w:szCs w:val="28"/>
        </w:rPr>
        <w:t xml:space="preserve">（该处粘贴法定代表人身份证复印件）  </w:t>
      </w:r>
    </w:p>
    <w:p w14:paraId="120F29D9">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5A081AE6">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761D3044">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106901D6">
      <w:pPr>
        <w:tabs>
          <w:tab w:val="left" w:pos="5460"/>
        </w:tabs>
        <w:autoSpaceDE w:val="0"/>
        <w:autoSpaceDN w:val="0"/>
        <w:adjustRightInd w:val="0"/>
        <w:snapToGrid w:val="0"/>
        <w:spacing w:before="156" w:beforeLines="50"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竞争单位：</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spacing w:val="-1"/>
          <w:kern w:val="0"/>
          <w:sz w:val="28"/>
          <w:szCs w:val="28"/>
        </w:rPr>
        <w:t>（</w:t>
      </w:r>
      <w:r>
        <w:rPr>
          <w:rFonts w:hint="eastAsia" w:ascii="仿宋" w:hAnsi="仿宋" w:eastAsia="仿宋" w:cs="仿宋"/>
          <w:kern w:val="0"/>
          <w:sz w:val="28"/>
          <w:szCs w:val="28"/>
        </w:rPr>
        <w:t>盖单位公章）</w:t>
      </w:r>
    </w:p>
    <w:p w14:paraId="089E7B7F">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6DD31F9">
      <w:pPr>
        <w:tabs>
          <w:tab w:val="left" w:pos="4935"/>
          <w:tab w:val="left" w:pos="5460"/>
          <w:tab w:val="left" w:pos="6400"/>
        </w:tabs>
        <w:autoSpaceDE w:val="0"/>
        <w:autoSpaceDN w:val="0"/>
        <w:adjustRightInd w:val="0"/>
        <w:snapToGrid w:val="0"/>
        <w:spacing w:line="360" w:lineRule="exact"/>
        <w:ind w:firstLine="560" w:firstLineChars="200"/>
        <w:jc w:val="right"/>
        <w:rPr>
          <w:rFonts w:hint="eastAsia" w:ascii="仿宋" w:hAnsi="仿宋" w:eastAsia="仿宋" w:cs="仿宋"/>
          <w:sz w:val="28"/>
          <w:szCs w:val="28"/>
        </w:rPr>
      </w:pPr>
      <w:r>
        <w:rPr>
          <w:rFonts w:hint="eastAsia" w:ascii="仿宋" w:hAnsi="仿宋" w:eastAsia="仿宋" w:cs="仿宋"/>
          <w:kern w:val="0"/>
          <w:sz w:val="28"/>
          <w:szCs w:val="28"/>
          <w:u w:val="single"/>
        </w:rPr>
        <w:tab/>
      </w:r>
      <w:r>
        <w:rPr>
          <w:rFonts w:hint="eastAsia" w:ascii="仿宋" w:hAnsi="仿宋" w:eastAsia="仿宋" w:cs="仿宋"/>
          <w:spacing w:val="-1"/>
          <w:kern w:val="0"/>
          <w:sz w:val="28"/>
          <w:szCs w:val="28"/>
        </w:rPr>
        <w:t>年</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rPr>
        <w:t>日</w:t>
      </w:r>
    </w:p>
    <w:p w14:paraId="7AFE97CA">
      <w:pPr>
        <w:rPr>
          <w:rFonts w:hint="eastAsia" w:ascii="仿宋" w:hAnsi="仿宋" w:eastAsia="仿宋" w:cs="仿宋"/>
          <w:color w:val="FF000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911E5C"/>
    <w:multiLevelType w:val="singleLevel"/>
    <w:tmpl w:val="8D911E5C"/>
    <w:lvl w:ilvl="0" w:tentative="0">
      <w:start w:val="1"/>
      <w:numFmt w:val="chineseCounting"/>
      <w:suff w:val="nothing"/>
      <w:lvlText w:val="%1、"/>
      <w:lvlJc w:val="left"/>
      <w:rPr>
        <w:rFonts w:hint="eastAsia"/>
      </w:rPr>
    </w:lvl>
  </w:abstractNum>
  <w:abstractNum w:abstractNumId="1">
    <w:nsid w:val="BCB73F4F"/>
    <w:multiLevelType w:val="singleLevel"/>
    <w:tmpl w:val="BCB73F4F"/>
    <w:lvl w:ilvl="0" w:tentative="0">
      <w:start w:val="1"/>
      <w:numFmt w:val="decimal"/>
      <w:suff w:val="nothing"/>
      <w:lvlText w:val="（%1）"/>
      <w:lvlJc w:val="left"/>
    </w:lvl>
  </w:abstractNum>
  <w:abstractNum w:abstractNumId="2">
    <w:nsid w:val="00000002"/>
    <w:multiLevelType w:val="singleLevel"/>
    <w:tmpl w:val="00000002"/>
    <w:lvl w:ilvl="0" w:tentative="0">
      <w:start w:val="1"/>
      <w:numFmt w:val="upperLetter"/>
      <w:pStyle w:val="2"/>
      <w:lvlText w:val="%1、"/>
      <w:lvlJc w:val="left"/>
      <w:pPr>
        <w:tabs>
          <w:tab w:val="left" w:pos="4121"/>
        </w:tabs>
        <w:ind w:left="4121" w:hanging="480"/>
      </w:pPr>
      <w:rPr>
        <w:rFonts w:hint="eastAsia"/>
      </w:rPr>
    </w:lvl>
  </w:abstractNum>
  <w:abstractNum w:abstractNumId="3">
    <w:nsid w:val="104B114E"/>
    <w:multiLevelType w:val="singleLevel"/>
    <w:tmpl w:val="104B114E"/>
    <w:lvl w:ilvl="0" w:tentative="0">
      <w:start w:val="1"/>
      <w:numFmt w:val="decimal"/>
      <w:lvlText w:val="%1."/>
      <w:lvlJc w:val="left"/>
      <w:pPr>
        <w:tabs>
          <w:tab w:val="left" w:pos="312"/>
        </w:tabs>
      </w:pPr>
    </w:lvl>
  </w:abstractNum>
  <w:abstractNum w:abstractNumId="4">
    <w:nsid w:val="261C4C7E"/>
    <w:multiLevelType w:val="singleLevel"/>
    <w:tmpl w:val="261C4C7E"/>
    <w:lvl w:ilvl="0" w:tentative="0">
      <w:start w:val="1"/>
      <w:numFmt w:val="decimal"/>
      <w:lvlText w:val="%1."/>
      <w:lvlJc w:val="left"/>
      <w:pPr>
        <w:tabs>
          <w:tab w:val="left" w:pos="312"/>
        </w:tabs>
      </w:pPr>
    </w:lvl>
  </w:abstractNum>
  <w:abstractNum w:abstractNumId="5">
    <w:nsid w:val="387130A0"/>
    <w:multiLevelType w:val="singleLevel"/>
    <w:tmpl w:val="387130A0"/>
    <w:lvl w:ilvl="0" w:tentative="0">
      <w:start w:val="1"/>
      <w:numFmt w:val="decimal"/>
      <w:suff w:val="nothing"/>
      <w:lvlText w:val="%1、"/>
      <w:lvlJc w:val="left"/>
    </w:lvl>
  </w:abstractNum>
  <w:abstractNum w:abstractNumId="6">
    <w:nsid w:val="49EC9BCB"/>
    <w:multiLevelType w:val="singleLevel"/>
    <w:tmpl w:val="49EC9BCB"/>
    <w:lvl w:ilvl="0" w:tentative="0">
      <w:start w:val="6"/>
      <w:numFmt w:val="chineseCounting"/>
      <w:suff w:val="nothing"/>
      <w:lvlText w:val="%1、"/>
      <w:lvlJc w:val="left"/>
      <w:rPr>
        <w:rFonts w:hint="eastAsia"/>
      </w:rPr>
    </w:lvl>
  </w:abstractNum>
  <w:num w:numId="1">
    <w:abstractNumId w:val="2"/>
  </w:num>
  <w:num w:numId="2">
    <w:abstractNumId w:val="0"/>
  </w:num>
  <w:num w:numId="3">
    <w:abstractNumId w:val="3"/>
  </w:num>
  <w:num w:numId="4">
    <w:abstractNumId w:val="1"/>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I2NTc5ODc2MjU3N2YyYTliNjc0ZTNjNTA3YTQ4YzkifQ=="/>
  </w:docVars>
  <w:rsids>
    <w:rsidRoot w:val="39033176"/>
    <w:rsid w:val="045F57E3"/>
    <w:rsid w:val="0E0128A0"/>
    <w:rsid w:val="16323D88"/>
    <w:rsid w:val="16AE1013"/>
    <w:rsid w:val="2BDA3680"/>
    <w:rsid w:val="2FB24E52"/>
    <w:rsid w:val="39033176"/>
    <w:rsid w:val="3D503F5D"/>
    <w:rsid w:val="402A70CA"/>
    <w:rsid w:val="4259393D"/>
    <w:rsid w:val="43CD2291"/>
    <w:rsid w:val="4FBE46F2"/>
    <w:rsid w:val="53493E30"/>
    <w:rsid w:val="618E2D9D"/>
    <w:rsid w:val="622362BD"/>
    <w:rsid w:val="62E72673"/>
    <w:rsid w:val="680026D2"/>
    <w:rsid w:val="687C4877"/>
    <w:rsid w:val="6DC679C3"/>
    <w:rsid w:val="7A3C6DB5"/>
    <w:rsid w:val="7B1D55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3"/>
    <w:qFormat/>
    <w:uiPriority w:val="0"/>
    <w:pPr>
      <w:keepNext/>
      <w:numPr>
        <w:ilvl w:val="0"/>
        <w:numId w:val="1"/>
      </w:numPr>
      <w:outlineLvl w:val="2"/>
    </w:pPr>
    <w:rPr>
      <w:b/>
      <w:sz w:val="28"/>
      <w:szCs w:val="20"/>
    </w:rPr>
  </w:style>
  <w:style w:type="character" w:default="1" w:styleId="7">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styleId="3">
    <w:name w:val="Normal Indent"/>
    <w:basedOn w:val="1"/>
    <w:qFormat/>
    <w:uiPriority w:val="0"/>
    <w:pPr>
      <w:ind w:firstLine="420" w:firstLineChars="200"/>
    </w:pPr>
  </w:style>
  <w:style w:type="paragraph" w:styleId="4">
    <w:name w:val="Body Text"/>
    <w:basedOn w:val="1"/>
    <w:next w:val="1"/>
    <w:qFormat/>
    <w:uiPriority w:val="0"/>
    <w:pPr>
      <w:spacing w:after="120" w:afterLines="0"/>
    </w:p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paragraph" w:customStyle="1" w:styleId="9">
    <w:name w:val="Heading3"/>
    <w:basedOn w:val="1"/>
    <w:next w:val="1"/>
    <w:qFormat/>
    <w:uiPriority w:val="0"/>
    <w:pPr>
      <w:keepNext/>
      <w:keepLines/>
      <w:spacing w:before="260" w:after="260" w:line="415" w:lineRule="auto"/>
      <w:ind w:firstLine="137" w:firstLineChars="49"/>
      <w:textAlignment w:val="baseline"/>
    </w:pPr>
    <w:rPr>
      <w:rFonts w:ascii="黑体" w:hAnsi="宋体" w:eastAsia="黑体"/>
      <w:bCs/>
      <w:sz w:val="28"/>
      <w:szCs w:val="28"/>
    </w:rPr>
  </w:style>
  <w:style w:type="paragraph" w:customStyle="1" w:styleId="10">
    <w:name w:val="标准正文"/>
    <w:basedOn w:val="1"/>
    <w:qFormat/>
    <w:uiPriority w:val="0"/>
    <w:pPr>
      <w:tabs>
        <w:tab w:val="left" w:pos="900"/>
        <w:tab w:val="left" w:pos="1620"/>
      </w:tabs>
      <w:spacing w:line="300" w:lineRule="auto"/>
      <w:ind w:firstLine="538"/>
    </w:pPr>
    <w:rPr>
      <w:rFonts w:ascii="仿宋_GB2312" w:hAnsi="宋体" w:eastAsia="仿宋_GB2312"/>
      <w:kern w:val="0"/>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3253</Words>
  <Characters>3477</Characters>
  <Lines>0</Lines>
  <Paragraphs>0</Paragraphs>
  <TotalTime>1</TotalTime>
  <ScaleCrop>false</ScaleCrop>
  <LinksUpToDate>false</LinksUpToDate>
  <CharactersWithSpaces>3692</CharactersWithSpaces>
  <Application>WPS Office_12.1.0.18166_F1E327BC-269C-435d-A152-05C5408002CA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2025-02-19T04:05:00Z</dcterms:created>
  <dc:creator>王楠</dc:creator>
  <cp:lastModifiedBy>Reus</cp:lastModifiedBy>
  <dcterms:modified xsi:type="dcterms:W3CDTF">2025-04-01T09:31:27Z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2052-12.1.0.18166</vt:lpwstr>
  </property>
  <property fmtid="{D5CDD505-2E9C-101B-9397-08002B2CF9AE}" pid="3" name="KSOTemplateDocerSaveRecord">
    <vt:lpwstr>eyJoZGlkIjoiZWRjMzBlY2I0MGM2OTg1OTRmY2Y0NDNjNGQ2ODQ5NjIiLCJ1c2VySWQiOiIzNDE5MjczNjAifQ==</vt:lpwstr>
  </property>
  <property fmtid="{D5CDD505-2E9C-101B-9397-08002B2CF9AE}" pid="4" name="ICV">
    <vt:lpwstr>E14B653DFB6E46D18EC61833A52F13B0_13</vt:lpwstr>
  </property>
</Properties>
</file>