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8EB4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center"/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</w:pPr>
    </w:p>
    <w:p w14:paraId="0D1EC481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center"/>
        <w:rPr>
          <w:rFonts w:hint="default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软件运维项目要求</w:t>
      </w:r>
    </w:p>
    <w:p w14:paraId="65327142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7246CB57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一、报价供应商资格条件：</w:t>
      </w:r>
    </w:p>
    <w:p w14:paraId="667184EE">
      <w:pPr>
        <w:pStyle w:val="6"/>
        <w:spacing w:before="0" w:beforeAutospacing="0" w:after="0" w:afterAutospacing="0" w:line="560" w:lineRule="atLeast"/>
        <w:ind w:firstLine="56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/>
          <w:sz w:val="28"/>
          <w:szCs w:val="28"/>
        </w:rPr>
        <w:t>符合《中华人民共和国政府采购法》第二十二条资格条件：</w:t>
      </w:r>
    </w:p>
    <w:p w14:paraId="67D8204C">
      <w:pPr>
        <w:pStyle w:val="6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1.具有独立承担民事责任的能力；</w:t>
      </w:r>
    </w:p>
    <w:p w14:paraId="53665F48">
      <w:pPr>
        <w:pStyle w:val="6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2.具有良好的商业信誉和健全的财务会计制度；</w:t>
      </w:r>
    </w:p>
    <w:p w14:paraId="231D8473">
      <w:pPr>
        <w:pStyle w:val="6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3.具有履行合同所必需的设备和专业技术能力；</w:t>
      </w:r>
    </w:p>
    <w:p w14:paraId="55ABC33B">
      <w:pPr>
        <w:pStyle w:val="6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4.有依法缴纳税收和社会保障资金的良好记录；</w:t>
      </w:r>
    </w:p>
    <w:p w14:paraId="6E56716C">
      <w:pPr>
        <w:pStyle w:val="6"/>
        <w:spacing w:before="0" w:beforeAutospacing="0" w:after="0" w:afterAutospacing="0" w:line="560" w:lineRule="atLeast"/>
        <w:ind w:firstLine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5.参加政府采购活动前3年内，在经营活动中没有重大违法记录；</w:t>
      </w:r>
    </w:p>
    <w:p w14:paraId="68573A3F">
      <w:pPr>
        <w:pStyle w:val="6"/>
        <w:spacing w:before="0" w:beforeAutospacing="0" w:after="0" w:afterAutospacing="0" w:line="560" w:lineRule="atLeast"/>
        <w:ind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6.法律、行政法规规定的其他条件。</w:t>
      </w:r>
    </w:p>
    <w:p w14:paraId="4C20E341">
      <w:pPr>
        <w:pStyle w:val="6"/>
        <w:spacing w:before="0" w:beforeAutospacing="0" w:after="0" w:afterAutospacing="0" w:line="560" w:lineRule="atLeast"/>
        <w:ind w:firstLine="56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7.本项目不接受联合体投标。</w:t>
      </w:r>
    </w:p>
    <w:p w14:paraId="21489A5B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上述资格条件提供相关证明材料。</w:t>
      </w:r>
    </w:p>
    <w:p w14:paraId="66D8FAE0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二、采购要求</w:t>
      </w:r>
    </w:p>
    <w:p w14:paraId="709A3615">
      <w:pPr>
        <w:pStyle w:val="6"/>
        <w:spacing w:before="0" w:beforeAutospacing="0" w:after="0" w:afterAutospacing="0" w:line="560" w:lineRule="atLeast"/>
        <w:ind w:left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具有国家或有关政府部门颁发的具有相关经营范围的营业执照</w:t>
      </w:r>
      <w:r>
        <w:rPr>
          <w:rFonts w:hint="eastAsia" w:cs="宋体"/>
          <w:sz w:val="28"/>
          <w:szCs w:val="28"/>
          <w:lang w:eastAsia="zh-CN"/>
        </w:rPr>
        <w:t>。</w:t>
      </w:r>
    </w:p>
    <w:p w14:paraId="2FCFC800">
      <w:pPr>
        <w:pStyle w:val="6"/>
        <w:spacing w:before="0" w:beforeAutospacing="0" w:after="0" w:afterAutospacing="0" w:line="560" w:lineRule="atLeast"/>
        <w:ind w:left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cs="宋体"/>
          <w:sz w:val="28"/>
          <w:szCs w:val="28"/>
          <w:lang w:val="en-US"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期内供应商须7*24小时电话响应，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小时</w:t>
      </w:r>
      <w:r>
        <w:rPr>
          <w:rFonts w:hint="eastAsia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到达现场</w:t>
      </w:r>
      <w:r>
        <w:rPr>
          <w:rFonts w:hint="eastAsia" w:cs="宋体"/>
          <w:sz w:val="28"/>
          <w:szCs w:val="28"/>
          <w:lang w:val="en-US" w:eastAsia="zh-CN"/>
        </w:rPr>
        <w:t>并协助采购方将问题处理完毕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，所提供</w:t>
      </w:r>
      <w:r>
        <w:rPr>
          <w:rFonts w:hint="eastAsia" w:cs="宋体"/>
          <w:sz w:val="28"/>
          <w:szCs w:val="28"/>
          <w:lang w:val="en-US" w:eastAsia="zh-CN"/>
        </w:rPr>
        <w:t>服务3年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质保。</w:t>
      </w:r>
    </w:p>
    <w:p w14:paraId="63FE8E41">
      <w:pPr>
        <w:pStyle w:val="6"/>
        <w:spacing w:before="0" w:beforeAutospacing="0" w:after="0" w:afterAutospacing="0" w:line="560" w:lineRule="atLeast"/>
        <w:ind w:left="560"/>
        <w:jc w:val="both"/>
        <w:rPr>
          <w:rFonts w:hint="eastAsia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为避免低价低质恶性竞争，需实事求是报价，如有违反市场价格规律恶意以低价谋取中标后，不能按照招标人实际需求提供合格服务或设备设施的，一律按无效标处理并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上报财政部门予以相应处罚</w:t>
      </w:r>
      <w:r>
        <w:rPr>
          <w:rFonts w:hint="eastAsia" w:cs="宋体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1A6F2B4F">
      <w:pPr>
        <w:pStyle w:val="6"/>
        <w:spacing w:before="0" w:beforeAutospacing="0" w:after="0" w:afterAutospacing="0" w:line="560" w:lineRule="atLeast"/>
        <w:ind w:left="560"/>
        <w:jc w:val="both"/>
        <w:rPr>
          <w:rFonts w:hint="eastAsia" w:cs="宋体"/>
          <w:kern w:val="0"/>
          <w:sz w:val="28"/>
          <w:szCs w:val="28"/>
          <w:highlight w:val="none"/>
          <w:lang w:val="en-US" w:eastAsia="zh-CN" w:bidi="ar-SA"/>
        </w:rPr>
      </w:pPr>
    </w:p>
    <w:p w14:paraId="6D1AB696">
      <w:pPr>
        <w:pStyle w:val="6"/>
        <w:spacing w:before="0" w:beforeAutospacing="0" w:after="0" w:afterAutospacing="0" w:line="560" w:lineRule="atLeast"/>
        <w:ind w:left="560"/>
        <w:jc w:val="both"/>
        <w:rPr>
          <w:rFonts w:hint="eastAsia" w:cs="宋体"/>
          <w:kern w:val="0"/>
          <w:sz w:val="28"/>
          <w:szCs w:val="28"/>
          <w:highlight w:val="none"/>
          <w:lang w:val="en-US" w:eastAsia="zh-CN" w:bidi="ar-SA"/>
        </w:rPr>
      </w:pPr>
    </w:p>
    <w:p w14:paraId="7A43586D">
      <w:pPr>
        <w:pStyle w:val="6"/>
        <w:spacing w:before="0" w:beforeAutospacing="0" w:after="0" w:afterAutospacing="0" w:line="560" w:lineRule="atLeast"/>
        <w:jc w:val="both"/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三、详细参数</w:t>
      </w:r>
    </w:p>
    <w:p w14:paraId="3792573C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240" w:lineRule="auto"/>
        <w:ind w:left="0" w:leftChars="0" w:firstLine="0" w:firstLineChars="0"/>
        <w:rPr>
          <w:rFonts w:hint="eastAsia" w:cs="Times New Roman"/>
          <w:b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44"/>
          <w:sz w:val="24"/>
          <w:szCs w:val="24"/>
          <w:lang w:val="en-US" w:eastAsia="zh-CN" w:bidi="ar-SA"/>
        </w:rPr>
        <w:t>（一）产品基本要求：</w:t>
      </w:r>
    </w:p>
    <w:p w14:paraId="2A881A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jc w:val="left"/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1.提供资产清点、风险评估、合规基线、微隔离、入侵检测、防病毒、威胁猎杀、威胁溯源等安全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服务</w:t>
      </w: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，服务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三年。</w:t>
      </w:r>
    </w:p>
    <w:p w14:paraId="14CAFFE3"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default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 xml:space="preserve">    2.操作系统适配要求需支持以下环境：</w:t>
      </w:r>
    </w:p>
    <w:p w14:paraId="13745435"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firstLine="480" w:firstLineChars="200"/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（1）Linux操作系统：CentOS7、CentOS8、Ubuntu16、Ubuntu17、Ubuntu18、Ubuntu19、Ubuntu20、Redhat7、Suse15、Suse12、麒麟Kylin V10、openEuler21、openEuler22等；</w:t>
      </w:r>
    </w:p>
    <w:p w14:paraId="4E4A15DB"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firstLine="480" w:firstLineChars="200"/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lang w:val="en-US" w:eastAsia="zh-CN" w:bidi="ar-SA"/>
        </w:rPr>
        <w:t>（2）Window操作系统：Windows7 x64、Windows10 x64、Windows Server 2008 r2、Windows Server 2012 R2、Windows Server 2016、Windows Server 2019、Windows Server 2022等；</w:t>
      </w:r>
    </w:p>
    <w:p w14:paraId="02A0D250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240" w:lineRule="auto"/>
        <w:ind w:left="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cs="Times New Roman"/>
          <w:b/>
          <w:kern w:val="44"/>
          <w:sz w:val="24"/>
          <w:szCs w:val="24"/>
          <w:lang w:val="en-US" w:eastAsia="zh-CN" w:bidi="ar-SA"/>
        </w:rPr>
        <w:t>（二）</w:t>
      </w:r>
      <w:r>
        <w:rPr>
          <w:rFonts w:hint="eastAsia"/>
          <w:sz w:val="24"/>
          <w:szCs w:val="24"/>
          <w:lang w:val="en-US" w:eastAsia="zh-CN"/>
        </w:rPr>
        <w:t>功能指标项要求：</w:t>
      </w:r>
    </w:p>
    <w:p w14:paraId="2A313322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1.安全态势展示：</w:t>
      </w:r>
      <w:r>
        <w:rPr>
          <w:rFonts w:hint="eastAsia"/>
          <w:sz w:val="24"/>
          <w:szCs w:val="24"/>
        </w:rPr>
        <w:t>支持图形化综合展示全局态势，查看主机和容器资产的整体安全状态，包括：资产、风险、威胁、告警、安全事件、被攻击资产等数据汇总统计，以及趋势图、top分析、分布分析等信息。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0EE686C8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2.资产清点功能：</w:t>
      </w:r>
      <w:r>
        <w:rPr>
          <w:rFonts w:hint="eastAsia"/>
          <w:sz w:val="24"/>
          <w:szCs w:val="24"/>
        </w:rPr>
        <w:t>支持自动对主机和主机内容器资产进行资产清点，包括账户、进程、端口、软件应用、数据库、web应用、web站点、安装包、计划任务、启动项、容器所属镜像、容器运行状态、命名空间、POD、所属节点等信息，另外支持主动发现目标网络内未知主机。支持通过Agent自动识别、手动录入、批量导入三种方式管理相关业务资产，包括主机资产、安全设备、网络设备等资产，可设置相关资产等级、资产编号、负责人、负责人部门、负责人电话、负责人邮箱、机房位置等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469E64F6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3.容器资产识别：</w:t>
      </w:r>
      <w:r>
        <w:rPr>
          <w:rFonts w:hint="eastAsia"/>
          <w:sz w:val="24"/>
          <w:szCs w:val="24"/>
        </w:rPr>
        <w:t>支持容器、集群、镜像、POD、服务、Namespace等容器类资产的快速清点。自动获取所有与容器相关信息，如：容器的运行状态、连接情况、关联镜像等，可为用户提供容器内资产分层、分类的集中可视化，帮助用户从整体安全角度细粒度观察容器类资产运行状况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65061672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4.资产安全评估：</w:t>
      </w:r>
      <w:r>
        <w:rPr>
          <w:rFonts w:hint="eastAsia"/>
          <w:sz w:val="24"/>
          <w:szCs w:val="24"/>
        </w:rPr>
        <w:t>通过对目标主机资产进行安全评估，从主机信息异常变更风险、漏洞风险、弱密码风险、安全基线风险、恶意代码风险、威胁入侵风险、网络微隔离风险等方面进行安全评分，根据安全评分判定安全等级，安全等级包括严重0~20分、高危21~40分、中危41~60分、低危61~80分、安全81~100分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312DD258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5.未知资产探测功能：</w:t>
      </w:r>
      <w:r>
        <w:rPr>
          <w:rFonts w:hint="eastAsia"/>
          <w:sz w:val="24"/>
          <w:szCs w:val="24"/>
        </w:rPr>
        <w:t>支持通过主机客户端扫描探测网内其他未安装客户端的主机资产，支持创建多个主机发现任务，并进行管理，提供ARP、PING、NMAP三种方式探测未知主机，支持自定义扫描网段，以及选择获取操作信息，如主机IP、操作系统等信息。</w:t>
      </w:r>
    </w:p>
    <w:p w14:paraId="307AC149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6.漏洞检测：</w:t>
      </w:r>
      <w:r>
        <w:rPr>
          <w:rFonts w:hint="eastAsia"/>
          <w:sz w:val="24"/>
          <w:szCs w:val="24"/>
        </w:rPr>
        <w:t>支持对主流操作系统、中间件、数据库、容器进行漏洞检测，版本比对和POC脚本验证两种漏洞检测方式支持按需选择。支持自定义漏洞扫描，支持针对指定漏洞、指定主机、指定业务组进行漏洞扫描。漏洞详细信息包括：漏洞等级，漏洞名称、漏洞说明、漏洞类型、影响应用、漏洞exp链接、修复建议、CVE编号、CVSS评分与详情、风险特征、CNNVD 编号等信息。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3846FD34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7.虚拟补丁：</w:t>
      </w:r>
      <w:r>
        <w:rPr>
          <w:rFonts w:hint="eastAsia"/>
          <w:sz w:val="24"/>
          <w:szCs w:val="24"/>
        </w:rPr>
        <w:t>实时监控并主动防御利用已知漏洞的恶意攻击，可以在不干扰现有系统正常运行的情况下，为系统提供即时的安全防护。</w:t>
      </w:r>
    </w:p>
    <w:p w14:paraId="4A0D42EB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支持按照国际CIS检测标准（Level1、Level2）和国内等级保护检测标准（等保二级、三级）对操作系统、应用中间件、数据库进行基线检测，内容至少应包含检查项，检查结果，通过率、修复方法等。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72398644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9.威胁防护：</w:t>
      </w:r>
      <w:r>
        <w:rPr>
          <w:rFonts w:hint="eastAsia"/>
          <w:sz w:val="24"/>
          <w:szCs w:val="24"/>
        </w:rPr>
        <w:t>支持对主机和容器进行持续威胁监测和分析，可实时发现反弹shell、本地提权、异常登录、非法外连、webshell、暴力破解、文件恶意篡改、容器逃逸等攻击行为，并提供告警和处置能力。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455F1484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10.行为自学习：</w:t>
      </w:r>
      <w:r>
        <w:rPr>
          <w:rFonts w:hint="eastAsia"/>
          <w:sz w:val="24"/>
          <w:szCs w:val="24"/>
        </w:rPr>
        <w:t>支持基于主机、容器、应用的行为学习能力，形成主机、容器、应用的行为基线，并可以根据学习的行为基线对主机、容器、或应用进行行为监控或阻止。</w:t>
      </w:r>
    </w:p>
    <w:p w14:paraId="5234D1EB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rFonts w:hint="eastAsia"/>
          <w:sz w:val="24"/>
          <w:szCs w:val="24"/>
        </w:rPr>
        <w:t>具备自主可控的病毒查杀引擎，支持对主机内部存在的恶意代码、病毒、木马、勒索程序、挖矿、webshll、宏病毒、黑客工具等恶意程序进行实时查杀，对于可疑、未知的样本支持沙箱动态检测并提供预警。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提供厂商病毒查杀引擎软件著作证明</w:t>
      </w:r>
      <w:r>
        <w:rPr>
          <w:rFonts w:hint="eastAsia"/>
          <w:sz w:val="24"/>
          <w:szCs w:val="24"/>
          <w:lang w:eastAsia="zh-CN"/>
        </w:rPr>
        <w:t>）</w:t>
      </w:r>
    </w:p>
    <w:p w14:paraId="4E71D8F1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12.</w:t>
      </w:r>
      <w:r>
        <w:rPr>
          <w:rFonts w:hint="eastAsia"/>
          <w:b w:val="0"/>
          <w:bCs w:val="0"/>
          <w:sz w:val="24"/>
          <w:szCs w:val="24"/>
        </w:rPr>
        <w:t>★</w:t>
      </w:r>
      <w:r>
        <w:rPr>
          <w:rFonts w:hint="eastAsia"/>
          <w:sz w:val="24"/>
          <w:szCs w:val="24"/>
          <w:lang w:val="en-US" w:eastAsia="zh-CN"/>
        </w:rPr>
        <w:t>勒索防护：</w:t>
      </w:r>
      <w:r>
        <w:rPr>
          <w:rFonts w:hint="eastAsia"/>
          <w:sz w:val="24"/>
          <w:szCs w:val="24"/>
        </w:rPr>
        <w:t>通过恶意代码扫描过滤、诱饵文件监测、勒索行为特征监测、文档/图片/数据文件专项保护等多种方式，建立勒索病毒静/动态特征检测与防御能力。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5FCAB4F6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13.应用安全：</w:t>
      </w:r>
      <w:r>
        <w:rPr>
          <w:rFonts w:hint="eastAsia"/>
          <w:sz w:val="24"/>
          <w:szCs w:val="24"/>
        </w:rPr>
        <w:t>通过规则特征过滤HTTP请求里的攻击Payload，以及监控函数调用上下文信息，可实时感知并拦截网络漏洞利用攻击，包括命令执行类攻击检测、任意文件删除类攻击保护、反序列化攻击检测、目录遍历检测、危险DNS解析识别、任意文件上传保护、JNDI注入攻击检测、文件链接写后门防护、异常库加载检测、内存马检测、OGNL 代码执行检测、文件重命名保护、HTTP 响应采样检测、SQL 注入检测、跨站脚本攻击(XSS)、SSRF 请求伪造检测等网络攻击行为。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117FD797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14.</w:t>
      </w:r>
      <w:r>
        <w:rPr>
          <w:rFonts w:hint="eastAsia"/>
          <w:b w:val="0"/>
          <w:bCs w:val="0"/>
          <w:sz w:val="24"/>
          <w:szCs w:val="24"/>
        </w:rPr>
        <w:t>★</w:t>
      </w:r>
      <w:r>
        <w:rPr>
          <w:rFonts w:hint="eastAsia"/>
          <w:sz w:val="24"/>
          <w:szCs w:val="24"/>
          <w:lang w:val="en-US" w:eastAsia="zh-CN"/>
        </w:rPr>
        <w:t>威胁溯源：</w:t>
      </w:r>
      <w:r>
        <w:rPr>
          <w:rFonts w:hint="eastAsia"/>
          <w:sz w:val="24"/>
          <w:szCs w:val="24"/>
        </w:rPr>
        <w:t>通过自主算法将具有关联的多条告警生成一条入侵事件，按照时间顺序还原攻击过程，并以图形化的方式呈现攻击者入侵链路全景图，帮助安全人员识别攻击者使用的技战术以及触发的检测点。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38B33662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rFonts w:hint="eastAsia"/>
          <w:b w:val="0"/>
          <w:bCs w:val="0"/>
          <w:sz w:val="24"/>
          <w:szCs w:val="24"/>
        </w:rPr>
        <w:t>★</w:t>
      </w:r>
      <w:r>
        <w:rPr>
          <w:rFonts w:hint="eastAsia"/>
          <w:sz w:val="24"/>
          <w:szCs w:val="24"/>
          <w:lang w:val="en-US" w:eastAsia="zh-CN"/>
        </w:rPr>
        <w:t>微隔离功能：</w:t>
      </w:r>
      <w:r>
        <w:rPr>
          <w:sz w:val="24"/>
          <w:szCs w:val="24"/>
        </w:rPr>
        <w:t>支持对主机、容器、</w:t>
      </w:r>
      <w:r>
        <w:rPr>
          <w:rFonts w:hint="eastAsia"/>
          <w:sz w:val="24"/>
          <w:szCs w:val="24"/>
        </w:rPr>
        <w:t>应用</w:t>
      </w:r>
      <w:r>
        <w:rPr>
          <w:sz w:val="24"/>
          <w:szCs w:val="24"/>
        </w:rPr>
        <w:t>按照IP、端口、协议、应用、工作负载标签等字段进行网络访问控制策略配置</w:t>
      </w:r>
      <w:r>
        <w:rPr>
          <w:rFonts w:hint="eastAsia"/>
          <w:sz w:val="24"/>
          <w:szCs w:val="24"/>
        </w:rPr>
        <w:t>。支持微隔离模块与入侵检测、风险发现模块联动，当发现某主机发现高危漏洞或入侵行为时，可自动强制隔离该主机，避免攻击横向移动。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投标时提供产品功能证明截图并加盖公章</w:t>
      </w:r>
      <w:r>
        <w:rPr>
          <w:rFonts w:hint="eastAsia"/>
          <w:sz w:val="24"/>
          <w:szCs w:val="24"/>
          <w:lang w:eastAsia="zh-CN"/>
        </w:rPr>
        <w:t>）</w:t>
      </w:r>
    </w:p>
    <w:p w14:paraId="62770BCB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16.安全报告导出：</w:t>
      </w:r>
      <w:r>
        <w:rPr>
          <w:rFonts w:hint="eastAsia"/>
          <w:sz w:val="24"/>
          <w:szCs w:val="24"/>
        </w:rPr>
        <w:t>支持指定主机或全部主机按照时间段导出安全分析报告，包括资产统计、风险统计、安全基线统计、威胁事件统计、网络异常流量统计、整体安全分析等。</w:t>
      </w:r>
    </w:p>
    <w:p w14:paraId="5211EA8C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240" w:lineRule="auto"/>
        <w:ind w:left="0"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cs="Times New Roman"/>
          <w:b/>
          <w:kern w:val="44"/>
          <w:sz w:val="24"/>
          <w:szCs w:val="24"/>
          <w:lang w:val="en-US" w:eastAsia="zh-CN" w:bidi="ar-SA"/>
        </w:rPr>
        <w:t>（三）</w:t>
      </w:r>
      <w:r>
        <w:rPr>
          <w:rFonts w:hint="eastAsia"/>
          <w:sz w:val="24"/>
          <w:szCs w:val="24"/>
          <w:lang w:val="en-US" w:eastAsia="zh-CN"/>
        </w:rPr>
        <w:t>资质要求：</w:t>
      </w:r>
    </w:p>
    <w:p w14:paraId="413FDBE5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bookmarkStart w:id="0" w:name="_Toc181117499"/>
      <w:r>
        <w:rPr>
          <w:rFonts w:hint="eastAsia"/>
          <w:sz w:val="24"/>
          <w:szCs w:val="24"/>
          <w:lang w:val="en-US" w:eastAsia="zh-CN"/>
        </w:rPr>
        <w:t>1.产品应具备网络关键设备和网络安全专用产品安全认证证书</w:t>
      </w:r>
      <w:bookmarkEnd w:id="0"/>
    </w:p>
    <w:p w14:paraId="04962B1D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bookmarkStart w:id="1" w:name="_Toc181117500"/>
      <w:r>
        <w:rPr>
          <w:rFonts w:hint="eastAsia"/>
          <w:sz w:val="24"/>
          <w:szCs w:val="24"/>
          <w:lang w:val="en-US" w:eastAsia="zh-CN"/>
        </w:rPr>
        <w:t>产品应具备计算机软件著作权登记证书</w:t>
      </w:r>
      <w:bookmarkEnd w:id="1"/>
    </w:p>
    <w:p w14:paraId="01126D11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firstLine="420"/>
        <w:rPr>
          <w:rFonts w:hint="eastAsia"/>
          <w:sz w:val="24"/>
          <w:szCs w:val="24"/>
          <w:lang w:val="en-US" w:eastAsia="zh-CN"/>
        </w:rPr>
      </w:pPr>
      <w:bookmarkStart w:id="2" w:name="_Toc181117501"/>
      <w:r>
        <w:rPr>
          <w:rFonts w:hint="eastAsia"/>
          <w:sz w:val="24"/>
          <w:szCs w:val="24"/>
          <w:lang w:val="en-US" w:eastAsia="zh-CN"/>
        </w:rPr>
        <w:t>3.产品应具备IT产品信息安全认证证书</w:t>
      </w:r>
      <w:bookmarkEnd w:id="2"/>
    </w:p>
    <w:p w14:paraId="2C27315B">
      <w:pPr>
        <w:numPr>
          <w:ilvl w:val="0"/>
          <w:numId w:val="0"/>
        </w:numPr>
        <w:rPr>
          <w:rFonts w:hint="default" w:eastAsia="仿宋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0" w:num="1"/>
          <w:rtlGutter w:val="0"/>
          <w:docGrid w:type="lines" w:linePitch="312" w:charSpace="0"/>
        </w:sectPr>
      </w:pPr>
    </w:p>
    <w:p w14:paraId="0C0B3E15">
      <w:pPr>
        <w:pStyle w:val="6"/>
        <w:numPr>
          <w:ilvl w:val="0"/>
          <w:numId w:val="1"/>
        </w:numPr>
        <w:spacing w:before="0" w:beforeAutospacing="0" w:after="0" w:afterAutospacing="0" w:line="560" w:lineRule="atLeast"/>
        <w:jc w:val="both"/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报价单</w:t>
      </w:r>
    </w:p>
    <w:p w14:paraId="792B6CC9">
      <w:pPr>
        <w:pStyle w:val="6"/>
        <w:widowControl/>
        <w:numPr>
          <w:numId w:val="0"/>
        </w:numPr>
        <w:spacing w:before="0" w:beforeAutospacing="0" w:after="0" w:afterAutospacing="0" w:line="560" w:lineRule="atLeast"/>
        <w:jc w:val="both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74F503B9">
      <w:pPr>
        <w:pStyle w:val="6"/>
        <w:widowControl/>
        <w:numPr>
          <w:numId w:val="0"/>
        </w:numPr>
        <w:spacing w:before="0" w:beforeAutospacing="0" w:after="0" w:afterAutospacing="0" w:line="560" w:lineRule="atLeast"/>
        <w:jc w:val="both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018199B2">
      <w:pPr>
        <w:pStyle w:val="6"/>
        <w:widowControl/>
        <w:numPr>
          <w:numId w:val="0"/>
        </w:numPr>
        <w:spacing w:before="0" w:beforeAutospacing="0" w:after="0" w:afterAutospacing="0" w:line="560" w:lineRule="atLeast"/>
        <w:jc w:val="both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080" w:bottom="1440" w:left="1080" w:header="851" w:footer="992" w:gutter="0"/>
          <w:cols w:space="0" w:num="1"/>
          <w:rtlGutter w:val="0"/>
          <w:docGrid w:type="lines" w:linePitch="312" w:charSpace="0"/>
        </w:sectPr>
      </w:pPr>
      <w:bookmarkStart w:id="3" w:name="_GoBack"/>
      <w:bookmarkEnd w:id="3"/>
    </w:p>
    <w:p w14:paraId="40498325">
      <w:pPr>
        <w:pStyle w:val="2"/>
        <w:rPr>
          <w:rFonts w:hint="default"/>
          <w:lang w:val="en-US" w:eastAsia="zh-CN"/>
        </w:rPr>
      </w:pPr>
    </w:p>
    <w:p w14:paraId="12D7712D">
      <w:pPr>
        <w:rPr>
          <w:rFonts w:hint="default"/>
          <w:lang w:val="en-US" w:eastAsia="zh-CN"/>
        </w:rPr>
      </w:pPr>
    </w:p>
    <w:p w14:paraId="0DB88550">
      <w:pPr>
        <w:pStyle w:val="11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86465"/>
    <w:multiLevelType w:val="singleLevel"/>
    <w:tmpl w:val="E97864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zg0NjgwMWEwMGExODIxYWE2MTZmNzZkZmY5OGQifQ=="/>
  </w:docVars>
  <w:rsids>
    <w:rsidRoot w:val="10DF4FC1"/>
    <w:rsid w:val="04CD43B6"/>
    <w:rsid w:val="06E415DA"/>
    <w:rsid w:val="10DF4FC1"/>
    <w:rsid w:val="12844953"/>
    <w:rsid w:val="13FF7E99"/>
    <w:rsid w:val="1F7935DB"/>
    <w:rsid w:val="1F8D0D05"/>
    <w:rsid w:val="25DD3CB7"/>
    <w:rsid w:val="26C80881"/>
    <w:rsid w:val="2D104FC1"/>
    <w:rsid w:val="2EDA0CAC"/>
    <w:rsid w:val="39AA10C9"/>
    <w:rsid w:val="3A8D72B7"/>
    <w:rsid w:val="420B3D07"/>
    <w:rsid w:val="45044665"/>
    <w:rsid w:val="45062140"/>
    <w:rsid w:val="48F549A5"/>
    <w:rsid w:val="538912C2"/>
    <w:rsid w:val="56B65BAC"/>
    <w:rsid w:val="572B7017"/>
    <w:rsid w:val="57C2639A"/>
    <w:rsid w:val="59753262"/>
    <w:rsid w:val="5EE61898"/>
    <w:rsid w:val="698F23BD"/>
    <w:rsid w:val="6A4175F2"/>
    <w:rsid w:val="6AA90E8C"/>
    <w:rsid w:val="6C5E169B"/>
    <w:rsid w:val="713F5AC0"/>
    <w:rsid w:val="73D6570E"/>
    <w:rsid w:val="760522A8"/>
    <w:rsid w:val="7A68759F"/>
    <w:rsid w:val="7B74734E"/>
    <w:rsid w:val="7BA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color w:val="99330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1"/>
    <w:next w:val="1"/>
    <w:qFormat/>
    <w:uiPriority w:val="0"/>
    <w:pPr>
      <w:adjustRightInd w:val="0"/>
      <w:spacing w:after="0"/>
      <w:ind w:firstLine="420"/>
      <w:jc w:val="left"/>
      <w:textAlignment w:val="baseline"/>
    </w:pPr>
    <w:rPr>
      <w:rFonts w:ascii="宋体" w:hAnsi="宋体"/>
      <w:kern w:val="0"/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文档正文"/>
    <w:qFormat/>
    <w:uiPriority w:val="0"/>
    <w:pPr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2622</Words>
  <Characters>2976</Characters>
  <Lines>0</Lines>
  <Paragraphs>0</Paragraphs>
  <TotalTime>4</TotalTime>
  <ScaleCrop>false</ScaleCrop>
  <LinksUpToDate>false</LinksUpToDate>
  <CharactersWithSpaces>3000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2024-08-26T03:10:00Z</dcterms:created>
  <dc:creator>念你安好~</dc:creator>
  <cp:lastModifiedBy>流金岁月</cp:lastModifiedBy>
  <dcterms:modified xsi:type="dcterms:W3CDTF">2024-11-03T03:02:51Z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EC5DF82076D14772B4672BE16CB2E34F_13</vt:lpwstr>
  </property>
</Properties>
</file>