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D4FE2">
      <w:pPr>
        <w:jc w:val="center"/>
        <w:rPr>
          <w:rFonts w:hint="eastAsia" w:eastAsia="宋体"/>
          <w:sz w:val="52"/>
          <w:lang w:val="en-US" w:eastAsia="zh-CN"/>
        </w:rPr>
      </w:pPr>
      <w:r>
        <w:rPr>
          <w:rFonts w:hint="eastAsia"/>
          <w:sz w:val="52"/>
        </w:rPr>
        <w:t>参数</w:t>
      </w:r>
      <w:r>
        <w:rPr>
          <w:rFonts w:hint="eastAsia"/>
          <w:sz w:val="52"/>
          <w:lang w:val="en-US" w:eastAsia="zh-CN"/>
        </w:rPr>
        <w:t>需求</w:t>
      </w:r>
    </w:p>
    <w:p w14:paraId="3F5BF3ED">
      <w:pPr>
        <w:numPr>
          <w:ilvl w:val="0"/>
          <w:numId w:val="1"/>
        </w:numPr>
        <w:jc w:val="left"/>
        <w:rPr>
          <w:rFonts w:hint="eastAsia" w:ascii="Times New Roman" w:hAnsi="Times New Roman" w:eastAsia="黑体" w:cs="黑体"/>
          <w:b w:val="0"/>
          <w:bCs w:val="0"/>
          <w:kern w:val="2"/>
          <w:sz w:val="30"/>
          <w:szCs w:val="30"/>
          <w:vertAlign w:val="baseline"/>
          <w:lang w:val="en-US" w:eastAsia="zh-Hans" w:bidi="ar-SA"/>
        </w:rPr>
      </w:pPr>
      <w:r>
        <w:rPr>
          <w:rFonts w:hint="eastAsia"/>
          <w:color w:val="auto"/>
          <w:sz w:val="32"/>
          <w:highlight w:val="none"/>
        </w:rPr>
        <w:t>项目名称：自治区第六人民医院抗病毒药库库房维护维修项目</w:t>
      </w:r>
    </w:p>
    <w:p w14:paraId="7D5D76B8">
      <w:pPr>
        <w:numPr>
          <w:ilvl w:val="0"/>
          <w:numId w:val="1"/>
        </w:numPr>
        <w:jc w:val="left"/>
        <w:rPr>
          <w:rFonts w:hint="eastAsia" w:eastAsia="宋体"/>
          <w:color w:val="auto"/>
          <w:sz w:val="32"/>
          <w:highlight w:val="none"/>
          <w:lang w:val="en-US" w:eastAsia="zh-CN"/>
        </w:rPr>
      </w:pPr>
      <w:r>
        <w:rPr>
          <w:rFonts w:hint="eastAsia" w:eastAsia="宋体"/>
          <w:color w:val="auto"/>
          <w:sz w:val="32"/>
          <w:highlight w:val="none"/>
          <w:lang w:val="en-US" w:eastAsia="zh-Hans"/>
        </w:rPr>
        <w:t>项目预算</w:t>
      </w:r>
      <w:r>
        <w:rPr>
          <w:rFonts w:hint="eastAsia"/>
          <w:color w:val="auto"/>
          <w:sz w:val="32"/>
          <w:highlight w:val="none"/>
          <w:lang w:val="en-US" w:eastAsia="zh-Hans"/>
        </w:rPr>
        <w:t>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306579.94</w:t>
      </w:r>
      <w:r>
        <w:rPr>
          <w:rFonts w:hint="eastAsia" w:eastAsia="宋体"/>
          <w:color w:val="auto"/>
          <w:sz w:val="32"/>
          <w:highlight w:val="none"/>
          <w:lang w:val="en-US" w:eastAsia="zh-Hans"/>
        </w:rPr>
        <w:t>元</w:t>
      </w:r>
    </w:p>
    <w:p w14:paraId="70D4D113">
      <w:pPr>
        <w:jc w:val="left"/>
        <w:rPr>
          <w:rFonts w:hint="eastAsia"/>
          <w:color w:val="auto"/>
          <w:sz w:val="32"/>
          <w:highlight w:val="none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3、</w:t>
      </w:r>
      <w:r>
        <w:rPr>
          <w:rFonts w:hint="eastAsia"/>
          <w:color w:val="auto"/>
          <w:sz w:val="32"/>
          <w:highlight w:val="none"/>
        </w:rPr>
        <w:t>付款方式：</w:t>
      </w:r>
      <w:r>
        <w:rPr>
          <w:rFonts w:hint="eastAsia"/>
          <w:color w:val="auto"/>
          <w:sz w:val="32"/>
          <w:highlight w:val="none"/>
          <w:lang w:val="en-US" w:eastAsia="zh-CN"/>
        </w:rPr>
        <w:t>合同签订后30日内支付30%预付款，工程竣工且经甲方书面验收合格后支付至合同总价款的80%，结算经审计部门、造价审核后支付到合同总价款的97%，预留3％的质保金，待质保期满后无任何质量问题无息支付。</w:t>
      </w:r>
    </w:p>
    <w:p w14:paraId="7B9261BD">
      <w:pPr>
        <w:jc w:val="left"/>
        <w:rPr>
          <w:rFonts w:hint="eastAsia" w:eastAsia="宋体"/>
          <w:color w:val="auto"/>
          <w:sz w:val="32"/>
          <w:highlight w:val="none"/>
          <w:lang w:val="en-US" w:eastAsia="zh-Hans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4</w:t>
      </w:r>
      <w:r>
        <w:rPr>
          <w:rFonts w:hint="eastAsia"/>
          <w:color w:val="auto"/>
          <w:sz w:val="32"/>
          <w:highlight w:val="none"/>
        </w:rPr>
        <w:t>、</w:t>
      </w:r>
      <w:r>
        <w:rPr>
          <w:rFonts w:hint="eastAsia"/>
          <w:color w:val="auto"/>
          <w:sz w:val="32"/>
          <w:highlight w:val="none"/>
          <w:lang w:val="en-US" w:eastAsia="zh-CN"/>
        </w:rPr>
        <w:t>工期</w:t>
      </w:r>
      <w:r>
        <w:rPr>
          <w:rFonts w:hint="eastAsia"/>
          <w:color w:val="auto"/>
          <w:sz w:val="32"/>
          <w:highlight w:val="none"/>
        </w:rPr>
        <w:t>：</w:t>
      </w:r>
      <w:r>
        <w:rPr>
          <w:rFonts w:hint="eastAsia"/>
          <w:color w:val="auto"/>
          <w:sz w:val="32"/>
          <w:highlight w:val="none"/>
          <w:lang w:val="en-US" w:eastAsia="zh-CN"/>
        </w:rPr>
        <w:t>30</w:t>
      </w:r>
      <w:r>
        <w:rPr>
          <w:rFonts w:hint="eastAsia"/>
          <w:color w:val="auto"/>
          <w:sz w:val="32"/>
          <w:highlight w:val="none"/>
          <w:lang w:val="en-US" w:eastAsia="zh-Hans"/>
        </w:rPr>
        <w:t>日历日</w:t>
      </w:r>
    </w:p>
    <w:p w14:paraId="04F52D8B">
      <w:pPr>
        <w:jc w:val="left"/>
        <w:rPr>
          <w:rFonts w:hint="eastAsia" w:eastAsia="宋体"/>
          <w:color w:val="auto"/>
          <w:sz w:val="32"/>
          <w:highlight w:val="none"/>
          <w:lang w:val="en-US" w:eastAsia="zh-Hans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highlight w:val="none"/>
        </w:rPr>
        <w:t>、</w:t>
      </w:r>
      <w:r>
        <w:rPr>
          <w:rFonts w:hint="eastAsia"/>
          <w:color w:val="auto"/>
          <w:sz w:val="32"/>
          <w:highlight w:val="none"/>
          <w:lang w:val="en-US" w:eastAsia="zh-CN"/>
        </w:rPr>
        <w:t>工程保修期</w:t>
      </w:r>
      <w:r>
        <w:rPr>
          <w:rFonts w:hint="eastAsia"/>
          <w:color w:val="auto"/>
          <w:sz w:val="32"/>
          <w:highlight w:val="none"/>
        </w:rPr>
        <w:t>：</w:t>
      </w:r>
      <w:r>
        <w:rPr>
          <w:rFonts w:hint="default"/>
          <w:color w:val="auto"/>
          <w:sz w:val="32"/>
          <w:highlight w:val="none"/>
        </w:rPr>
        <w:t>2</w:t>
      </w:r>
      <w:r>
        <w:rPr>
          <w:rFonts w:hint="eastAsia"/>
          <w:color w:val="auto"/>
          <w:sz w:val="32"/>
          <w:highlight w:val="none"/>
          <w:lang w:val="en-US" w:eastAsia="zh-Hans"/>
        </w:rPr>
        <w:t>年</w:t>
      </w:r>
    </w:p>
    <w:p w14:paraId="6F58C505">
      <w:pPr>
        <w:tabs>
          <w:tab w:val="left" w:pos="6260"/>
        </w:tabs>
        <w:jc w:val="left"/>
        <w:rPr>
          <w:rFonts w:hint="eastAsia" w:eastAsia="宋体"/>
          <w:color w:val="auto"/>
          <w:sz w:val="32"/>
          <w:highlight w:val="none"/>
          <w:lang w:eastAsia="zh-CN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6</w:t>
      </w:r>
      <w:r>
        <w:rPr>
          <w:rFonts w:hint="eastAsia"/>
          <w:color w:val="auto"/>
          <w:sz w:val="32"/>
          <w:highlight w:val="none"/>
        </w:rPr>
        <w:t>、投标人资质要求</w:t>
      </w:r>
      <w:r>
        <w:rPr>
          <w:rFonts w:hint="default"/>
          <w:color w:val="auto"/>
          <w:sz w:val="32"/>
          <w:highlight w:val="none"/>
        </w:rPr>
        <w:t>：</w:t>
      </w:r>
      <w:r>
        <w:rPr>
          <w:rFonts w:hint="eastAsia"/>
          <w:color w:val="auto"/>
          <w:sz w:val="32"/>
          <w:highlight w:val="none"/>
          <w:lang w:val="en-US" w:eastAsia="zh-CN"/>
        </w:rPr>
        <w:t>建筑装修装饰工程专业承包资质</w:t>
      </w:r>
      <w:r>
        <w:rPr>
          <w:rFonts w:hint="eastAsia"/>
          <w:color w:val="auto"/>
          <w:sz w:val="32"/>
          <w:highlight w:val="none"/>
          <w:lang w:eastAsia="zh-CN"/>
        </w:rPr>
        <w:tab/>
      </w:r>
    </w:p>
    <w:p w14:paraId="0B09E44F">
      <w:pPr>
        <w:tabs>
          <w:tab w:val="left" w:pos="6260"/>
        </w:tabs>
        <w:jc w:val="left"/>
        <w:rPr>
          <w:rFonts w:hint="eastAsia"/>
          <w:color w:val="auto"/>
          <w:sz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7</w:t>
      </w:r>
      <w:r>
        <w:rPr>
          <w:rFonts w:hint="eastAsia"/>
          <w:color w:val="auto"/>
          <w:sz w:val="32"/>
          <w:highlight w:val="none"/>
        </w:rPr>
        <w:t>、</w:t>
      </w:r>
      <w:r>
        <w:rPr>
          <w:rFonts w:hint="eastAsia"/>
          <w:color w:val="auto"/>
          <w:sz w:val="32"/>
          <w:highlight w:val="none"/>
          <w:lang w:val="en-US" w:eastAsia="zh-CN"/>
        </w:rPr>
        <w:t>工程</w:t>
      </w:r>
      <w:r>
        <w:rPr>
          <w:rFonts w:hint="eastAsia"/>
          <w:color w:val="auto"/>
          <w:sz w:val="32"/>
          <w:highlight w:val="none"/>
        </w:rPr>
        <w:t>概况、范围及相关参数：</w:t>
      </w:r>
      <w:r>
        <w:rPr>
          <w:rFonts w:hint="eastAsia"/>
          <w:color w:val="auto"/>
          <w:sz w:val="32"/>
          <w:highlight w:val="none"/>
          <w:lang w:val="en-US" w:eastAsia="zh-CN"/>
        </w:rPr>
        <w:t>1.药库空间优化：对6号楼地下一层药库进行科学规划，采用轻钢龙骨石膏板进行隔离分区，划分常温区、阴凉区、特殊药品存储区等，确保药品分类存放符合规范；</w:t>
      </w:r>
    </w:p>
    <w:p w14:paraId="30FD2CC4">
      <w:pPr>
        <w:tabs>
          <w:tab w:val="left" w:pos="6260"/>
        </w:tabs>
        <w:jc w:val="left"/>
        <w:rPr>
          <w:rFonts w:hint="eastAsia"/>
          <w:color w:val="auto"/>
          <w:sz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2.药房功能升级：对一层药房操作区域进行改造，拆除原有隔档及洗手池，安装符合人体工学的标准化操作台，优化药品调配、分发流程，提升工作效率及服务体验。</w:t>
      </w:r>
    </w:p>
    <w:p w14:paraId="477AE245">
      <w:pPr>
        <w:tabs>
          <w:tab w:val="left" w:pos="6260"/>
        </w:tabs>
        <w:jc w:val="left"/>
        <w:rPr>
          <w:rFonts w:hint="eastAsia"/>
          <w:color w:val="auto"/>
          <w:sz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3.采暖系统更新：在地下一层药库安装高效节能型散热器采暖设备，结合智能温控系统，确保药库温度稳定在药品存储标准范围内（2℃-8℃或常温要求），避免因温度波动导致药品失效。</w:t>
      </w:r>
    </w:p>
    <w:p w14:paraId="4233D846">
      <w:pPr>
        <w:tabs>
          <w:tab w:val="left" w:pos="6260"/>
        </w:tabs>
        <w:jc w:val="left"/>
        <w:rPr>
          <w:rFonts w:hint="eastAsia"/>
          <w:color w:val="auto"/>
          <w:sz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>4.电气设备安装：安装高精度温湿度传感器及声光报警装置，实时监控药库环境数据，异常情况自动推送至药房管理人员终端，确保药品存储环境安全可控。</w:t>
      </w:r>
    </w:p>
    <w:p w14:paraId="4A84C942">
      <w:pPr>
        <w:pStyle w:val="2"/>
        <w:jc w:val="both"/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 w:val="0"/>
          <w:color w:val="auto"/>
          <w:kern w:val="2"/>
          <w:sz w:val="32"/>
          <w:szCs w:val="22"/>
          <w:highlight w:val="none"/>
          <w:lang w:val="en-US" w:eastAsia="zh-CN" w:bidi="ar-SA"/>
        </w:rPr>
        <w:t>（详见工程量清单）</w:t>
      </w:r>
    </w:p>
    <w:p w14:paraId="1A3E8342"/>
    <w:p w14:paraId="3A5D8832"/>
    <w:p w14:paraId="213664CB"/>
    <w:p w14:paraId="3ABF3F8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8DDB4"/>
    <w:multiLevelType w:val="singleLevel"/>
    <w:tmpl w:val="BB68DD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2799"/>
    <w:rsid w:val="0D3C1E1A"/>
    <w:rsid w:val="51262799"/>
    <w:rsid w:val="573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jc w:val="center"/>
      <w:outlineLvl w:val="3"/>
    </w:pPr>
    <w:rPr>
      <w:rFonts w:ascii="Arial" w:hAnsi="Arial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547</Characters>
  <Lines>0</Lines>
  <Paragraphs>0</Paragraphs>
  <TotalTime>43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2025-06-30T02:30:00Z</dcterms:created>
  <dc:creator>张哲</dc:creator>
  <cp:lastModifiedBy>陈苗</cp:lastModifiedBy>
  <dcterms:modified xsi:type="dcterms:W3CDTF">2025-07-04T03:59:51Z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eyJoZGlkIjoiMTg4MmY2M2JhOTg3MDY4OGE5ZGY3NGUwMjg5YjZiNWUifQ==</vt:lpwstr>
  </property>
  <property fmtid="{D5CDD505-2E9C-101B-9397-08002B2CF9AE}" pid="4" name="ICV">
    <vt:lpwstr>16AE679042B9404294DD399B8118535E_12</vt:lpwstr>
  </property>
</Properties>
</file>