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BA891">
      <w:pPr>
        <w:pStyle w:val="12"/>
        <w:spacing w:line="360" w:lineRule="auto"/>
        <w:rPr>
          <w:rFonts w:hint="eastAsia" w:ascii="宋体" w:hAnsi="宋体" w:eastAsia="宋体" w:cs="宋体"/>
          <w:color w:val="000000" w:themeColor="text1"/>
          <w:sz w:val="36"/>
          <w:szCs w:val="36"/>
          <w:lang w:val="zh-CN"/>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新疆开放大学</w:t>
      </w:r>
      <w:r>
        <w:rPr>
          <w:rFonts w:hint="eastAsia" w:ascii="宋体" w:hAnsi="宋体" w:eastAsia="宋体" w:cs="宋体"/>
          <w:color w:val="000000" w:themeColor="text1"/>
          <w:sz w:val="36"/>
          <w:szCs w:val="36"/>
          <w:lang w:val="zh-CN"/>
          <w14:textFill>
            <w14:solidFill>
              <w14:schemeClr w14:val="tx1"/>
            </w14:solidFill>
          </w14:textFill>
        </w:rPr>
        <w:t>一体化在线学习平台</w:t>
      </w:r>
      <w:r>
        <w:rPr>
          <w:rFonts w:hint="eastAsia" w:ascii="宋体" w:hAnsi="宋体" w:eastAsia="宋体" w:cs="宋体"/>
          <w:color w:val="000000" w:themeColor="text1"/>
          <w:sz w:val="36"/>
          <w:szCs w:val="36"/>
          <w14:textFill>
            <w14:solidFill>
              <w14:schemeClr w14:val="tx1"/>
            </w14:solidFill>
          </w14:textFill>
        </w:rPr>
        <w:t>运维服务</w:t>
      </w:r>
      <w:r>
        <w:rPr>
          <w:rFonts w:hint="eastAsia" w:ascii="宋体" w:hAnsi="宋体" w:eastAsia="宋体" w:cs="宋体"/>
          <w:color w:val="000000" w:themeColor="text1"/>
          <w:sz w:val="36"/>
          <w:szCs w:val="36"/>
          <w:lang w:val="zh-CN"/>
          <w14:textFill>
            <w14:solidFill>
              <w14:schemeClr w14:val="tx1"/>
            </w14:solidFill>
          </w14:textFill>
        </w:rPr>
        <w:t>项目</w:t>
      </w:r>
    </w:p>
    <w:p w14:paraId="3E7302CA">
      <w:pPr>
        <w:pStyle w:val="12"/>
        <w:spacing w:line="360" w:lineRule="auto"/>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招标需求文档</w:t>
      </w:r>
      <w:bookmarkStart w:id="0" w:name="_GoBack"/>
      <w:bookmarkEnd w:id="0"/>
    </w:p>
    <w:p w14:paraId="72477115">
      <w:pPr>
        <w:pStyle w:val="12"/>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（2025-2026年）</w:t>
      </w:r>
    </w:p>
    <w:p w14:paraId="474CD82B">
      <w:pPr>
        <w:pStyle w:val="2"/>
        <w:numPr>
          <w:ilvl w:val="0"/>
          <w:numId w:val="1"/>
        </w:numPr>
        <w:spacing w:line="360" w:lineRule="auto"/>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项目背景</w:t>
      </w:r>
    </w:p>
    <w:p w14:paraId="2A700C7C">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疆开放大学一体化在线学习平台项目自2019年启动建设以来，已成功运行五年，为近40万名学生提供了在线学习服务，有效提升了教育服务的质量与效率。该项目涵盖招生、缴费、教学、论文管理等四大核心业务线，涉及11个子系统的日常运维工作。为确保平台持续稳定运行与优化升级，现面向社会进行公开招标采购相关运维服务。</w:t>
      </w:r>
    </w:p>
    <w:p w14:paraId="1A07DAE6">
      <w:pPr>
        <w:pStyle w:val="2"/>
        <w:numPr>
          <w:ilvl w:val="0"/>
          <w:numId w:val="1"/>
        </w:numPr>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采购内容</w:t>
      </w:r>
    </w:p>
    <w:p w14:paraId="2D8CA2FD">
      <w:pPr>
        <w:spacing w:line="360" w:lineRule="auto"/>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（一）服务期限</w:t>
      </w:r>
    </w:p>
    <w:p w14:paraId="5DA22BC1">
      <w:pPr>
        <w:autoSpaceDE w:val="0"/>
        <w:autoSpaceDN w:val="0"/>
        <w:adjustRightInd w:val="0"/>
        <w:spacing w:line="360" w:lineRule="auto"/>
        <w:ind w:firstLine="482"/>
        <w:rPr>
          <w:rFonts w:ascii="仿宋" w:hAnsi="仿宋" w:eastAsia="仿宋" w:cs="仿宋"/>
        </w:rPr>
      </w:pPr>
      <w:r>
        <w:rPr>
          <w:rFonts w:hint="eastAsia" w:ascii="宋体" w:hAnsi="宋体" w:cs="宋体"/>
          <w:color w:val="000000" w:themeColor="text1"/>
          <w14:textFill>
            <w14:solidFill>
              <w14:schemeClr w14:val="tx1"/>
            </w14:solidFill>
          </w14:textFill>
        </w:rPr>
        <w:t>服务期限：本合同规定的服务期限为一年，自中标之日起算 。</w:t>
      </w:r>
    </w:p>
    <w:p w14:paraId="7077C6BB">
      <w:pPr>
        <w:spacing w:line="360" w:lineRule="auto"/>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（二）服务地点</w:t>
      </w:r>
    </w:p>
    <w:p w14:paraId="572D739A">
      <w:pPr>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服务将在采购方指定的地点进行。</w:t>
      </w:r>
    </w:p>
    <w:p w14:paraId="2E568F34">
      <w:pPr>
        <w:numPr>
          <w:ilvl w:val="0"/>
          <w:numId w:val="2"/>
        </w:numPr>
        <w:spacing w:line="360" w:lineRule="auto"/>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服务详细需求</w:t>
      </w:r>
    </w:p>
    <w:p w14:paraId="37F6094A">
      <w:pPr>
        <w:pStyle w:val="7"/>
        <w:widowControl/>
        <w:ind w:firstLine="0" w:firstLineChars="0"/>
        <w:rPr>
          <w:rFonts w:ascii="宋体" w:hAnsi="宋体" w:cs="宋体"/>
          <w:color w:val="000000"/>
        </w:rPr>
      </w:pPr>
      <w:r>
        <w:rPr>
          <w:rFonts w:hint="eastAsia" w:ascii="宋体" w:hAnsi="宋体" w:cs="宋体"/>
          <w:color w:val="000000"/>
        </w:rPr>
        <w:t>本需求文档涉及以下关键方面：</w:t>
      </w:r>
    </w:p>
    <w:p w14:paraId="597FCEA3">
      <w:pPr>
        <w:pStyle w:val="7"/>
        <w:numPr>
          <w:ilvl w:val="0"/>
          <w:numId w:val="3"/>
        </w:numPr>
        <w:ind w:firstLineChars="0"/>
        <w:rPr>
          <w:rFonts w:ascii="宋体" w:hAnsi="宋体" w:cs="宋体"/>
          <w:color w:val="000000"/>
        </w:rPr>
      </w:pPr>
      <w:r>
        <w:rPr>
          <w:rFonts w:hint="eastAsia" w:ascii="宋体" w:hAnsi="宋体" w:cs="宋体"/>
          <w:color w:val="000000"/>
        </w:rPr>
        <w:t>系统运维服务</w:t>
      </w:r>
    </w:p>
    <w:p w14:paraId="17171752">
      <w:pPr>
        <w:pStyle w:val="7"/>
        <w:numPr>
          <w:ilvl w:val="0"/>
          <w:numId w:val="3"/>
        </w:numPr>
        <w:ind w:firstLineChars="0"/>
        <w:rPr>
          <w:rFonts w:ascii="宋体" w:hAnsi="宋体" w:cs="宋体"/>
          <w:color w:val="000000"/>
        </w:rPr>
      </w:pPr>
      <w:r>
        <w:rPr>
          <w:rFonts w:hint="eastAsia" w:ascii="宋体" w:hAnsi="宋体" w:cs="宋体"/>
          <w:color w:val="000000"/>
        </w:rPr>
        <w:t>系统性能优化与迭代升级</w:t>
      </w:r>
    </w:p>
    <w:p w14:paraId="19503AA6">
      <w:pPr>
        <w:pStyle w:val="7"/>
        <w:numPr>
          <w:ilvl w:val="0"/>
          <w:numId w:val="3"/>
        </w:numPr>
        <w:ind w:firstLineChars="0"/>
        <w:rPr>
          <w:rFonts w:ascii="宋体" w:hAnsi="宋体" w:cs="宋体"/>
          <w:color w:val="000000"/>
        </w:rPr>
      </w:pPr>
      <w:r>
        <w:rPr>
          <w:rFonts w:hint="eastAsia" w:ascii="宋体" w:hAnsi="宋体" w:cs="宋体"/>
          <w:color w:val="000000"/>
        </w:rPr>
        <w:t>云服务器托管服务及迁移服务</w:t>
      </w:r>
    </w:p>
    <w:p w14:paraId="72BEA541">
      <w:pPr>
        <w:pStyle w:val="7"/>
        <w:numPr>
          <w:ilvl w:val="0"/>
          <w:numId w:val="3"/>
        </w:numPr>
        <w:ind w:firstLineChars="0"/>
        <w:rPr>
          <w:rFonts w:ascii="宋体" w:hAnsi="宋体" w:cs="宋体"/>
          <w:color w:val="000000"/>
        </w:rPr>
      </w:pPr>
      <w:r>
        <w:rPr>
          <w:rFonts w:hint="eastAsia" w:ascii="宋体" w:hAnsi="宋体" w:cs="宋体"/>
          <w:color w:val="000000"/>
        </w:rPr>
        <w:t>系统安全与等级保护服务</w:t>
      </w:r>
    </w:p>
    <w:p w14:paraId="37D02048">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服务内容及参数要求</w:t>
      </w:r>
    </w:p>
    <w:tbl>
      <w:tblPr>
        <w:tblStyle w:val="14"/>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03"/>
        <w:gridCol w:w="6597"/>
      </w:tblGrid>
      <w:tr w14:paraId="72B5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79598A1F">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2EA322CD">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性能要求</w:t>
            </w:r>
          </w:p>
        </w:tc>
        <w:tc>
          <w:tcPr>
            <w:tcW w:w="6597" w:type="dxa"/>
            <w:tcBorders>
              <w:top w:val="single" w:color="auto" w:sz="4" w:space="0"/>
              <w:left w:val="single" w:color="auto" w:sz="4" w:space="0"/>
              <w:bottom w:val="single" w:color="auto" w:sz="4" w:space="0"/>
              <w:right w:val="single" w:color="auto" w:sz="4" w:space="0"/>
            </w:tcBorders>
            <w:vAlign w:val="center"/>
          </w:tcPr>
          <w:p w14:paraId="7DDB2CC3">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技术参数</w:t>
            </w:r>
          </w:p>
        </w:tc>
      </w:tr>
      <w:tr w14:paraId="4394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31747ACE">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1</w:t>
            </w:r>
          </w:p>
        </w:tc>
        <w:tc>
          <w:tcPr>
            <w:tcW w:w="1203" w:type="dxa"/>
            <w:tcBorders>
              <w:top w:val="single" w:color="auto" w:sz="4" w:space="0"/>
              <w:left w:val="single" w:color="auto" w:sz="4" w:space="0"/>
              <w:bottom w:val="single" w:color="auto" w:sz="4" w:space="0"/>
              <w:right w:val="single" w:color="auto" w:sz="4" w:space="0"/>
            </w:tcBorders>
            <w:vAlign w:val="center"/>
          </w:tcPr>
          <w:p w14:paraId="36D45641">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技术架构</w:t>
            </w:r>
          </w:p>
        </w:tc>
        <w:tc>
          <w:tcPr>
            <w:tcW w:w="6597" w:type="dxa"/>
            <w:tcBorders>
              <w:top w:val="single" w:color="auto" w:sz="4" w:space="0"/>
              <w:left w:val="single" w:color="auto" w:sz="4" w:space="0"/>
              <w:bottom w:val="single" w:color="auto" w:sz="4" w:space="0"/>
              <w:right w:val="single" w:color="auto" w:sz="4" w:space="0"/>
            </w:tcBorders>
            <w:vAlign w:val="center"/>
          </w:tcPr>
          <w:p w14:paraId="0A349770">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1.平台需采用分布式架构设计，采用B/S结构，符合springboot+oauth2.0的软件架构；</w:t>
            </w:r>
          </w:p>
          <w:p w14:paraId="3FB7B00B">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2.数据库需采用常见大型主流数据库如Mysql等数据库系统；</w:t>
            </w:r>
          </w:p>
          <w:p w14:paraId="413DD4D6">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3.系统必须是投标人成熟、稳定的系统版本；</w:t>
            </w:r>
          </w:p>
          <w:p w14:paraId="4FFC1E49">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4.支持本地部署及云部署方案。</w:t>
            </w:r>
          </w:p>
        </w:tc>
      </w:tr>
      <w:tr w14:paraId="762F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5EA889A4">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2</w:t>
            </w:r>
          </w:p>
        </w:tc>
        <w:tc>
          <w:tcPr>
            <w:tcW w:w="1203" w:type="dxa"/>
            <w:tcBorders>
              <w:top w:val="single" w:color="auto" w:sz="4" w:space="0"/>
              <w:left w:val="single" w:color="auto" w:sz="4" w:space="0"/>
              <w:bottom w:val="single" w:color="auto" w:sz="4" w:space="0"/>
              <w:right w:val="single" w:color="auto" w:sz="4" w:space="0"/>
            </w:tcBorders>
            <w:vAlign w:val="center"/>
          </w:tcPr>
          <w:p w14:paraId="2F7B83DD">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安全性</w:t>
            </w:r>
          </w:p>
        </w:tc>
        <w:tc>
          <w:tcPr>
            <w:tcW w:w="6597" w:type="dxa"/>
            <w:tcBorders>
              <w:top w:val="single" w:color="auto" w:sz="4" w:space="0"/>
              <w:left w:val="single" w:color="auto" w:sz="4" w:space="0"/>
              <w:bottom w:val="single" w:color="auto" w:sz="4" w:space="0"/>
              <w:right w:val="single" w:color="auto" w:sz="4" w:space="0"/>
            </w:tcBorders>
            <w:vAlign w:val="center"/>
          </w:tcPr>
          <w:p w14:paraId="7F6E5C7D">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1.</w:t>
            </w:r>
            <w:r>
              <w:rPr>
                <w:rFonts w:hint="eastAsia" w:ascii="宋体" w:hAnsi="宋体" w:cs="宋体"/>
                <w:color w:val="000000" w:themeColor="text1"/>
                <w:kern w:val="0"/>
                <w:sz w:val="21"/>
                <w:szCs w:val="21"/>
                <w:lang w:bidi="ar"/>
                <w14:textFill>
                  <w14:solidFill>
                    <w14:schemeClr w14:val="tx1"/>
                  </w14:solidFill>
                </w14:textFill>
              </w:rPr>
              <w:t>具备符合三级等保要求的信息安全防护能力；</w:t>
            </w:r>
          </w:p>
          <w:p w14:paraId="723C6138">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2.具有安全策略和备份机制，支持平台</w:t>
            </w:r>
            <w:r>
              <w:rPr>
                <w:rFonts w:hint="eastAsia" w:ascii="宋体" w:hAnsi="宋体" w:cs="宋体"/>
                <w:sz w:val="21"/>
                <w:szCs w:val="21"/>
                <w:lang w:bidi="ar"/>
              </w:rPr>
              <w:t>数据</w:t>
            </w:r>
            <w:r>
              <w:rPr>
                <w:rFonts w:hint="eastAsia" w:ascii="宋体" w:hAnsi="宋体" w:cs="宋体"/>
                <w:sz w:val="21"/>
                <w:szCs w:val="21"/>
                <w:lang w:val="zh-CN" w:bidi="ar"/>
              </w:rPr>
              <w:t>自动备份或用户自行手动备份。</w:t>
            </w:r>
          </w:p>
        </w:tc>
      </w:tr>
      <w:tr w14:paraId="358D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39885AA3">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3</w:t>
            </w:r>
          </w:p>
        </w:tc>
        <w:tc>
          <w:tcPr>
            <w:tcW w:w="1203" w:type="dxa"/>
            <w:tcBorders>
              <w:top w:val="single" w:color="auto" w:sz="4" w:space="0"/>
              <w:left w:val="single" w:color="auto" w:sz="4" w:space="0"/>
              <w:bottom w:val="single" w:color="auto" w:sz="4" w:space="0"/>
              <w:right w:val="single" w:color="auto" w:sz="4" w:space="0"/>
            </w:tcBorders>
            <w:vAlign w:val="center"/>
          </w:tcPr>
          <w:p w14:paraId="55B954D5">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关联性</w:t>
            </w:r>
          </w:p>
        </w:tc>
        <w:tc>
          <w:tcPr>
            <w:tcW w:w="6597" w:type="dxa"/>
            <w:tcBorders>
              <w:top w:val="single" w:color="auto" w:sz="4" w:space="0"/>
              <w:left w:val="single" w:color="auto" w:sz="4" w:space="0"/>
              <w:bottom w:val="single" w:color="auto" w:sz="4" w:space="0"/>
              <w:right w:val="single" w:color="auto" w:sz="4" w:space="0"/>
            </w:tcBorders>
            <w:vAlign w:val="center"/>
          </w:tcPr>
          <w:p w14:paraId="32288CE8">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系统必须具有严谨的数据关联性，对于已产生前后关联的数据，系统应具备有效的控制与提醒机制，不能够允许随意修改或删除，以防止误操作带来的数据安全隐患。系统能实现数据“一处修改，多处自动变化”。</w:t>
            </w:r>
          </w:p>
        </w:tc>
      </w:tr>
      <w:tr w14:paraId="5373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536E1D8B">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4</w:t>
            </w:r>
          </w:p>
        </w:tc>
        <w:tc>
          <w:tcPr>
            <w:tcW w:w="1203" w:type="dxa"/>
            <w:tcBorders>
              <w:top w:val="single" w:color="auto" w:sz="4" w:space="0"/>
              <w:left w:val="single" w:color="auto" w:sz="4" w:space="0"/>
              <w:bottom w:val="single" w:color="auto" w:sz="4" w:space="0"/>
              <w:right w:val="single" w:color="auto" w:sz="4" w:space="0"/>
            </w:tcBorders>
            <w:vAlign w:val="center"/>
          </w:tcPr>
          <w:p w14:paraId="2FE432A2">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数据输出要求</w:t>
            </w:r>
          </w:p>
        </w:tc>
        <w:tc>
          <w:tcPr>
            <w:tcW w:w="6597" w:type="dxa"/>
            <w:tcBorders>
              <w:top w:val="single" w:color="auto" w:sz="4" w:space="0"/>
              <w:left w:val="single" w:color="auto" w:sz="4" w:space="0"/>
              <w:bottom w:val="single" w:color="auto" w:sz="4" w:space="0"/>
              <w:right w:val="single" w:color="auto" w:sz="4" w:space="0"/>
            </w:tcBorders>
            <w:vAlign w:val="center"/>
          </w:tcPr>
          <w:p w14:paraId="41FDCE75">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1．实现与新疆教育收费系统对接：实现新疆一体化在线学习平台财务系统对接新疆教育收费系统，利用目前财务系统的预交费设置，结合对接在用招生系统，学生空间实现新疆开放大学、</w:t>
            </w:r>
            <w:r>
              <w:rPr>
                <w:rFonts w:hint="eastAsia" w:ascii="宋体" w:hAnsi="宋体" w:cs="宋体"/>
                <w:sz w:val="21"/>
                <w:szCs w:val="21"/>
                <w:lang w:bidi="ar"/>
              </w:rPr>
              <w:t>伊犁</w:t>
            </w:r>
            <w:r>
              <w:rPr>
                <w:rFonts w:hint="eastAsia" w:ascii="宋体" w:hAnsi="宋体" w:cs="宋体"/>
                <w:sz w:val="21"/>
                <w:szCs w:val="21"/>
                <w:lang w:val="zh-CN" w:bidi="ar"/>
              </w:rPr>
              <w:t>开放大学、哈密开放大学学生缴费时学生相关的个人及缴费订单信息直接推送至新疆教育收费系统，学生无需二次认证直接跳转到新疆教育收费系统进行缴费，缴费结果能够实时反馈。需要同时满足学生pc及h5端缴费。限期中标后5个工作日内完成。</w:t>
            </w:r>
          </w:p>
          <w:p w14:paraId="2BA1338B">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2.预报名表单字段、数据字典与国开一网一平台保持一致，保证数据回传国开。</w:t>
            </w:r>
          </w:p>
        </w:tc>
      </w:tr>
      <w:tr w14:paraId="3187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087F34B0">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5</w:t>
            </w:r>
          </w:p>
        </w:tc>
        <w:tc>
          <w:tcPr>
            <w:tcW w:w="1203" w:type="dxa"/>
            <w:tcBorders>
              <w:top w:val="single" w:color="auto" w:sz="4" w:space="0"/>
              <w:left w:val="single" w:color="auto" w:sz="4" w:space="0"/>
              <w:bottom w:val="single" w:color="auto" w:sz="4" w:space="0"/>
              <w:right w:val="single" w:color="auto" w:sz="4" w:space="0"/>
            </w:tcBorders>
            <w:vAlign w:val="center"/>
          </w:tcPr>
          <w:p w14:paraId="37DCFF0B">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系统管理</w:t>
            </w:r>
          </w:p>
        </w:tc>
        <w:tc>
          <w:tcPr>
            <w:tcW w:w="6597" w:type="dxa"/>
            <w:tcBorders>
              <w:top w:val="single" w:color="auto" w:sz="4" w:space="0"/>
              <w:left w:val="single" w:color="auto" w:sz="4" w:space="0"/>
              <w:bottom w:val="single" w:color="auto" w:sz="4" w:space="0"/>
              <w:right w:val="single" w:color="auto" w:sz="4" w:space="0"/>
            </w:tcBorders>
            <w:vAlign w:val="center"/>
          </w:tcPr>
          <w:p w14:paraId="7D93F518">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具备系统管理员维护功能如角色管理、权限配置、用户管理、各项参数管理等。</w:t>
            </w:r>
          </w:p>
        </w:tc>
      </w:tr>
      <w:tr w14:paraId="598C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2CF5D0AD">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6</w:t>
            </w:r>
          </w:p>
        </w:tc>
        <w:tc>
          <w:tcPr>
            <w:tcW w:w="1203" w:type="dxa"/>
            <w:tcBorders>
              <w:top w:val="single" w:color="auto" w:sz="4" w:space="0"/>
              <w:left w:val="single" w:color="auto" w:sz="4" w:space="0"/>
              <w:bottom w:val="single" w:color="auto" w:sz="4" w:space="0"/>
              <w:right w:val="single" w:color="auto" w:sz="4" w:space="0"/>
            </w:tcBorders>
            <w:vAlign w:val="center"/>
          </w:tcPr>
          <w:p w14:paraId="18703FF9">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兼容性</w:t>
            </w:r>
          </w:p>
        </w:tc>
        <w:tc>
          <w:tcPr>
            <w:tcW w:w="6597" w:type="dxa"/>
            <w:tcBorders>
              <w:top w:val="single" w:color="auto" w:sz="4" w:space="0"/>
              <w:left w:val="single" w:color="auto" w:sz="4" w:space="0"/>
              <w:bottom w:val="single" w:color="auto" w:sz="4" w:space="0"/>
              <w:right w:val="single" w:color="auto" w:sz="4" w:space="0"/>
            </w:tcBorders>
            <w:vAlign w:val="center"/>
          </w:tcPr>
          <w:p w14:paraId="6D014DB7">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1.PC端支持win7及以上版本的32与64位系统；</w:t>
            </w:r>
          </w:p>
          <w:p w14:paraId="38CA7A6A">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2.浏览器兼容支持chrome，360极速浏览器。</w:t>
            </w:r>
          </w:p>
        </w:tc>
      </w:tr>
      <w:tr w14:paraId="72B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6825AB3A">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7</w:t>
            </w:r>
          </w:p>
        </w:tc>
        <w:tc>
          <w:tcPr>
            <w:tcW w:w="1203" w:type="dxa"/>
            <w:tcBorders>
              <w:top w:val="single" w:color="auto" w:sz="4" w:space="0"/>
              <w:left w:val="single" w:color="auto" w:sz="4" w:space="0"/>
              <w:bottom w:val="single" w:color="auto" w:sz="4" w:space="0"/>
              <w:right w:val="single" w:color="auto" w:sz="4" w:space="0"/>
            </w:tcBorders>
            <w:vAlign w:val="center"/>
          </w:tcPr>
          <w:p w14:paraId="76735CB1">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扩展性</w:t>
            </w:r>
          </w:p>
        </w:tc>
        <w:tc>
          <w:tcPr>
            <w:tcW w:w="6597" w:type="dxa"/>
            <w:tcBorders>
              <w:top w:val="single" w:color="auto" w:sz="4" w:space="0"/>
              <w:left w:val="single" w:color="auto" w:sz="4" w:space="0"/>
              <w:bottom w:val="single" w:color="auto" w:sz="4" w:space="0"/>
              <w:right w:val="single" w:color="auto" w:sz="4" w:space="0"/>
            </w:tcBorders>
            <w:vAlign w:val="center"/>
          </w:tcPr>
          <w:p w14:paraId="29CA8398">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系统应具有良好的扩展性，必须提供统一的系统版本；</w:t>
            </w:r>
          </w:p>
          <w:p w14:paraId="3269C894">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支持Web服务器集群，支持数据库集群。</w:t>
            </w:r>
          </w:p>
        </w:tc>
      </w:tr>
      <w:tr w14:paraId="4945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1BB10343">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8</w:t>
            </w:r>
          </w:p>
        </w:tc>
        <w:tc>
          <w:tcPr>
            <w:tcW w:w="1203" w:type="dxa"/>
            <w:tcBorders>
              <w:top w:val="single" w:color="auto" w:sz="4" w:space="0"/>
              <w:left w:val="single" w:color="auto" w:sz="4" w:space="0"/>
              <w:bottom w:val="single" w:color="auto" w:sz="4" w:space="0"/>
              <w:right w:val="single" w:color="auto" w:sz="4" w:space="0"/>
            </w:tcBorders>
            <w:vAlign w:val="center"/>
          </w:tcPr>
          <w:p w14:paraId="64101CC9">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知识产权</w:t>
            </w:r>
          </w:p>
        </w:tc>
        <w:tc>
          <w:tcPr>
            <w:tcW w:w="6597" w:type="dxa"/>
            <w:tcBorders>
              <w:top w:val="single" w:color="auto" w:sz="4" w:space="0"/>
              <w:left w:val="single" w:color="auto" w:sz="4" w:space="0"/>
              <w:bottom w:val="single" w:color="auto" w:sz="4" w:space="0"/>
              <w:right w:val="single" w:color="auto" w:sz="4" w:space="0"/>
            </w:tcBorders>
            <w:vAlign w:val="center"/>
          </w:tcPr>
          <w:p w14:paraId="094F762A">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1.系统须为投标人自有系统，具有软件著作权等知识产权证明；</w:t>
            </w:r>
          </w:p>
          <w:p w14:paraId="31BD1B8B">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2.用户在平台使用的自主开发课程资源版权完全归属用户。</w:t>
            </w:r>
          </w:p>
        </w:tc>
      </w:tr>
      <w:tr w14:paraId="1260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674E1330">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9</w:t>
            </w:r>
          </w:p>
        </w:tc>
        <w:tc>
          <w:tcPr>
            <w:tcW w:w="1203" w:type="dxa"/>
            <w:tcBorders>
              <w:top w:val="single" w:color="auto" w:sz="4" w:space="0"/>
              <w:left w:val="single" w:color="auto" w:sz="4" w:space="0"/>
              <w:bottom w:val="single" w:color="auto" w:sz="4" w:space="0"/>
              <w:right w:val="single" w:color="auto" w:sz="4" w:space="0"/>
            </w:tcBorders>
            <w:vAlign w:val="center"/>
          </w:tcPr>
          <w:p w14:paraId="55E87BC7">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移动端</w:t>
            </w:r>
          </w:p>
        </w:tc>
        <w:tc>
          <w:tcPr>
            <w:tcW w:w="6597" w:type="dxa"/>
            <w:tcBorders>
              <w:top w:val="single" w:color="auto" w:sz="4" w:space="0"/>
              <w:left w:val="single" w:color="auto" w:sz="4" w:space="0"/>
              <w:bottom w:val="single" w:color="auto" w:sz="4" w:space="0"/>
              <w:right w:val="single" w:color="auto" w:sz="4" w:space="0"/>
            </w:tcBorders>
            <w:vAlign w:val="center"/>
          </w:tcPr>
          <w:p w14:paraId="3CCB29C2">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支持移动端</w:t>
            </w:r>
            <w:r>
              <w:rPr>
                <w:rFonts w:hint="eastAsia" w:ascii="宋体" w:hAnsi="宋体" w:cs="宋体"/>
                <w:sz w:val="21"/>
                <w:szCs w:val="21"/>
                <w:lang w:bidi="ar"/>
              </w:rPr>
              <w:t>H5</w:t>
            </w:r>
            <w:r>
              <w:rPr>
                <w:rFonts w:hint="eastAsia" w:ascii="宋体" w:hAnsi="宋体" w:cs="宋体"/>
                <w:sz w:val="21"/>
                <w:szCs w:val="21"/>
                <w:lang w:val="zh-CN" w:bidi="ar"/>
              </w:rPr>
              <w:t>应用</w:t>
            </w:r>
          </w:p>
        </w:tc>
      </w:tr>
      <w:tr w14:paraId="11E3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103B2DA8">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10</w:t>
            </w:r>
          </w:p>
        </w:tc>
        <w:tc>
          <w:tcPr>
            <w:tcW w:w="1203" w:type="dxa"/>
            <w:tcBorders>
              <w:top w:val="single" w:color="auto" w:sz="4" w:space="0"/>
              <w:left w:val="single" w:color="auto" w:sz="4" w:space="0"/>
              <w:bottom w:val="single" w:color="auto" w:sz="4" w:space="0"/>
              <w:right w:val="single" w:color="auto" w:sz="4" w:space="0"/>
            </w:tcBorders>
            <w:vAlign w:val="center"/>
          </w:tcPr>
          <w:p w14:paraId="69E756B5">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使用要求</w:t>
            </w:r>
          </w:p>
        </w:tc>
        <w:tc>
          <w:tcPr>
            <w:tcW w:w="6597" w:type="dxa"/>
            <w:tcBorders>
              <w:top w:val="single" w:color="auto" w:sz="4" w:space="0"/>
              <w:left w:val="single" w:color="auto" w:sz="4" w:space="0"/>
              <w:bottom w:val="single" w:color="auto" w:sz="4" w:space="0"/>
              <w:right w:val="single" w:color="auto" w:sz="4" w:space="0"/>
            </w:tcBorders>
            <w:vAlign w:val="center"/>
          </w:tcPr>
          <w:p w14:paraId="3E408F17">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平台设计满足管理平台&gt;=50万注册用户，同时在线人数&gt;=20000人，同时在线视频用户&gt;=2000人。满足累计一年25万人课次在线考试</w:t>
            </w:r>
          </w:p>
        </w:tc>
      </w:tr>
      <w:tr w14:paraId="65B5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46F56E3C">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11</w:t>
            </w:r>
          </w:p>
        </w:tc>
        <w:tc>
          <w:tcPr>
            <w:tcW w:w="1203" w:type="dxa"/>
            <w:tcBorders>
              <w:top w:val="single" w:color="auto" w:sz="4" w:space="0"/>
              <w:left w:val="single" w:color="auto" w:sz="4" w:space="0"/>
              <w:bottom w:val="single" w:color="auto" w:sz="4" w:space="0"/>
              <w:right w:val="single" w:color="auto" w:sz="4" w:space="0"/>
            </w:tcBorders>
            <w:vAlign w:val="center"/>
          </w:tcPr>
          <w:p w14:paraId="1757785F">
            <w:pPr>
              <w:autoSpaceDE w:val="0"/>
              <w:autoSpaceDN w:val="0"/>
              <w:adjustRightInd w:val="0"/>
              <w:spacing w:line="560" w:lineRule="exact"/>
              <w:jc w:val="center"/>
              <w:rPr>
                <w:rFonts w:ascii="宋体" w:hAnsi="宋体" w:cs="宋体"/>
                <w:sz w:val="21"/>
                <w:szCs w:val="21"/>
                <w:lang w:val="zh-CN" w:bidi="ar"/>
              </w:rPr>
            </w:pPr>
            <w:r>
              <w:rPr>
                <w:rFonts w:hint="eastAsia" w:ascii="宋体" w:hAnsi="宋体" w:cs="宋体"/>
                <w:sz w:val="21"/>
                <w:szCs w:val="21"/>
                <w:lang w:val="zh-CN" w:bidi="ar"/>
              </w:rPr>
              <w:t>服务器要求</w:t>
            </w:r>
          </w:p>
        </w:tc>
        <w:tc>
          <w:tcPr>
            <w:tcW w:w="6597" w:type="dxa"/>
            <w:tcBorders>
              <w:top w:val="single" w:color="auto" w:sz="4" w:space="0"/>
              <w:left w:val="single" w:color="auto" w:sz="4" w:space="0"/>
              <w:bottom w:val="single" w:color="auto" w:sz="4" w:space="0"/>
              <w:right w:val="single" w:color="auto" w:sz="4" w:space="0"/>
            </w:tcBorders>
            <w:vAlign w:val="center"/>
          </w:tcPr>
          <w:p w14:paraId="06FB3291">
            <w:pPr>
              <w:autoSpaceDE w:val="0"/>
              <w:autoSpaceDN w:val="0"/>
              <w:adjustRightInd w:val="0"/>
              <w:spacing w:line="560" w:lineRule="exact"/>
              <w:jc w:val="left"/>
              <w:rPr>
                <w:rFonts w:ascii="宋体" w:hAnsi="宋体" w:cs="宋体"/>
                <w:sz w:val="21"/>
                <w:szCs w:val="21"/>
                <w:lang w:val="zh-CN" w:bidi="ar"/>
              </w:rPr>
            </w:pPr>
            <w:r>
              <w:rPr>
                <w:rFonts w:hint="eastAsia" w:ascii="宋体" w:hAnsi="宋体" w:cs="宋体"/>
                <w:sz w:val="21"/>
                <w:szCs w:val="21"/>
                <w:lang w:val="zh-CN" w:bidi="ar"/>
              </w:rPr>
              <w:t>云服务器配置：CPU≥8vCPU，内存≥64GBRAM，数量≥4台；高性能数据库：CPU≥16vCPU，内存≥64GBRAM（写≥1台），CPU≥12vCPU，内存≥48GBRAM（读≥2台）。</w:t>
            </w:r>
          </w:p>
        </w:tc>
      </w:tr>
    </w:tbl>
    <w:p w14:paraId="60C224BC">
      <w:pPr>
        <w:pStyle w:val="7"/>
        <w:ind w:left="420" w:firstLine="0" w:firstLineChars="0"/>
        <w:rPr>
          <w:rFonts w:ascii="宋体" w:hAnsi="宋体" w:cs="宋体"/>
          <w:color w:val="000000"/>
        </w:rPr>
      </w:pPr>
    </w:p>
    <w:p w14:paraId="6E9785B6">
      <w:pPr>
        <w:pStyle w:val="4"/>
        <w:spacing w:before="200" w:after="200" w:line="360" w:lineRule="auto"/>
        <w:rPr>
          <w:rFonts w:hint="default"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4.1系统运维服务</w:t>
      </w:r>
    </w:p>
    <w:p w14:paraId="598732FD">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包括但不限于系统监控、性能优化、故障响应、数据备份与恢复、安全管理等。</w:t>
      </w:r>
    </w:p>
    <w:p w14:paraId="1423FA5E">
      <w:pPr>
        <w:pStyle w:val="5"/>
        <w:spacing w:before="200" w:after="200" w:line="360" w:lineRule="auto"/>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4.1.1 系统运维服务目标：</w:t>
      </w:r>
    </w:p>
    <w:p w14:paraId="48188BAC">
      <w:pPr>
        <w:pStyle w:val="7"/>
        <w:numPr>
          <w:ilvl w:val="0"/>
          <w:numId w:val="4"/>
        </w:numPr>
        <w:spacing w:before="0" w:after="0" w:line="360" w:lineRule="auto"/>
        <w:ind w:left="0" w:firstLine="48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确保一体化平台的稳定性和可靠性，</w:t>
      </w:r>
      <w:r>
        <w:rPr>
          <w:rFonts w:hint="eastAsia" w:ascii="宋体"/>
          <w:color w:val="000000" w:themeColor="text1"/>
          <w14:textFill>
            <w14:solidFill>
              <w14:schemeClr w14:val="tx1"/>
            </w14:solidFill>
          </w14:textFill>
        </w:rPr>
        <w:t>99.95%的</w:t>
      </w:r>
      <w:r>
        <w:rPr>
          <w:rFonts w:ascii="宋体"/>
          <w:color w:val="000000" w:themeColor="text1"/>
          <w14:textFill>
            <w14:solidFill>
              <w14:schemeClr w14:val="tx1"/>
            </w14:solidFill>
          </w14:textFill>
        </w:rPr>
        <w:t>最大化正常运行时间。</w:t>
      </w:r>
    </w:p>
    <w:p w14:paraId="431C3ECD">
      <w:pPr>
        <w:pStyle w:val="7"/>
        <w:numPr>
          <w:ilvl w:val="0"/>
          <w:numId w:val="4"/>
        </w:numPr>
        <w:spacing w:before="0" w:after="0" w:line="360" w:lineRule="auto"/>
        <w:ind w:left="0" w:firstLine="48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实施有效的数据保护措施，保障教育数据的安全与完整性。</w:t>
      </w:r>
    </w:p>
    <w:p w14:paraId="220F3F33">
      <w:pPr>
        <w:pStyle w:val="7"/>
        <w:numPr>
          <w:ilvl w:val="0"/>
          <w:numId w:val="4"/>
        </w:numPr>
        <w:spacing w:before="0" w:after="0" w:line="360" w:lineRule="auto"/>
        <w:ind w:left="0" w:firstLine="48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提升系统的安全防护能力，防范潜在的信息安全隐患。</w:t>
      </w:r>
    </w:p>
    <w:p w14:paraId="002ABF44">
      <w:pPr>
        <w:pStyle w:val="7"/>
        <w:numPr>
          <w:ilvl w:val="0"/>
          <w:numId w:val="4"/>
        </w:numPr>
        <w:spacing w:before="0" w:after="0" w:line="360" w:lineRule="auto"/>
        <w:ind w:left="0" w:firstLine="48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优化用户体验，提高教育信息化服务的响应速度和质量。</w:t>
      </w:r>
    </w:p>
    <w:p w14:paraId="4661A517">
      <w:pPr>
        <w:pStyle w:val="5"/>
        <w:spacing w:before="200" w:after="200" w:line="360" w:lineRule="auto"/>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4.1.2 维护范围</w:t>
      </w:r>
    </w:p>
    <w:p w14:paraId="254B88FC">
      <w:pPr>
        <w:spacing w:line="360" w:lineRule="auto"/>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系统运维服务</w:t>
      </w:r>
      <w:r>
        <w:rPr>
          <w:rFonts w:ascii="宋体"/>
          <w:color w:val="000000" w:themeColor="text1"/>
          <w14:textFill>
            <w14:solidFill>
              <w14:schemeClr w14:val="tx1"/>
            </w14:solidFill>
          </w14:textFill>
        </w:rPr>
        <w:t>覆盖全部1</w:t>
      </w:r>
      <w:r>
        <w:rPr>
          <w:rFonts w:hint="eastAsia" w:ascii="宋体"/>
          <w:color w:val="000000" w:themeColor="text1"/>
          <w14:textFill>
            <w14:solidFill>
              <w14:schemeClr w14:val="tx1"/>
            </w14:solidFill>
          </w14:textFill>
        </w:rPr>
        <w:t>1</w:t>
      </w:r>
      <w:r>
        <w:rPr>
          <w:rFonts w:ascii="宋体"/>
          <w:color w:val="000000" w:themeColor="text1"/>
          <w14:textFill>
            <w14:solidFill>
              <w14:schemeClr w14:val="tx1"/>
            </w14:solidFill>
          </w14:textFill>
        </w:rPr>
        <w:t>个子系统，包括但不限于招生预报名管理、学生自主报名端、财务管理系统</w:t>
      </w:r>
      <w:r>
        <w:rPr>
          <w:rFonts w:hint="eastAsia" w:ascii="宋体"/>
          <w:color w:val="000000" w:themeColor="text1"/>
          <w14:textFill>
            <w14:solidFill>
              <w14:schemeClr w14:val="tx1"/>
            </w14:solidFill>
          </w14:textFill>
        </w:rPr>
        <w:t>、论文系统</w:t>
      </w:r>
      <w:r>
        <w:rPr>
          <w:rFonts w:ascii="宋体"/>
          <w:color w:val="000000" w:themeColor="text1"/>
          <w14:textFill>
            <w14:solidFill>
              <w14:schemeClr w14:val="tx1"/>
            </w14:solidFill>
          </w14:textFill>
        </w:rPr>
        <w:t>等。</w:t>
      </w:r>
    </w:p>
    <w:p w14:paraId="03C2DF5F">
      <w:pPr>
        <w:pStyle w:val="7"/>
        <w:spacing w:before="0" w:after="0" w:line="360" w:lineRule="auto"/>
        <w:ind w:firstLine="48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需要运营维护的系统</w:t>
      </w:r>
      <w:r>
        <w:rPr>
          <w:rFonts w:hint="eastAsia" w:ascii="宋体"/>
          <w:color w:val="000000" w:themeColor="text1"/>
          <w14:textFill>
            <w14:solidFill>
              <w14:schemeClr w14:val="tx1"/>
            </w14:solidFill>
          </w14:textFill>
        </w:rPr>
        <w:t>范围</w:t>
      </w:r>
      <w:r>
        <w:rPr>
          <w:rFonts w:ascii="宋体"/>
          <w:color w:val="000000" w:themeColor="text1"/>
          <w14:textFill>
            <w14:solidFill>
              <w14:schemeClr w14:val="tx1"/>
            </w14:solidFill>
          </w14:textFill>
        </w:rPr>
        <w:t>如下：</w:t>
      </w:r>
    </w:p>
    <w:p w14:paraId="207E08F7">
      <w:pPr>
        <w:pStyle w:val="7"/>
        <w:spacing w:before="0" w:after="0" w:line="360" w:lineRule="auto"/>
        <w:ind w:firstLine="480"/>
        <w:jc w:val="left"/>
        <w:rPr>
          <w:rFonts w:ascii="宋体" w:hAnsi="宋体" w:cs="宋体"/>
          <w:color w:val="000000" w:themeColor="text1"/>
          <w14:textFill>
            <w14:solidFill>
              <w14:schemeClr w14:val="tx1"/>
            </w14:solidFill>
          </w14:textFill>
        </w:rPr>
      </w:pPr>
    </w:p>
    <w:tbl>
      <w:tblPr>
        <w:tblStyle w:val="14"/>
        <w:tblW w:w="5045" w:type="pct"/>
        <w:jc w:val="center"/>
        <w:tblLayout w:type="autofit"/>
        <w:tblCellMar>
          <w:top w:w="0" w:type="dxa"/>
          <w:left w:w="108" w:type="dxa"/>
          <w:bottom w:w="0" w:type="dxa"/>
          <w:right w:w="108" w:type="dxa"/>
        </w:tblCellMar>
      </w:tblPr>
      <w:tblGrid>
        <w:gridCol w:w="978"/>
        <w:gridCol w:w="3230"/>
        <w:gridCol w:w="4391"/>
      </w:tblGrid>
      <w:tr w14:paraId="315C1A2B">
        <w:tblPrEx>
          <w:tblCellMar>
            <w:top w:w="0" w:type="dxa"/>
            <w:left w:w="108" w:type="dxa"/>
            <w:bottom w:w="0" w:type="dxa"/>
            <w:right w:w="108" w:type="dxa"/>
          </w:tblCellMar>
        </w:tblPrEx>
        <w:trPr>
          <w:trHeight w:val="611" w:hRule="atLeast"/>
          <w:jc w:val="center"/>
        </w:trPr>
        <w:tc>
          <w:tcPr>
            <w:tcW w:w="569" w:type="pct"/>
            <w:tcBorders>
              <w:top w:val="single" w:color="4583DD" w:sz="8" w:space="0"/>
              <w:left w:val="single" w:color="4583DD" w:sz="8" w:space="0"/>
              <w:bottom w:val="single" w:color="4583DD" w:sz="8" w:space="0"/>
              <w:right w:val="single" w:color="4583DD" w:sz="8" w:space="0"/>
            </w:tcBorders>
            <w:shd w:val="clear" w:color="auto" w:fill="C1D6F4"/>
            <w:vAlign w:val="center"/>
          </w:tcPr>
          <w:p w14:paraId="04D63CE1">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业务线</w:t>
            </w:r>
          </w:p>
        </w:tc>
        <w:tc>
          <w:tcPr>
            <w:tcW w:w="1878" w:type="pct"/>
            <w:tcBorders>
              <w:top w:val="single" w:color="4583DD" w:sz="8" w:space="0"/>
              <w:left w:val="single" w:color="4583DD" w:sz="8" w:space="0"/>
              <w:bottom w:val="single" w:color="4583DD" w:sz="8" w:space="0"/>
              <w:right w:val="single" w:color="4583DD" w:sz="8" w:space="0"/>
            </w:tcBorders>
            <w:shd w:val="clear" w:color="auto" w:fill="C1D6F4"/>
            <w:vAlign w:val="center"/>
          </w:tcPr>
          <w:p w14:paraId="31B6DE11">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系统名称</w:t>
            </w:r>
          </w:p>
        </w:tc>
        <w:tc>
          <w:tcPr>
            <w:tcW w:w="2553" w:type="pct"/>
            <w:tcBorders>
              <w:top w:val="single" w:color="4583DD" w:sz="8" w:space="0"/>
              <w:left w:val="single" w:color="4583DD" w:sz="8" w:space="0"/>
              <w:bottom w:val="single" w:color="4583DD" w:sz="8" w:space="0"/>
              <w:right w:val="single" w:color="4583DD" w:sz="8" w:space="0"/>
            </w:tcBorders>
            <w:shd w:val="clear" w:color="auto" w:fill="C1D6F4"/>
            <w:vAlign w:val="center"/>
          </w:tcPr>
          <w:p w14:paraId="30E0E8F5">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维护内容</w:t>
            </w:r>
          </w:p>
        </w:tc>
      </w:tr>
      <w:tr w14:paraId="51694A40">
        <w:tblPrEx>
          <w:tblCellMar>
            <w:top w:w="0" w:type="dxa"/>
            <w:left w:w="108" w:type="dxa"/>
            <w:bottom w:w="0" w:type="dxa"/>
            <w:right w:w="108" w:type="dxa"/>
          </w:tblCellMar>
        </w:tblPrEx>
        <w:trPr>
          <w:trHeight w:val="611" w:hRule="atLeast"/>
          <w:jc w:val="center"/>
        </w:trPr>
        <w:tc>
          <w:tcPr>
            <w:tcW w:w="569" w:type="pct"/>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36F614CD">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招生</w:t>
            </w: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3D21109">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预报名管理端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73099C17">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系统监控、故障处理、数据管理等</w:t>
            </w:r>
          </w:p>
          <w:p w14:paraId="1CC5569E">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招生批次管理、开设专业管理、招生老师二维码管理、预报名学生管理、预审自主报名学生、完善待回访学生、预报名数据统计分析；</w:t>
            </w:r>
          </w:p>
          <w:p w14:paraId="6F2DA62A">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新增专业与财务系统专业关联；</w:t>
            </w:r>
            <w:r>
              <w:rPr>
                <w:rFonts w:ascii="宋体" w:hAnsi="宋体" w:cs="宋体"/>
                <w:color w:val="000000" w:themeColor="text1"/>
                <w:sz w:val="21"/>
                <w:szCs w:val="21"/>
                <w14:textFill>
                  <w14:solidFill>
                    <w14:schemeClr w14:val="tx1"/>
                  </w14:solidFill>
                </w14:textFill>
              </w:rPr>
              <w:t xml:space="preserve"> </w:t>
            </w:r>
          </w:p>
        </w:tc>
      </w:tr>
      <w:tr w14:paraId="5C622DF0">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20275BD5">
            <w:pPr>
              <w:jc w:val="cente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41AC62B7">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预报名学生PC端、预报名学生H5端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3A0FB8AD">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用户体验优化、功能迭代开发</w:t>
            </w:r>
          </w:p>
          <w:p w14:paraId="732CFEDF">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查看专业、扫码报名及电签、查看预审结果</w:t>
            </w:r>
          </w:p>
        </w:tc>
      </w:tr>
      <w:tr w14:paraId="4E5B7B03">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37D9E7D6">
            <w:pPr>
              <w:jc w:val="cente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1B5254C5">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快速报名H5端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5465E067">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性能调优、安全防护升级</w:t>
            </w:r>
          </w:p>
          <w:p w14:paraId="008ADE72">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扫码选教学点快速报名</w:t>
            </w:r>
          </w:p>
        </w:tc>
      </w:tr>
      <w:tr w14:paraId="7B520AC3">
        <w:tblPrEx>
          <w:tblCellMar>
            <w:top w:w="0" w:type="dxa"/>
            <w:left w:w="108" w:type="dxa"/>
            <w:bottom w:w="0" w:type="dxa"/>
            <w:right w:w="108" w:type="dxa"/>
          </w:tblCellMar>
        </w:tblPrEx>
        <w:trPr>
          <w:trHeight w:val="611" w:hRule="atLeast"/>
          <w:jc w:val="center"/>
        </w:trPr>
        <w:tc>
          <w:tcPr>
            <w:tcW w:w="569" w:type="pct"/>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4F75C653">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缴费</w:t>
            </w: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5E6AE572">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财务管理端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46657D49">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系统稳定性监测、财务数据备份与恢复</w:t>
            </w:r>
          </w:p>
          <w:p w14:paraId="523E383F">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缴费项目管理、专业管理、科类专业管理、预交费设置、补交费管理、管理员缴费管理、订单查询、退款管理、转专业/变更教学点；</w:t>
            </w:r>
          </w:p>
          <w:p w14:paraId="44176D35">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教学点财务账户绑定与修改，订单信息维护</w:t>
            </w:r>
          </w:p>
        </w:tc>
      </w:tr>
      <w:tr w14:paraId="3ADFA152">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14A282D1">
            <w:pPr>
              <w:jc w:val="cente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81AE67C">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学生空间PC端、学生空间H5端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663E1472">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用户交互体验提升、界面优化</w:t>
            </w:r>
          </w:p>
          <w:p w14:paraId="7EAAA68A">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在线缴费、取消订单、缴费记录、支持向地方财政系统跳转</w:t>
            </w:r>
          </w:p>
        </w:tc>
      </w:tr>
      <w:tr w14:paraId="7FB4633F">
        <w:tblPrEx>
          <w:tblCellMar>
            <w:top w:w="0" w:type="dxa"/>
            <w:left w:w="108" w:type="dxa"/>
            <w:bottom w:w="0" w:type="dxa"/>
            <w:right w:w="108" w:type="dxa"/>
          </w:tblCellMar>
        </w:tblPrEx>
        <w:trPr>
          <w:trHeight w:val="611" w:hRule="atLeast"/>
          <w:jc w:val="center"/>
        </w:trPr>
        <w:tc>
          <w:tcPr>
            <w:tcW w:w="569" w:type="pct"/>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1E1ACF57">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教学</w:t>
            </w: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048ED85">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教学管理端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17142000">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教学内容更新、在线资源库维护</w:t>
            </w:r>
          </w:p>
          <w:p w14:paraId="7880AAA3">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年度学期管理、开设课程管理、课程教师管理、学生信息管理、选课管理、评阅教师管理、课程观察员管理、学生行为监控、教师行为监控、教师空间设置与监控、学生档案管理、公告管理</w:t>
            </w:r>
          </w:p>
          <w:p w14:paraId="4608BA8F">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对接国开一网一平台教务成绩</w:t>
            </w:r>
          </w:p>
        </w:tc>
      </w:tr>
      <w:tr w14:paraId="77A53DEF">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16C2D845">
            <w:pP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921054F">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班主任管理端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12760FDB">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班级信息管理、学生成绩统计</w:t>
            </w:r>
          </w:p>
          <w:p w14:paraId="217AE5EF">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班主任设置与管理、学生缴费情况统计</w:t>
            </w:r>
          </w:p>
        </w:tc>
      </w:tr>
      <w:tr w14:paraId="34FE406D">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255DFBDD">
            <w:pP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5965D3FF">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教师空间PC端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3D099B20">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课程资源共享、在线答疑互动</w:t>
            </w:r>
          </w:p>
          <w:p w14:paraId="4F6F98C1">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省开课/思政课建设、人脸识别测验/作业/考试设置、主观题评阅、课程公告管理</w:t>
            </w:r>
          </w:p>
        </w:tc>
      </w:tr>
      <w:tr w14:paraId="694E0B7B">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29AA81BC">
            <w:pP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3DCE8116">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学生空间PC端、学生空间H5端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7105877">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作业提交反馈、学习进度跟踪</w:t>
            </w:r>
          </w:p>
          <w:p w14:paraId="1C8D76D8">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思政课选课、课程学习、测验/作业/考试提交，完善并确认学生档案、公告查看、录取通知书下载、成绩与学分查看</w:t>
            </w:r>
          </w:p>
        </w:tc>
      </w:tr>
      <w:tr w14:paraId="038BB4A4">
        <w:tblPrEx>
          <w:tblCellMar>
            <w:top w:w="0" w:type="dxa"/>
            <w:left w:w="108" w:type="dxa"/>
            <w:bottom w:w="0" w:type="dxa"/>
            <w:right w:w="108" w:type="dxa"/>
          </w:tblCellMar>
        </w:tblPrEx>
        <w:trPr>
          <w:trHeight w:val="611" w:hRule="atLeast"/>
          <w:jc w:val="center"/>
        </w:trPr>
        <w:tc>
          <w:tcPr>
            <w:tcW w:w="569" w:type="pct"/>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3B461695">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w:t>
            </w: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782CC9EC">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论文管理端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052EA998">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批次管理、论文时间管理、成绩占比管理、论文教师设置与同步、论文教师资料统计、论文指导资料统计、指导老师学生管理、学位申请标记、写作进度监控、论文选题管理、论文/社会实践报告监控、论文抽查管理、论文成绩管理</w:t>
            </w:r>
          </w:p>
          <w:p w14:paraId="7310C53B">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 xml:space="preserve">论文/社会实践报告提交审核、评审流程优化 </w:t>
            </w:r>
          </w:p>
        </w:tc>
      </w:tr>
      <w:tr w14:paraId="51ADDBC2">
        <w:tblPrEx>
          <w:tblCellMar>
            <w:top w:w="0" w:type="dxa"/>
            <w:left w:w="108" w:type="dxa"/>
            <w:bottom w:w="0" w:type="dxa"/>
            <w:right w:w="108" w:type="dxa"/>
          </w:tblCellMar>
        </w:tblPrEx>
        <w:trPr>
          <w:trHeight w:val="611"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7129C3FF">
            <w:pP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63E4712A">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教师空间PC端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323BF5B3">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论文指导记录、评审意见反馈</w:t>
            </w:r>
          </w:p>
          <w:p w14:paraId="37BA2198">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论文教师资料维护、论文指导资料管理、论文教师审核、论文指导、论文/社会实践报告审核、论文抽查、论文监控</w:t>
            </w:r>
          </w:p>
        </w:tc>
      </w:tr>
      <w:tr w14:paraId="1AD96259">
        <w:tblPrEx>
          <w:tblCellMar>
            <w:top w:w="0" w:type="dxa"/>
            <w:left w:w="108" w:type="dxa"/>
            <w:bottom w:w="0" w:type="dxa"/>
            <w:right w:w="108" w:type="dxa"/>
          </w:tblCellMar>
        </w:tblPrEx>
        <w:trPr>
          <w:trHeight w:val="656" w:hRule="atLeast"/>
          <w:jc w:val="center"/>
        </w:trPr>
        <w:tc>
          <w:tcPr>
            <w:tcW w:w="569" w:type="pct"/>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141C318D">
            <w:pPr>
              <w:rPr>
                <w:rFonts w:ascii="宋体" w:hAnsi="宋体" w:cs="宋体"/>
                <w:color w:val="000000" w:themeColor="text1"/>
                <w:sz w:val="21"/>
                <w:szCs w:val="21"/>
                <w14:textFill>
                  <w14:solidFill>
                    <w14:schemeClr w14:val="tx1"/>
                  </w14:solidFill>
                </w14:textFill>
              </w:rPr>
            </w:pPr>
          </w:p>
        </w:tc>
        <w:tc>
          <w:tcPr>
            <w:tcW w:w="1878"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10721B8C">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仿宋" w:hAnsi="仿宋" w:eastAsia="仿宋" w:cs="仿宋"/>
                <w:lang w:eastAsia="zh-Hans"/>
              </w:rPr>
              <w:t>学生空间PC端、学生空间H5端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48C1E6EA">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论文撰写指导、资料下载服务</w:t>
            </w:r>
          </w:p>
          <w:p w14:paraId="67869A86">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论文指导资料查看、论文/社会实践报告提交修改、审核记录和抽查记录查看、论文成绩等级查看</w:t>
            </w:r>
          </w:p>
        </w:tc>
      </w:tr>
      <w:tr w14:paraId="5129BD46">
        <w:tblPrEx>
          <w:tblCellMar>
            <w:top w:w="0" w:type="dxa"/>
            <w:left w:w="108" w:type="dxa"/>
            <w:bottom w:w="0" w:type="dxa"/>
            <w:right w:w="108" w:type="dxa"/>
          </w:tblCellMar>
        </w:tblPrEx>
        <w:trPr>
          <w:trHeight w:val="656" w:hRule="atLeast"/>
          <w:jc w:val="center"/>
        </w:trPr>
        <w:tc>
          <w:tcPr>
            <w:tcW w:w="2447" w:type="pct"/>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14:paraId="243F4B12">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仿宋" w:hAnsi="仿宋" w:eastAsia="仿宋" w:cs="仿宋"/>
                <w:lang w:eastAsia="zh-Hans"/>
              </w:rPr>
              <w:t>预报名管理端、财务管理端、教学管理端、班主任管理端、论文管理端</w:t>
            </w:r>
          </w:p>
        </w:tc>
        <w:tc>
          <w:tcPr>
            <w:tcW w:w="2553" w:type="pct"/>
            <w:tcBorders>
              <w:top w:val="single" w:color="4583DD" w:sz="8" w:space="0"/>
              <w:left w:val="single" w:color="4583DD" w:sz="8" w:space="0"/>
              <w:bottom w:val="single" w:color="4583DD" w:sz="8" w:space="0"/>
              <w:right w:val="single" w:color="4583DD" w:sz="8" w:space="0"/>
            </w:tcBorders>
            <w:shd w:val="clear" w:color="auto" w:fill="FEFEFE"/>
            <w:vAlign w:val="center"/>
          </w:tcPr>
          <w:p w14:paraId="36498C92">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组织权限管理、角色管理、帐号管理、帐号复用与审核、学生类型管理</w:t>
            </w:r>
          </w:p>
          <w:p w14:paraId="06E5BABD">
            <w:pPr>
              <w:widowControl/>
              <w:jc w:val="left"/>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性能调优、安全防护升级、系统监控、故障处理、数据处理等</w:t>
            </w:r>
          </w:p>
        </w:tc>
      </w:tr>
    </w:tbl>
    <w:p w14:paraId="3D32C0BA">
      <w:pPr>
        <w:pStyle w:val="5"/>
        <w:spacing w:before="200" w:after="200" w:line="360" w:lineRule="auto"/>
        <w:jc w:val="left"/>
        <w:rPr>
          <w:rFonts w:hint="default"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4.1.</w:t>
      </w:r>
      <w:r>
        <w:rPr>
          <w:rFonts w:hint="eastAsia" w:ascii="宋体" w:hAnsi="宋体" w:eastAsia="宋体" w:cs="宋体"/>
          <w:b w:val="0"/>
          <w:color w:val="000000" w:themeColor="text1"/>
          <w:sz w:val="24"/>
          <w:lang w:val="en-US" w:eastAsia="zh-CN"/>
          <w14:textFill>
            <w14:solidFill>
              <w14:schemeClr w14:val="tx1"/>
            </w14:solidFill>
          </w14:textFill>
        </w:rPr>
        <w:t>3人员要求</w:t>
      </w:r>
    </w:p>
    <w:p w14:paraId="506E660F">
      <w:pPr>
        <w:spacing w:line="360" w:lineRule="auto"/>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在服务实施期间，供应商必须配备至少10名研发人员，且要出具相应的社会保险证明，各岗位具体配置如下</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包括但不限于</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 xml:space="preserve">：项目经理1人、产品经理1人、运维工程师2人、后端研发工程师2人、前端研发工程师2人、测试工程师2人。 </w:t>
      </w:r>
    </w:p>
    <w:p w14:paraId="37A7991D">
      <w:pPr>
        <w:pStyle w:val="4"/>
        <w:spacing w:before="200" w:after="200" w:line="360" w:lineRule="auto"/>
        <w:rPr>
          <w:rFonts w:hint="default"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4.2系统性能优化与迭代升级</w:t>
      </w:r>
    </w:p>
    <w:p w14:paraId="25CB3BA2">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系统性能与用户需求同步发展，优化资源配置。进行性能指标监控与优化策略制定实施，包括代码、数据库与网络配置优化。收集需求开发新功能，制定升级计划，经全面测试（单元测试、集成测试、用户验收测试）确保质量稳定性，采取严格数据安全保护措施，建立用户反馈机制与持续改进计划，密切关注市场动态与用户需求，明确迭代路线图与更新计划。</w:t>
      </w:r>
    </w:p>
    <w:p w14:paraId="0ED4EA12">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需确保实现</w:t>
      </w:r>
      <w:r>
        <w:rPr>
          <w:rFonts w:ascii="宋体"/>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1</w:t>
      </w:r>
      <w:r>
        <w:rPr>
          <w:rFonts w:ascii="宋体"/>
          <w:color w:val="000000" w:themeColor="text1"/>
          <w14:textFill>
            <w14:solidFill>
              <w14:schemeClr w14:val="tx1"/>
            </w14:solidFill>
          </w14:textFill>
        </w:rPr>
        <w:t>个子系统</w:t>
      </w:r>
      <w:r>
        <w:rPr>
          <w:rFonts w:hint="eastAsia" w:ascii="宋体" w:hAnsi="宋体" w:cs="宋体"/>
          <w:color w:val="000000" w:themeColor="text1"/>
          <w14:textFill>
            <w14:solidFill>
              <w14:schemeClr w14:val="tx1"/>
            </w14:solidFill>
          </w14:textFill>
        </w:rPr>
        <w:t>主要功能需求，包括：需满足基础数据、招生</w:t>
      </w:r>
      <w:r>
        <w:rPr>
          <w:rFonts w:ascii="宋体"/>
          <w:color w:val="000000" w:themeColor="text1"/>
          <w14:textFill>
            <w14:solidFill>
              <w14:schemeClr w14:val="tx1"/>
            </w14:solidFill>
          </w14:textFill>
        </w:rPr>
        <w:t>预报名管理、学生自主报名端、财务管理系统</w:t>
      </w:r>
      <w:r>
        <w:rPr>
          <w:rFonts w:hint="eastAsia" w:ascii="宋体"/>
          <w:color w:val="000000" w:themeColor="text1"/>
          <w14:textFill>
            <w14:solidFill>
              <w14:schemeClr w14:val="tx1"/>
            </w14:solidFill>
          </w14:textFill>
        </w:rPr>
        <w:t>、论文系统</w:t>
      </w:r>
      <w:r>
        <w:rPr>
          <w:rFonts w:hint="eastAsia" w:ascii="宋体" w:hAnsi="宋体" w:cs="宋体"/>
          <w:color w:val="000000" w:themeColor="text1"/>
          <w14:textFill>
            <w14:solidFill>
              <w14:schemeClr w14:val="tx1"/>
            </w14:solidFill>
          </w14:textFill>
        </w:rPr>
        <w:t>等一系列业务的信息化管理，满足新疆开放大学办学的全过程管理，可实现各端口之间数据相通，实时保障数据安全。</w:t>
      </w:r>
    </w:p>
    <w:p w14:paraId="652D237F">
      <w:pPr>
        <w:pStyle w:val="5"/>
        <w:spacing w:before="200" w:after="200" w:line="360" w:lineRule="auto"/>
        <w:jc w:val="left"/>
        <w:rPr>
          <w:rFonts w:hint="default"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w:t>
      </w:r>
      <w:r>
        <w:rPr>
          <w:rFonts w:hint="eastAsia" w:ascii="宋体" w:hAnsi="宋体" w:eastAsia="宋体" w:cs="宋体"/>
          <w:b w:val="0"/>
          <w:color w:val="000000" w:themeColor="text1"/>
          <w:sz w:val="24"/>
          <w:lang w:val="en-US" w:eastAsia="zh-CN"/>
          <w14:textFill>
            <w14:solidFill>
              <w14:schemeClr w14:val="tx1"/>
            </w14:solidFill>
          </w14:textFill>
        </w:rPr>
        <w:t>2</w:t>
      </w:r>
      <w:r>
        <w:rPr>
          <w:rFonts w:hint="eastAsia" w:ascii="宋体" w:hAnsi="宋体" w:eastAsia="宋体" w:cs="宋体"/>
          <w:b w:val="0"/>
          <w:color w:val="000000" w:themeColor="text1"/>
          <w:sz w:val="24"/>
          <w14:textFill>
            <w14:solidFill>
              <w14:schemeClr w14:val="tx1"/>
            </w14:solidFill>
          </w14:textFill>
        </w:rPr>
        <w:t>.</w:t>
      </w:r>
      <w:r>
        <w:rPr>
          <w:rFonts w:hint="eastAsia" w:ascii="宋体" w:hAnsi="宋体" w:eastAsia="宋体" w:cs="宋体"/>
          <w:b w:val="0"/>
          <w:color w:val="000000" w:themeColor="text1"/>
          <w:sz w:val="24"/>
          <w:lang w:val="en-US" w:eastAsia="zh-CN"/>
          <w14:textFill>
            <w14:solidFill>
              <w14:schemeClr w14:val="tx1"/>
            </w14:solidFill>
          </w14:textFill>
        </w:rPr>
        <w:t>1迭代服务要求</w:t>
      </w:r>
    </w:p>
    <w:p w14:paraId="31A138CB">
      <w:pPr>
        <w:spacing w:line="360" w:lineRule="auto"/>
        <w:rPr>
          <w:rFonts w:hint="eastAsia" w:ascii="宋体" w:hAnsi="宋体" w:cs="宋体"/>
          <w:color w:val="000000" w:themeColor="text1"/>
          <w14:textFill>
            <w14:solidFill>
              <w14:schemeClr w14:val="tx1"/>
            </w14:solidFill>
          </w14:textFill>
        </w:rPr>
      </w:pPr>
    </w:p>
    <w:p w14:paraId="63789DBB">
      <w:pPr>
        <w:spacing w:line="360" w:lineRule="auto"/>
        <w:ind w:firstLine="480" w:firstLineChars="200"/>
        <w:rPr>
          <w:rFonts w:hint="default" w:ascii="宋体" w:hAnsi="宋体" w:eastAsia="宋体" w:cs="宋体"/>
          <w:color w:val="auto"/>
          <w:kern w:val="0"/>
          <w:sz w:val="24"/>
          <w:szCs w:val="24"/>
          <w:lang w:val="en-US" w:eastAsia="zh-CN" w:bidi="ar"/>
        </w:rPr>
      </w:pPr>
      <w:r>
        <w:rPr>
          <w:rFonts w:hint="eastAsia" w:ascii="宋体" w:hAnsi="宋体" w:cs="宋体"/>
          <w:color w:val="000000" w:themeColor="text1"/>
          <w:lang w:val="en-US" w:eastAsia="zh-CN"/>
          <w14:textFill>
            <w14:solidFill>
              <w14:schemeClr w14:val="tx1"/>
            </w14:solidFill>
          </w14:textFill>
        </w:rPr>
        <w:t>供应商必须具备</w:t>
      </w:r>
      <w:r>
        <w:rPr>
          <w:rFonts w:hint="eastAsia" w:ascii="宋体" w:hAnsi="宋体" w:eastAsia="宋体" w:cs="宋体"/>
          <w:color w:val="auto"/>
          <w:kern w:val="0"/>
          <w:sz w:val="24"/>
          <w:szCs w:val="24"/>
          <w:lang w:val="en-US" w:eastAsia="zh-CN" w:bidi="ar"/>
        </w:rPr>
        <w:t>对平台进行二次开发的技术实力，并确保</w:t>
      </w:r>
      <w:r>
        <w:rPr>
          <w:rFonts w:hint="eastAsia" w:ascii="宋体" w:hAnsi="宋体" w:cs="宋体"/>
          <w:color w:val="auto"/>
          <w:kern w:val="0"/>
          <w:sz w:val="24"/>
          <w:szCs w:val="24"/>
          <w:lang w:val="en-US" w:eastAsia="zh-CN" w:bidi="ar"/>
        </w:rPr>
        <w:t>在</w:t>
      </w:r>
      <w:r>
        <w:rPr>
          <w:rFonts w:hint="eastAsia" w:ascii="宋体" w:hAnsi="宋体" w:eastAsia="宋体" w:cs="宋体"/>
          <w:color w:val="auto"/>
          <w:kern w:val="0"/>
          <w:sz w:val="24"/>
          <w:szCs w:val="24"/>
          <w:lang w:val="en-US" w:eastAsia="zh-CN" w:bidi="ar"/>
        </w:rPr>
        <w:t>实现11个子系统核心功能</w:t>
      </w:r>
      <w:r>
        <w:rPr>
          <w:rFonts w:hint="eastAsia" w:ascii="宋体" w:hAnsi="宋体" w:cs="宋体"/>
          <w:color w:val="auto"/>
          <w:kern w:val="0"/>
          <w:sz w:val="24"/>
          <w:szCs w:val="24"/>
          <w:lang w:val="en-US" w:eastAsia="zh-CN" w:bidi="ar"/>
        </w:rPr>
        <w:t>运维的基础上，能够依据学校的具体需求，完成相应的二次迭代与开发任务。</w:t>
      </w:r>
    </w:p>
    <w:p w14:paraId="1386BB7C">
      <w:pPr>
        <w:pStyle w:val="5"/>
        <w:spacing w:before="200" w:after="200" w:line="360" w:lineRule="auto"/>
        <w:jc w:val="left"/>
        <w:rPr>
          <w:rFonts w:hint="default"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w:t>
      </w:r>
      <w:r>
        <w:rPr>
          <w:rFonts w:hint="eastAsia" w:ascii="宋体" w:hAnsi="宋体" w:eastAsia="宋体" w:cs="宋体"/>
          <w:b w:val="0"/>
          <w:color w:val="000000" w:themeColor="text1"/>
          <w:sz w:val="24"/>
          <w:lang w:val="en-US" w:eastAsia="zh-CN"/>
          <w14:textFill>
            <w14:solidFill>
              <w14:schemeClr w14:val="tx1"/>
            </w14:solidFill>
          </w14:textFill>
        </w:rPr>
        <w:t>2</w:t>
      </w:r>
      <w:r>
        <w:rPr>
          <w:rFonts w:hint="eastAsia" w:ascii="宋体" w:hAnsi="宋体" w:eastAsia="宋体" w:cs="宋体"/>
          <w:b w:val="0"/>
          <w:color w:val="000000" w:themeColor="text1"/>
          <w:sz w:val="24"/>
          <w14:textFill>
            <w14:solidFill>
              <w14:schemeClr w14:val="tx1"/>
            </w14:solidFill>
          </w14:textFill>
        </w:rPr>
        <w:t>.</w:t>
      </w:r>
      <w:r>
        <w:rPr>
          <w:rFonts w:hint="eastAsia" w:ascii="宋体" w:hAnsi="宋体" w:eastAsia="宋体" w:cs="宋体"/>
          <w:b w:val="0"/>
          <w:color w:val="000000" w:themeColor="text1"/>
          <w:sz w:val="24"/>
          <w:lang w:val="en-US" w:eastAsia="zh-CN"/>
          <w14:textFill>
            <w14:solidFill>
              <w14:schemeClr w14:val="tx1"/>
            </w14:solidFill>
          </w14:textFill>
        </w:rPr>
        <w:t>2开发服务时长要求</w:t>
      </w:r>
    </w:p>
    <w:p w14:paraId="09D0F92D">
      <w:pPr>
        <w:spacing w:line="360" w:lineRule="auto"/>
        <w:ind w:firstLine="480" w:firstLineChars="20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在开发服务的过程中，要求</w:t>
      </w:r>
      <w:r>
        <w:rPr>
          <w:rFonts w:hint="eastAsia" w:ascii="宋体" w:hAnsi="宋体" w:cs="宋体"/>
          <w:color w:val="000000" w:themeColor="text1"/>
          <w:lang w:val="en-US" w:eastAsia="zh-CN"/>
          <w14:textFill>
            <w14:solidFill>
              <w14:schemeClr w14:val="tx1"/>
            </w14:solidFill>
          </w14:textFill>
        </w:rPr>
        <w:t>供应商</w:t>
      </w:r>
      <w:r>
        <w:rPr>
          <w:rFonts w:hint="eastAsia" w:ascii="宋体" w:hAnsi="宋体" w:eastAsia="宋体" w:cs="宋体"/>
          <w:color w:val="auto"/>
          <w:kern w:val="0"/>
          <w:sz w:val="24"/>
          <w:szCs w:val="24"/>
          <w:lang w:val="en-US" w:eastAsia="zh-CN" w:bidi="ar"/>
        </w:rPr>
        <w:t>必须提供</w:t>
      </w:r>
      <w:r>
        <w:rPr>
          <w:rFonts w:hint="eastAsia" w:ascii="宋体" w:hAnsi="宋体" w:cs="宋体"/>
          <w:color w:val="auto"/>
          <w:kern w:val="0"/>
          <w:sz w:val="24"/>
          <w:szCs w:val="24"/>
          <w:lang w:val="en-US" w:eastAsia="zh-CN" w:bidi="ar"/>
        </w:rPr>
        <w:t>至少1500个工时</w:t>
      </w:r>
      <w:r>
        <w:rPr>
          <w:rFonts w:hint="eastAsia" w:ascii="宋体" w:hAnsi="宋体" w:eastAsia="宋体" w:cs="宋体"/>
          <w:color w:val="auto"/>
          <w:kern w:val="0"/>
          <w:sz w:val="24"/>
          <w:szCs w:val="24"/>
          <w:lang w:val="en-US" w:eastAsia="zh-CN" w:bidi="ar"/>
        </w:rPr>
        <w:t>的开发服务，以确保项目的顺利进行和高质量的完成。</w:t>
      </w:r>
    </w:p>
    <w:p w14:paraId="697740E2">
      <w:pPr>
        <w:tabs>
          <w:tab w:val="left" w:pos="1240"/>
        </w:tabs>
        <w:spacing w:line="360"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ab/>
      </w:r>
    </w:p>
    <w:p w14:paraId="2F9BBB10">
      <w:pPr>
        <w:pStyle w:val="4"/>
        <w:spacing w:before="200" w:after="200" w:line="360" w:lineRule="auto"/>
        <w:rPr>
          <w:rFonts w:hint="default"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4.3云服务器托管服务及迁移服务</w:t>
      </w:r>
    </w:p>
    <w:p w14:paraId="58CC27B4">
      <w:pPr>
        <w:pStyle w:val="7"/>
        <w:spacing w:before="0" w:after="0" w:line="360" w:lineRule="auto"/>
        <w:ind w:firstLine="480"/>
        <w:jc w:val="left"/>
        <w:outlineLvl w:val="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4.3.1云服务器托管服</w:t>
      </w:r>
      <w:r>
        <w:rPr>
          <w:rFonts w:hint="eastAsia" w:ascii="宋体" w:hAnsi="宋体" w:cs="宋体"/>
          <w:b/>
          <w:bCs/>
          <w:color w:val="000000" w:themeColor="text1"/>
          <w:kern w:val="0"/>
          <w:szCs w:val="27"/>
          <w14:textFill>
            <w14:solidFill>
              <w14:schemeClr w14:val="tx1"/>
            </w14:solidFill>
          </w14:textFill>
        </w:rPr>
        <w:t>务</w:t>
      </w:r>
    </w:p>
    <w:p w14:paraId="4038BE7C">
      <w:pPr>
        <w:pStyle w:val="7"/>
        <w:spacing w:before="0" w:after="0" w:line="360" w:lineRule="auto"/>
        <w:ind w:left="420"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7x24小时在线支持，保障业务系统高可用性（年度正常运行时间不低于99.95%）、数据高效管理备份、灵活资源扩展与安全传输存储（符合ISO9001信息安全管理标准，支持SSL/TLS加密传输，提供DDoS防护服务）。服务范围包括稳定云服务器环境、安全更新、备份恢复解决方案，以及云资源监控报警、定制防火墙与入侵监测、专业技术支持咨询等附加服务。服务器配置要求CPU至少8核心2.5GHz及以上频率，RAM至少64GB，存储空间至少500GBSSD，网络带宽至少100M，延迟低于50ms，数据包丢失率低于0.1%。系统故障响应时间不超过8小时，修复重大故障时间不超过48小时。</w:t>
      </w:r>
    </w:p>
    <w:p w14:paraId="6B848958">
      <w:pPr>
        <w:numPr>
          <w:ilvl w:val="3"/>
          <w:numId w:val="0"/>
        </w:numPr>
        <w:spacing w:line="360" w:lineRule="auto"/>
        <w:ind w:firstLine="480" w:firstLineChars="200"/>
        <w:jc w:val="left"/>
        <w:rPr>
          <w:rFonts w:ascii="宋体" w:hAnsi="宋体" w:cs="宋体"/>
          <w:color w:val="000000" w:themeColor="text1"/>
          <w14:textFill>
            <w14:solidFill>
              <w14:schemeClr w14:val="tx1"/>
            </w14:solidFill>
          </w14:textFill>
        </w:rPr>
      </w:pPr>
    </w:p>
    <w:p w14:paraId="2EC41EA2">
      <w:pPr>
        <w:numPr>
          <w:ilvl w:val="3"/>
          <w:numId w:val="0"/>
        </w:numPr>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参考配置：</w:t>
      </w:r>
    </w:p>
    <w:tbl>
      <w:tblPr>
        <w:tblStyle w:val="14"/>
        <w:tblW w:w="5149" w:type="pct"/>
        <w:tblInd w:w="0" w:type="dxa"/>
        <w:tblLayout w:type="autofit"/>
        <w:tblCellMar>
          <w:top w:w="0" w:type="dxa"/>
          <w:left w:w="108" w:type="dxa"/>
          <w:bottom w:w="0" w:type="dxa"/>
          <w:right w:w="108" w:type="dxa"/>
        </w:tblCellMar>
      </w:tblPr>
      <w:tblGrid>
        <w:gridCol w:w="1844"/>
        <w:gridCol w:w="2106"/>
        <w:gridCol w:w="426"/>
        <w:gridCol w:w="426"/>
        <w:gridCol w:w="3974"/>
      </w:tblGrid>
      <w:tr w14:paraId="29969807">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DCDCDC"/>
            <w:vAlign w:val="center"/>
          </w:tcPr>
          <w:p w14:paraId="44D6C7EB">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服务器用途</w:t>
            </w:r>
          </w:p>
        </w:tc>
        <w:tc>
          <w:tcPr>
            <w:tcW w:w="971" w:type="pct"/>
            <w:tcBorders>
              <w:top w:val="single" w:color="5B5B5B" w:sz="8" w:space="0"/>
              <w:left w:val="single" w:color="5B5B5B" w:sz="8" w:space="0"/>
              <w:bottom w:val="single" w:color="5B5B5B" w:sz="8" w:space="0"/>
              <w:right w:val="single" w:color="5B5B5B" w:sz="8" w:space="0"/>
            </w:tcBorders>
            <w:shd w:val="clear" w:color="auto" w:fill="DCDCDC"/>
            <w:vAlign w:val="center"/>
          </w:tcPr>
          <w:p w14:paraId="22668823">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服务器名称</w:t>
            </w:r>
          </w:p>
        </w:tc>
        <w:tc>
          <w:tcPr>
            <w:tcW w:w="334" w:type="pct"/>
            <w:tcBorders>
              <w:top w:val="single" w:color="5B5B5B" w:sz="8" w:space="0"/>
              <w:left w:val="single" w:color="5B5B5B" w:sz="8" w:space="0"/>
              <w:bottom w:val="single" w:color="5B5B5B" w:sz="8" w:space="0"/>
              <w:right w:val="single" w:color="5B5B5B" w:sz="8" w:space="0"/>
            </w:tcBorders>
            <w:shd w:val="clear" w:color="auto" w:fill="DCDCDC"/>
            <w:vAlign w:val="center"/>
          </w:tcPr>
          <w:p w14:paraId="21EA36FE">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台数</w:t>
            </w:r>
          </w:p>
        </w:tc>
        <w:tc>
          <w:tcPr>
            <w:tcW w:w="334" w:type="pct"/>
            <w:tcBorders>
              <w:top w:val="single" w:color="5B5B5B" w:sz="8" w:space="0"/>
              <w:left w:val="single" w:color="5B5B5B" w:sz="8" w:space="0"/>
              <w:bottom w:val="single" w:color="5B5B5B" w:sz="8" w:space="0"/>
              <w:right w:val="single" w:color="5B5B5B" w:sz="8" w:space="0"/>
            </w:tcBorders>
            <w:shd w:val="clear" w:color="auto" w:fill="DCDCDC"/>
            <w:vAlign w:val="center"/>
          </w:tcPr>
          <w:p w14:paraId="46AC5F39">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环境</w:t>
            </w:r>
          </w:p>
        </w:tc>
        <w:tc>
          <w:tcPr>
            <w:tcW w:w="2463" w:type="pct"/>
            <w:tcBorders>
              <w:top w:val="single" w:color="5B5B5B" w:sz="8" w:space="0"/>
              <w:left w:val="single" w:color="5B5B5B" w:sz="8" w:space="0"/>
              <w:bottom w:val="single" w:color="5B5B5B" w:sz="8" w:space="0"/>
              <w:right w:val="single" w:color="5B5B5B" w:sz="8" w:space="0"/>
            </w:tcBorders>
            <w:shd w:val="clear" w:color="auto" w:fill="DCDCDC"/>
            <w:vAlign w:val="center"/>
          </w:tcPr>
          <w:p w14:paraId="5A1424E7">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服务器配置</w:t>
            </w:r>
          </w:p>
        </w:tc>
      </w:tr>
      <w:tr w14:paraId="6F8F0A5B">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2034B0E">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微服务负载</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565587FE">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openskbus05</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4E6A45E">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77C4D24">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99E1847">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8vCPU64GiB（I/O优化）</w:t>
            </w:r>
            <w:r>
              <w:rPr>
                <w:rStyle w:val="19"/>
                <w:rFonts w:hint="default"/>
                <w:color w:val="000000" w:themeColor="text1"/>
                <w:sz w:val="21"/>
                <w:szCs w:val="21"/>
                <w:lang w:bidi="ar"/>
                <w14:textFill>
                  <w14:solidFill>
                    <w14:schemeClr w14:val="tx1"/>
                  </w14:solidFill>
                </w14:textFill>
              </w:rPr>
              <w:t>100G/500G30Mbps</w:t>
            </w:r>
          </w:p>
        </w:tc>
      </w:tr>
      <w:tr w14:paraId="74969487">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63AD515">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微服务负载</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58B9B1F4">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openskbus04</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FE8F60A">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68A53C6F">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7E4B3A5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8vCPU64GiB（I/O优化）</w:t>
            </w:r>
            <w:r>
              <w:rPr>
                <w:rStyle w:val="19"/>
                <w:rFonts w:hint="default"/>
                <w:color w:val="000000" w:themeColor="text1"/>
                <w:sz w:val="21"/>
                <w:szCs w:val="21"/>
                <w:lang w:bidi="ar"/>
                <w14:textFill>
                  <w14:solidFill>
                    <w14:schemeClr w14:val="tx1"/>
                  </w14:solidFill>
                </w14:textFill>
              </w:rPr>
              <w:t>100G/500G30Mbps</w:t>
            </w:r>
          </w:p>
        </w:tc>
      </w:tr>
      <w:tr w14:paraId="7E567C04">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803F74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微服务负载</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605C689">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openskbus03</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0808B69">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53298BF">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A7F226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8vCPU64GiB（I/O优化）</w:t>
            </w:r>
            <w:r>
              <w:rPr>
                <w:rStyle w:val="19"/>
                <w:rFonts w:hint="default"/>
                <w:color w:val="000000" w:themeColor="text1"/>
                <w:sz w:val="21"/>
                <w:szCs w:val="21"/>
                <w:lang w:bidi="ar"/>
                <w14:textFill>
                  <w14:solidFill>
                    <w14:schemeClr w14:val="tx1"/>
                  </w14:solidFill>
                </w14:textFill>
              </w:rPr>
              <w:t>100G/500G50Mbps</w:t>
            </w:r>
          </w:p>
        </w:tc>
      </w:tr>
      <w:tr w14:paraId="603B3C34">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0F3A611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微服务负载</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3E15F71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openskbus04</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6E18911">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3EC35A89">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001E6354">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8vCPU64GiB（I/O优化）</w:t>
            </w:r>
            <w:r>
              <w:rPr>
                <w:rStyle w:val="19"/>
                <w:rFonts w:hint="default"/>
                <w:color w:val="000000" w:themeColor="text1"/>
                <w:sz w:val="21"/>
                <w:szCs w:val="21"/>
                <w:lang w:bidi="ar"/>
                <w14:textFill>
                  <w14:solidFill>
                    <w14:schemeClr w14:val="tx1"/>
                  </w14:solidFill>
                </w14:textFill>
              </w:rPr>
              <w:t>100G/500G100Mbps</w:t>
            </w:r>
          </w:p>
        </w:tc>
      </w:tr>
      <w:tr w14:paraId="23435305">
        <w:tblPrEx>
          <w:tblCellMar>
            <w:top w:w="0" w:type="dxa"/>
            <w:left w:w="108" w:type="dxa"/>
            <w:bottom w:w="0" w:type="dxa"/>
            <w:right w:w="108" w:type="dxa"/>
          </w:tblCellMar>
        </w:tblPrEx>
        <w:trPr>
          <w:trHeight w:val="98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10BDDAC0">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COS对象数据存储</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6670784C">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xjstore-1319160699</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C13A0AA">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57F64054">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6901BA4B">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&gt;7TB</w:t>
            </w:r>
          </w:p>
        </w:tc>
      </w:tr>
      <w:tr w14:paraId="5BE9D794">
        <w:tblPrEx>
          <w:tblCellMar>
            <w:top w:w="0" w:type="dxa"/>
            <w:left w:w="108" w:type="dxa"/>
            <w:bottom w:w="0" w:type="dxa"/>
            <w:right w:w="108" w:type="dxa"/>
          </w:tblCellMar>
        </w:tblPrEx>
        <w:trPr>
          <w:trHeight w:val="101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A6F06D4">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TDSQL-C新疆数据库</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4E2E236">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dbopencloudxj</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71D1F892">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w:t>
            </w: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6DC49913">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72D465D">
            <w:pPr>
              <w:widowControl/>
              <w:spacing w:line="360" w:lineRule="auto"/>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1台读写实例，2台只读实例</w:t>
            </w:r>
          </w:p>
          <w:p w14:paraId="47D962A1">
            <w:pPr>
              <w:widowControl/>
              <w:spacing w:line="360" w:lineRule="auto"/>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16核/64GB</w:t>
            </w:r>
            <w:r>
              <w:rPr>
                <w:rStyle w:val="19"/>
                <w:rFonts w:hint="default"/>
                <w:color w:val="000000" w:themeColor="text1"/>
                <w:sz w:val="21"/>
                <w:szCs w:val="21"/>
                <w:lang w:bidi="ar"/>
                <w14:textFill>
                  <w14:solidFill>
                    <w14:schemeClr w14:val="tx1"/>
                  </w14:solidFill>
                </w14:textFill>
              </w:rPr>
              <w:t>SSD1.</w:t>
            </w:r>
            <w:r>
              <w:rPr>
                <w:rStyle w:val="19"/>
                <w:rFonts w:hint="default"/>
                <w:color w:val="000000" w:themeColor="text1"/>
                <w:sz w:val="21"/>
                <w:szCs w:val="21"/>
                <w14:textFill>
                  <w14:solidFill>
                    <w14:schemeClr w14:val="tx1"/>
                  </w14:solidFill>
                </w14:textFill>
              </w:rPr>
              <w:t>5</w:t>
            </w:r>
            <w:r>
              <w:rPr>
                <w:rStyle w:val="19"/>
                <w:rFonts w:hint="default"/>
                <w:color w:val="000000" w:themeColor="text1"/>
                <w:sz w:val="21"/>
                <w:szCs w:val="21"/>
                <w:lang w:bidi="ar"/>
                <w14:textFill>
                  <w14:solidFill>
                    <w14:schemeClr w14:val="tx1"/>
                  </w14:solidFill>
                </w14:textFill>
              </w:rPr>
              <w:t>Tiops18000</w:t>
            </w:r>
          </w:p>
        </w:tc>
      </w:tr>
      <w:tr w14:paraId="5F82A6E2">
        <w:tblPrEx>
          <w:tblCellMar>
            <w:top w:w="0" w:type="dxa"/>
            <w:left w:w="108" w:type="dxa"/>
            <w:bottom w:w="0" w:type="dxa"/>
            <w:right w:w="108" w:type="dxa"/>
          </w:tblCellMar>
        </w:tblPrEx>
        <w:trPr>
          <w:trHeight w:val="1019" w:hRule="atLeast"/>
        </w:trPr>
        <w:tc>
          <w:tcPr>
            <w:tcW w:w="898"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3CC0557">
            <w:pPr>
              <w:widowControl/>
              <w:spacing w:line="360" w:lineRule="auto"/>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短信服务</w:t>
            </w:r>
          </w:p>
        </w:tc>
        <w:tc>
          <w:tcPr>
            <w:tcW w:w="971"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2A9664A2">
            <w:pPr>
              <w:widowControl/>
              <w:spacing w:line="360" w:lineRule="auto"/>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4B271103">
            <w:pPr>
              <w:widowControl/>
              <w:spacing w:line="360" w:lineRule="auto"/>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4"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1ECB112F">
            <w:pPr>
              <w:widowControl/>
              <w:spacing w:line="360" w:lineRule="auto"/>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生产</w:t>
            </w:r>
          </w:p>
        </w:tc>
        <w:tc>
          <w:tcPr>
            <w:tcW w:w="2463" w:type="pct"/>
            <w:tcBorders>
              <w:top w:val="single" w:color="5B5B5B" w:sz="8" w:space="0"/>
              <w:left w:val="single" w:color="5B5B5B" w:sz="8" w:space="0"/>
              <w:bottom w:val="single" w:color="5B5B5B" w:sz="8" w:space="0"/>
              <w:right w:val="single" w:color="5B5B5B" w:sz="8" w:space="0"/>
            </w:tcBorders>
            <w:shd w:val="clear" w:color="auto" w:fill="FEFEFE"/>
            <w:vAlign w:val="center"/>
          </w:tcPr>
          <w:p w14:paraId="7D5A65AA">
            <w:pPr>
              <w:widowControl/>
              <w:spacing w:line="360" w:lineRule="auto"/>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峰值88643条/</w:t>
            </w:r>
            <w:r>
              <w:rPr>
                <w:rFonts w:hint="eastAsia" w:ascii="宋体" w:hAnsi="宋体" w:cs="宋体"/>
                <w:color w:val="000000" w:themeColor="text1"/>
                <w:kern w:val="0"/>
                <w:sz w:val="21"/>
                <w:szCs w:val="21"/>
                <w:lang w:val="en-US" w:eastAsia="zh-CN" w:bidi="ar"/>
                <w14:textFill>
                  <w14:solidFill>
                    <w14:schemeClr w14:val="tx1"/>
                  </w14:solidFill>
                </w14:textFill>
              </w:rPr>
              <w:t>年</w:t>
            </w:r>
          </w:p>
        </w:tc>
      </w:tr>
    </w:tbl>
    <w:p w14:paraId="384E0616">
      <w:pPr>
        <w:pStyle w:val="7"/>
        <w:spacing w:before="0" w:after="0" w:line="360" w:lineRule="auto"/>
        <w:ind w:firstLine="480"/>
        <w:jc w:val="left"/>
        <w:rPr>
          <w:rFonts w:ascii="宋体" w:hAnsi="宋体" w:cs="宋体"/>
          <w:color w:val="000000" w:themeColor="text1"/>
          <w14:textFill>
            <w14:solidFill>
              <w14:schemeClr w14:val="tx1"/>
            </w14:solidFill>
          </w14:textFill>
        </w:rPr>
      </w:pPr>
    </w:p>
    <w:p w14:paraId="6301B44F">
      <w:pPr>
        <w:pStyle w:val="7"/>
        <w:spacing w:before="0" w:after="0" w:line="360" w:lineRule="auto"/>
        <w:ind w:firstLine="480"/>
        <w:jc w:val="left"/>
        <w:outlineLvl w:val="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4.3.2服务器迁移服务</w:t>
      </w:r>
    </w:p>
    <w:p w14:paraId="6304926F">
      <w:pPr>
        <w:pStyle w:val="7"/>
        <w:spacing w:before="0" w:after="0" w:line="360" w:lineRule="auto"/>
        <w:ind w:firstLine="482"/>
        <w:jc w:val="left"/>
        <w:rPr>
          <w:rFonts w:hint="eastAsia" w:ascii="宋体" w:hAnsi="宋体" w:cs="宋体"/>
          <w:color w:val="FF0000"/>
          <w:lang w:eastAsia="zh-CN"/>
        </w:rPr>
      </w:pPr>
      <w:r>
        <w:rPr>
          <w:rFonts w:hint="eastAsia" w:ascii="宋体" w:hAnsi="宋体" w:cs="宋体"/>
          <w:b/>
          <w:bCs/>
          <w:color w:val="000000" w:themeColor="text1"/>
          <w14:textFill>
            <w14:solidFill>
              <w14:schemeClr w14:val="tx1"/>
            </w14:solidFill>
          </w14:textFill>
        </w:rPr>
        <w:t>服务内容：</w:t>
      </w:r>
      <w:r>
        <w:rPr>
          <w:rFonts w:hint="eastAsia" w:ascii="宋体" w:hAnsi="宋体" w:cs="宋体"/>
          <w:color w:val="000000" w:themeColor="text1"/>
          <w14:textFill>
            <w14:solidFill>
              <w14:schemeClr w14:val="tx1"/>
            </w14:solidFill>
          </w14:textFill>
        </w:rPr>
        <w:t>供应商需按采购方要求，将现有系统从腾讯云平台完整迁移至采购方指定云服务平台，确保迁移后系统功能、性能与原环境一致，实现无缝衔接。供应商与学校确认迁移方案后，</w:t>
      </w:r>
      <w:r>
        <w:rPr>
          <w:rFonts w:hint="eastAsia" w:ascii="宋体" w:hAnsi="宋体" w:cs="宋体"/>
          <w:color w:val="000000" w:themeColor="text1"/>
          <w:lang w:val="en-US" w:eastAsia="zh-CN"/>
          <w14:textFill>
            <w14:solidFill>
              <w14:schemeClr w14:val="tx1"/>
            </w14:solidFill>
          </w14:textFill>
        </w:rPr>
        <w:t>在不超过10个工作日的停服期间内，完成平台数据从腾讯云迁移到学校指定云的迁移工作以及服务的部署。</w:t>
      </w:r>
    </w:p>
    <w:p w14:paraId="574F15F6">
      <w:pPr>
        <w:pStyle w:val="7"/>
        <w:spacing w:before="0" w:after="0" w:line="360" w:lineRule="auto"/>
        <w:ind w:firstLine="482"/>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实施要求：</w:t>
      </w:r>
    </w:p>
    <w:p w14:paraId="35BF91EE">
      <w:pPr>
        <w:pStyle w:val="7"/>
        <w:numPr>
          <w:ilvl w:val="0"/>
          <w:numId w:val="5"/>
        </w:numPr>
        <w:spacing w:before="0" w:after="0" w:line="360" w:lineRule="auto"/>
        <w:ind w:firstLineChars="0"/>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迁移范围</w:t>
      </w:r>
    </w:p>
    <w:p w14:paraId="19696E43">
      <w:pPr>
        <w:pStyle w:val="7"/>
        <w:numPr>
          <w:ilvl w:val="0"/>
          <w:numId w:val="6"/>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迁移内容包括数据库数据，对象存储文件，平台服务。</w:t>
      </w:r>
    </w:p>
    <w:p w14:paraId="505C0667">
      <w:pPr>
        <w:pStyle w:val="7"/>
        <w:numPr>
          <w:ilvl w:val="0"/>
          <w:numId w:val="6"/>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数据范围​：涵盖学生数据、资源数据及交易数据，并需与教学、招生、论文管理等11个子统完成迁移与接口联调。</w:t>
      </w:r>
    </w:p>
    <w:p w14:paraId="2178A84C">
      <w:pPr>
        <w:pStyle w:val="7"/>
        <w:numPr>
          <w:ilvl w:val="0"/>
          <w:numId w:val="5"/>
        </w:numPr>
        <w:spacing w:before="0" w:after="0" w:line="360" w:lineRule="auto"/>
        <w:ind w:firstLineChars="0"/>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技术要求</w:t>
      </w:r>
    </w:p>
    <w:p w14:paraId="323E647D">
      <w:pPr>
        <w:pStyle w:val="7"/>
        <w:numPr>
          <w:ilvl w:val="0"/>
          <w:numId w:val="7"/>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数据完整性：迁移后数据与源环境完全一致。</w:t>
      </w:r>
    </w:p>
    <w:p w14:paraId="4D927687">
      <w:pPr>
        <w:pStyle w:val="7"/>
        <w:numPr>
          <w:ilvl w:val="0"/>
          <w:numId w:val="7"/>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兼容性：在甲方满足实施要求第1条的要求的前提下，确保迁移前后系统兼容。</w:t>
      </w:r>
    </w:p>
    <w:p w14:paraId="6527CAB3">
      <w:pPr>
        <w:pStyle w:val="7"/>
        <w:numPr>
          <w:ilvl w:val="0"/>
          <w:numId w:val="5"/>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服务承诺</w:t>
      </w:r>
    </w:p>
    <w:p w14:paraId="26885492">
      <w:pPr>
        <w:pStyle w:val="7"/>
        <w:numPr>
          <w:ilvl w:val="0"/>
          <w:numId w:val="7"/>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停机时间：迁移窗口期不超过10工作日。</w:t>
      </w:r>
    </w:p>
    <w:p w14:paraId="1FEB0A72">
      <w:pPr>
        <w:pStyle w:val="7"/>
        <w:numPr>
          <w:ilvl w:val="0"/>
          <w:numId w:val="7"/>
        </w:numPr>
        <w:spacing w:before="0" w:after="0" w:line="360" w:lineRule="auto"/>
        <w:ind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售后服务：提供30天免费维保期，期间因迁移导致的故障优先响应并修复。</w:t>
      </w:r>
    </w:p>
    <w:p w14:paraId="2BAE4B33">
      <w:pPr>
        <w:pStyle w:val="4"/>
        <w:spacing w:line="360" w:lineRule="auto"/>
        <w:rPr>
          <w:rFonts w:hint="default" w:cs="宋体"/>
          <w:color w:val="000000" w:themeColor="text1"/>
          <w:sz w:val="24"/>
          <w:lang w:bidi="ar"/>
          <w14:textFill>
            <w14:solidFill>
              <w14:schemeClr w14:val="tx1"/>
            </w14:solidFill>
          </w14:textFill>
        </w:rPr>
      </w:pPr>
      <w:r>
        <w:rPr>
          <w:rFonts w:cs="宋体"/>
          <w:color w:val="000000" w:themeColor="text1"/>
          <w:sz w:val="24"/>
          <w:lang w:bidi="ar"/>
          <w14:textFill>
            <w14:solidFill>
              <w14:schemeClr w14:val="tx1"/>
            </w14:solidFill>
          </w14:textFill>
        </w:rPr>
        <w:t>4.4.系统安全与等级保护需求</w:t>
      </w:r>
    </w:p>
    <w:p w14:paraId="3AE57589">
      <w:pPr>
        <w:pStyle w:val="7"/>
        <w:spacing w:before="0" w:after="0" w:line="36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实现系统安全全面管理监控，符合国家三级等级保护标准，强化数据保护与安全事件应对能力。服务范围包括数据访问控制安全及管理制度，服务级别协议确保系统99.95%正常运行，安全事件响应不超8小时。</w:t>
      </w:r>
    </w:p>
    <w:p w14:paraId="708E413E">
      <w:pPr>
        <w:spacing w:line="360" w:lineRule="auto"/>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（四）商务需求</w:t>
      </w:r>
    </w:p>
    <w:p w14:paraId="413FFF18">
      <w:pPr>
        <w:pStyle w:val="20"/>
        <w:numPr>
          <w:ilvl w:val="0"/>
          <w:numId w:val="8"/>
        </w:numPr>
        <w:spacing w:line="360" w:lineRule="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投标人须具有良好的商业信誉，①投标人在“信用中国”网站(http://www.creditchina.gov.cn)未被列入失信惩戒名单的查询截图加盖投标人公章;②投标人在“国家企业信用信息公示系统”网站(http://www.gsxt.gov.cn)未列入经营异常名录和严重违法失信企业名单(黑名单)的查询截图加盖投标人公章;③中国政府采购网未列入政府采购严重违法失(www.ccgp.gov.cn)信行为记录名单的查询截图加盖投标人公章（网页打印件时间须自招标公告发布之日起至首次提交投标文件递交截止时间内从上述网站中打印）。</w:t>
      </w:r>
    </w:p>
    <w:p w14:paraId="6F2B6FDE">
      <w:pPr>
        <w:pStyle w:val="20"/>
        <w:numPr>
          <w:ilvl w:val="0"/>
          <w:numId w:val="8"/>
        </w:numPr>
        <w:spacing w:line="360" w:lineRule="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服务器迁移周期：自学校正式提出服务器迁移需求之日起，经双方确认迁移方案后，</w:t>
      </w:r>
      <w:r>
        <w:rPr>
          <w:rFonts w:hint="eastAsia" w:ascii="宋体" w:hAnsi="宋体" w:cs="宋体"/>
          <w:color w:val="000000" w:themeColor="text1"/>
          <w:kern w:val="2"/>
          <w:sz w:val="24"/>
          <w:szCs w:val="24"/>
          <w:lang w:val="en-US" w:eastAsia="zh-CN"/>
          <w14:textFill>
            <w14:solidFill>
              <w14:schemeClr w14:val="tx1"/>
            </w14:solidFill>
          </w14:textFill>
        </w:rPr>
        <w:t>在不超过10个工作日的停服期间内，完成平台数据从腾讯云迁移到学校指定云的迁移工作以及服务的部署。</w:t>
      </w:r>
    </w:p>
    <w:p w14:paraId="1D1A599E">
      <w:pPr>
        <w:pStyle w:val="20"/>
        <w:numPr>
          <w:ilvl w:val="0"/>
          <w:numId w:val="8"/>
        </w:numPr>
        <w:spacing w:line="360" w:lineRule="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在服务执行过程中，供应商应指</w:t>
      </w:r>
      <w:r>
        <w:rPr>
          <w:rFonts w:hint="eastAsia" w:ascii="宋体" w:hAnsi="宋体" w:cs="宋体"/>
          <w:color w:val="000000" w:themeColor="text1"/>
          <w:kern w:val="2"/>
          <w:sz w:val="24"/>
          <w:szCs w:val="24"/>
          <w:lang w:val="en-US" w:eastAsia="zh-CN"/>
          <w14:textFill>
            <w14:solidFill>
              <w14:schemeClr w14:val="tx1"/>
            </w14:solidFill>
          </w14:textFill>
        </w:rPr>
        <w:t>派一名技术协调员，以确保与采购方维持持续且稳定的沟通与服务。</w:t>
      </w:r>
    </w:p>
    <w:p w14:paraId="5962426C">
      <w:pPr>
        <w:pStyle w:val="20"/>
        <w:numPr>
          <w:ilvl w:val="0"/>
          <w:numId w:val="8"/>
        </w:numPr>
        <w:spacing w:line="360" w:lineRule="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成交供应商需确保在服务期间按要求实施数据备份。以保障数据的安全性与完整性，规避数据丢失或损坏的风险。</w:t>
      </w:r>
    </w:p>
    <w:p w14:paraId="5C23EE7B">
      <w:pPr>
        <w:pStyle w:val="20"/>
        <w:numPr>
          <w:ilvl w:val="0"/>
          <w:numId w:val="8"/>
        </w:numPr>
        <w:spacing w:line="360" w:lineRule="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成交供应商于服务期内提供一次免费线上系统操作培训，包括系统管理员维护及支撑技术培训，采用理论与实操结合的方式，确保培训效果，时间按需协商，尽量减少对正常工作的影响。</w:t>
      </w:r>
    </w:p>
    <w:p w14:paraId="0A07E81F">
      <w:pPr>
        <w:pStyle w:val="2"/>
        <w:numPr>
          <w:ilvl w:val="0"/>
          <w:numId w:val="1"/>
        </w:numPr>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服务质量保证</w:t>
      </w:r>
    </w:p>
    <w:p w14:paraId="39BCA66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建立完善的服务质量管理体系，确保各项服务指标达到或优于合同要求。定期向采购方提交服务报告，包括系统运行状况、维护工作记录、性能优化成果、安全管理情况等内容，接受采购方的监督和评估。</w:t>
      </w:r>
    </w:p>
    <w:p w14:paraId="7C24134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对于服务过程中出现的问题，供应商应及时响应并采取有效措施解决，确保对学校教学管理工作的影响降至最低。</w:t>
      </w:r>
    </w:p>
    <w:p w14:paraId="62429ED1">
      <w:pPr>
        <w:pStyle w:val="2"/>
        <w:numPr>
          <w:ilvl w:val="0"/>
          <w:numId w:val="1"/>
        </w:numPr>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知识产权</w:t>
      </w:r>
    </w:p>
    <w:p w14:paraId="4C26C271">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供应商应保证在服务过程中所使用的技术和资源不侵犯任何第三方的知识产权。对于在项目实施过程中产生的新的知识产权，双方应按照法律法规和合同约定进行归属和使用。</w:t>
      </w:r>
    </w:p>
    <w:p w14:paraId="15F349B0">
      <w:pPr>
        <w:pStyle w:val="2"/>
        <w:numPr>
          <w:ilvl w:val="0"/>
          <w:numId w:val="1"/>
        </w:numPr>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保密条款</w:t>
      </w:r>
    </w:p>
    <w:p w14:paraId="41EB067F">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双方应对在合作过程中知悉的对方商业秘密、技术秘密、教学数据等信息予以保密，未经对方书面同意，不得向任何第三方披露或使用。</w:t>
      </w:r>
    </w:p>
    <w:p w14:paraId="689DC6D7">
      <w:pPr>
        <w:pStyle w:val="2"/>
        <w:numPr>
          <w:ilvl w:val="0"/>
          <w:numId w:val="1"/>
        </w:numPr>
        <w:spacing w:line="360" w:lineRule="auto"/>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违约责任</w:t>
      </w:r>
    </w:p>
    <w:p w14:paraId="44A27727">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若供应商未能按照合同约定提供服务，应承担违约责任，包括但不限于支付违约金、赔偿因服务延误或质量问题给采购方造成的损失等。</w:t>
      </w:r>
    </w:p>
    <w:p w14:paraId="4F3E088D">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如因不可抗力等不可预见、不可避免的因素导致服务中断或无法履行合同，供应商应及时通知采购方，并提供相关证明文件，双方协商解决后续问题。</w:t>
      </w:r>
    </w:p>
    <w:p w14:paraId="2F4A2DD6">
      <w:pPr>
        <w:pStyle w:val="10"/>
        <w:rPr>
          <w:rFonts w:hint="eastAsia" w:ascii="宋体" w:hAnsi="宋体" w:cs="宋体"/>
          <w:color w:val="000000" w:themeColor="text1"/>
          <w14:textFill>
            <w14:solidFill>
              <w14:schemeClr w14:val="tx1"/>
            </w14:solidFill>
          </w14:textFill>
        </w:rPr>
      </w:pPr>
    </w:p>
    <w:p w14:paraId="7305055A">
      <w:pPr>
        <w:rPr>
          <w:rFonts w:hint="eastAsia" w:ascii="宋体" w:hAnsi="宋体" w:cs="宋体"/>
          <w:color w:val="000000" w:themeColor="text1"/>
          <w14:textFill>
            <w14:solidFill>
              <w14:schemeClr w14:val="tx1"/>
            </w14:solidFill>
          </w14:textFill>
        </w:rPr>
      </w:pPr>
    </w:p>
    <w:p w14:paraId="292BF0F3">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2375E2A9">
      <w:pPr>
        <w:pStyle w:val="2"/>
        <w:numPr>
          <w:ilvl w:val="0"/>
          <w:numId w:val="0"/>
        </w:numPr>
        <w:bidi w:val="0"/>
        <w:ind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附件</w:t>
      </w:r>
    </w:p>
    <w:p w14:paraId="5381E8C1">
      <w:pPr>
        <w:bidi w:val="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项目需求对接确认单</w:t>
      </w:r>
    </w:p>
    <w:p w14:paraId="2A64FE2B">
      <w:pPr>
        <w:bidi w:val="0"/>
        <w:jc w:val="center"/>
        <w:rPr>
          <w:rFonts w:hint="eastAsia" w:ascii="宋体" w:hAnsi="宋体" w:eastAsia="宋体" w:cs="宋体"/>
          <w:color w:val="auto"/>
          <w:sz w:val="36"/>
          <w:szCs w:val="36"/>
          <w:lang w:val="en-US" w:eastAsia="zh-CN"/>
        </w:rPr>
      </w:pPr>
    </w:p>
    <w:p w14:paraId="4C233E12">
      <w:pPr>
        <w:pStyle w:val="11"/>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17"/>
          <w:rFonts w:hint="eastAsia" w:ascii="宋体" w:hAnsi="宋体" w:eastAsia="宋体" w:cs="宋体"/>
          <w:i w:val="0"/>
          <w:iCs w:val="0"/>
          <w:caps w:val="0"/>
          <w:color w:val="auto"/>
          <w:spacing w:val="0"/>
          <w:sz w:val="30"/>
          <w:szCs w:val="30"/>
          <w:u w:val="single"/>
          <w:shd w:val="clear" w:fill="FFFFFF"/>
          <w:lang w:val="en-US" w:eastAsia="zh-CN"/>
        </w:rPr>
      </w:pPr>
      <w:r>
        <w:rPr>
          <w:rStyle w:val="17"/>
          <w:rFonts w:hint="eastAsia" w:ascii="宋体" w:hAnsi="宋体" w:eastAsia="宋体" w:cs="宋体"/>
          <w:i w:val="0"/>
          <w:iCs w:val="0"/>
          <w:caps w:val="0"/>
          <w:color w:val="auto"/>
          <w:spacing w:val="0"/>
          <w:sz w:val="30"/>
          <w:szCs w:val="30"/>
          <w:shd w:val="clear" w:fill="FFFFFF"/>
        </w:rPr>
        <w:t>项目名称</w:t>
      </w:r>
      <w:r>
        <w:rPr>
          <w:rStyle w:val="17"/>
          <w:rFonts w:hint="eastAsia" w:ascii="宋体" w:hAnsi="宋体" w:eastAsia="宋体" w:cs="宋体"/>
          <w:i w:val="0"/>
          <w:iCs w:val="0"/>
          <w:caps w:val="0"/>
          <w:color w:val="auto"/>
          <w:spacing w:val="0"/>
          <w:sz w:val="30"/>
          <w:szCs w:val="30"/>
          <w:shd w:val="clear" w:fill="FFFFFF"/>
          <w:lang w:eastAsia="zh-CN"/>
        </w:rPr>
        <w:t>：</w:t>
      </w:r>
      <w:r>
        <w:rPr>
          <w:rStyle w:val="17"/>
          <w:rFonts w:hint="eastAsia" w:ascii="宋体" w:hAnsi="宋体" w:eastAsia="宋体" w:cs="宋体"/>
          <w:i w:val="0"/>
          <w:iCs w:val="0"/>
          <w:caps w:val="0"/>
          <w:color w:val="auto"/>
          <w:spacing w:val="0"/>
          <w:sz w:val="30"/>
          <w:szCs w:val="30"/>
          <w:u w:val="single"/>
          <w:shd w:val="clear" w:fill="FFFFFF"/>
          <w:lang w:val="en-US" w:eastAsia="zh-CN"/>
        </w:rPr>
        <w:t xml:space="preserve">                          </w:t>
      </w:r>
    </w:p>
    <w:p w14:paraId="33D5D01E">
      <w:pPr>
        <w:pStyle w:val="11"/>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17"/>
          <w:rFonts w:hint="eastAsia" w:ascii="宋体" w:hAnsi="宋体" w:eastAsia="宋体" w:cs="宋体"/>
          <w:i w:val="0"/>
          <w:iCs w:val="0"/>
          <w:caps w:val="0"/>
          <w:color w:val="auto"/>
          <w:spacing w:val="0"/>
          <w:sz w:val="30"/>
          <w:szCs w:val="30"/>
          <w:shd w:val="clear" w:fill="FFFFFF"/>
          <w:lang w:val="en-US" w:eastAsia="zh-CN"/>
        </w:rPr>
      </w:pPr>
      <w:r>
        <w:rPr>
          <w:rStyle w:val="17"/>
          <w:rFonts w:hint="eastAsia" w:ascii="宋体" w:hAnsi="宋体" w:eastAsia="宋体" w:cs="宋体"/>
          <w:i w:val="0"/>
          <w:iCs w:val="0"/>
          <w:caps w:val="0"/>
          <w:color w:val="auto"/>
          <w:spacing w:val="0"/>
          <w:sz w:val="30"/>
          <w:szCs w:val="30"/>
          <w:shd w:val="clear" w:fill="FFFFFF"/>
          <w:lang w:val="en-US" w:eastAsia="zh-CN"/>
        </w:rPr>
        <w:t>时    间</w:t>
      </w:r>
      <w:r>
        <w:rPr>
          <w:rFonts w:hint="eastAsia" w:ascii="宋体" w:hAnsi="宋体" w:eastAsia="宋体" w:cs="宋体"/>
          <w:i w:val="0"/>
          <w:iCs w:val="0"/>
          <w:caps w:val="0"/>
          <w:color w:val="auto"/>
          <w:spacing w:val="0"/>
          <w:sz w:val="30"/>
          <w:szCs w:val="30"/>
          <w:shd w:val="clear" w:fill="FFFFFF"/>
          <w:lang w:val="en-US" w:eastAsia="zh-CN"/>
        </w:rPr>
        <w:t>：</w:t>
      </w:r>
      <w:r>
        <w:rPr>
          <w:rFonts w:hint="eastAsia" w:ascii="宋体" w:hAnsi="宋体" w:eastAsia="宋体" w:cs="宋体"/>
          <w:i w:val="0"/>
          <w:iCs w:val="0"/>
          <w:caps w:val="0"/>
          <w:color w:val="auto"/>
          <w:spacing w:val="0"/>
          <w:sz w:val="30"/>
          <w:szCs w:val="30"/>
          <w:u w:val="single"/>
          <w:shd w:val="clear" w:fill="FFFFFF"/>
          <w:lang w:val="en-US" w:eastAsia="zh-CN"/>
        </w:rPr>
        <w:t xml:space="preserve">       </w:t>
      </w:r>
      <w:r>
        <w:rPr>
          <w:rStyle w:val="17"/>
          <w:rFonts w:hint="eastAsia" w:ascii="宋体" w:hAnsi="宋体" w:eastAsia="宋体" w:cs="宋体"/>
          <w:i w:val="0"/>
          <w:iCs w:val="0"/>
          <w:caps w:val="0"/>
          <w:color w:val="auto"/>
          <w:spacing w:val="0"/>
          <w:sz w:val="30"/>
          <w:szCs w:val="30"/>
          <w:shd w:val="clear" w:fill="FFFFFF"/>
        </w:rPr>
        <w:t>年</w:t>
      </w:r>
      <w:r>
        <w:rPr>
          <w:rFonts w:hint="eastAsia" w:ascii="宋体" w:hAnsi="宋体" w:eastAsia="宋体" w:cs="宋体"/>
          <w:i w:val="0"/>
          <w:iCs w:val="0"/>
          <w:caps w:val="0"/>
          <w:color w:val="auto"/>
          <w:spacing w:val="0"/>
          <w:sz w:val="30"/>
          <w:szCs w:val="30"/>
          <w:u w:val="single"/>
          <w:shd w:val="clear" w:fill="FFFFFF"/>
          <w:lang w:val="en-US" w:eastAsia="zh-CN"/>
        </w:rPr>
        <w:t xml:space="preserve">    </w:t>
      </w:r>
      <w:r>
        <w:rPr>
          <w:rStyle w:val="17"/>
          <w:rFonts w:hint="eastAsia" w:ascii="宋体" w:hAnsi="宋体" w:eastAsia="宋体" w:cs="宋体"/>
          <w:i w:val="0"/>
          <w:iCs w:val="0"/>
          <w:caps w:val="0"/>
          <w:color w:val="auto"/>
          <w:spacing w:val="0"/>
          <w:sz w:val="30"/>
          <w:szCs w:val="30"/>
          <w:shd w:val="clear" w:fill="FFFFFF"/>
        </w:rPr>
        <w:t>月</w:t>
      </w:r>
      <w:r>
        <w:rPr>
          <w:rFonts w:hint="eastAsia" w:ascii="宋体" w:hAnsi="宋体" w:eastAsia="宋体" w:cs="宋体"/>
          <w:i w:val="0"/>
          <w:iCs w:val="0"/>
          <w:caps w:val="0"/>
          <w:color w:val="auto"/>
          <w:spacing w:val="0"/>
          <w:sz w:val="30"/>
          <w:szCs w:val="30"/>
          <w:u w:val="single"/>
          <w:shd w:val="clear" w:fill="FFFFFF"/>
          <w:lang w:val="en-US" w:eastAsia="zh-CN"/>
        </w:rPr>
        <w:t xml:space="preserve">    </w:t>
      </w:r>
      <w:r>
        <w:rPr>
          <w:rStyle w:val="17"/>
          <w:rFonts w:hint="eastAsia" w:ascii="宋体" w:hAnsi="宋体" w:eastAsia="宋体" w:cs="宋体"/>
          <w:i w:val="0"/>
          <w:iCs w:val="0"/>
          <w:caps w:val="0"/>
          <w:color w:val="auto"/>
          <w:spacing w:val="0"/>
          <w:sz w:val="30"/>
          <w:szCs w:val="30"/>
          <w:shd w:val="clear" w:fill="FFFFFF"/>
        </w:rPr>
        <w:t>日</w:t>
      </w:r>
      <w:r>
        <w:rPr>
          <w:rStyle w:val="17"/>
          <w:rFonts w:hint="eastAsia" w:ascii="宋体" w:hAnsi="宋体" w:eastAsia="宋体" w:cs="宋体"/>
          <w:i w:val="0"/>
          <w:iCs w:val="0"/>
          <w:caps w:val="0"/>
          <w:color w:val="auto"/>
          <w:spacing w:val="0"/>
          <w:sz w:val="30"/>
          <w:szCs w:val="30"/>
          <w:shd w:val="clear" w:fill="FFFFFF"/>
          <w:lang w:val="en-US" w:eastAsia="zh-CN"/>
        </w:rPr>
        <w:t xml:space="preserve"> </w:t>
      </w:r>
    </w:p>
    <w:p w14:paraId="3221214D">
      <w:pPr>
        <w:pStyle w:val="11"/>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17"/>
          <w:rFonts w:hint="eastAsia" w:ascii="宋体" w:hAnsi="宋体" w:eastAsia="宋体" w:cs="宋体"/>
          <w:i w:val="0"/>
          <w:iCs w:val="0"/>
          <w:caps w:val="0"/>
          <w:color w:val="auto"/>
          <w:spacing w:val="0"/>
          <w:sz w:val="30"/>
          <w:szCs w:val="30"/>
          <w:u w:val="single"/>
          <w:shd w:val="clear" w:fill="FFFFFF"/>
          <w:lang w:val="en-US" w:eastAsia="zh-CN"/>
        </w:rPr>
      </w:pPr>
      <w:r>
        <w:rPr>
          <w:rStyle w:val="17"/>
          <w:rFonts w:hint="eastAsia" w:ascii="宋体" w:hAnsi="宋体" w:eastAsia="宋体" w:cs="宋体"/>
          <w:i w:val="0"/>
          <w:iCs w:val="0"/>
          <w:caps w:val="0"/>
          <w:color w:val="auto"/>
          <w:spacing w:val="0"/>
          <w:sz w:val="30"/>
          <w:szCs w:val="30"/>
          <w:shd w:val="clear" w:fill="FFFFFF"/>
          <w:lang w:val="en-US" w:eastAsia="zh-CN"/>
        </w:rPr>
        <w:t>投标商</w:t>
      </w:r>
      <w:r>
        <w:rPr>
          <w:rStyle w:val="17"/>
          <w:rFonts w:hint="eastAsia" w:ascii="宋体" w:hAnsi="宋体" w:eastAsia="宋体" w:cs="宋体"/>
          <w:i w:val="0"/>
          <w:iCs w:val="0"/>
          <w:caps w:val="0"/>
          <w:color w:val="auto"/>
          <w:spacing w:val="0"/>
          <w:sz w:val="30"/>
          <w:szCs w:val="30"/>
          <w:shd w:val="clear" w:fill="FFFFFF"/>
        </w:rPr>
        <w:t>：</w:t>
      </w:r>
      <w:r>
        <w:rPr>
          <w:rStyle w:val="17"/>
          <w:rFonts w:hint="eastAsia" w:ascii="宋体" w:hAnsi="宋体" w:eastAsia="宋体" w:cs="宋体"/>
          <w:i w:val="0"/>
          <w:iCs w:val="0"/>
          <w:caps w:val="0"/>
          <w:color w:val="auto"/>
          <w:spacing w:val="0"/>
          <w:sz w:val="30"/>
          <w:szCs w:val="30"/>
          <w:u w:val="single"/>
          <w:shd w:val="clear" w:fill="FFFFFF"/>
          <w:lang w:val="en-US" w:eastAsia="zh-CN"/>
        </w:rPr>
        <w:t xml:space="preserve">                          </w:t>
      </w:r>
    </w:p>
    <w:p w14:paraId="33568D3B">
      <w:pPr>
        <w:pStyle w:val="11"/>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17"/>
          <w:rFonts w:hint="eastAsia" w:ascii="宋体" w:hAnsi="宋体" w:eastAsia="宋体" w:cs="宋体"/>
          <w:i w:val="0"/>
          <w:iCs w:val="0"/>
          <w:caps w:val="0"/>
          <w:color w:val="auto"/>
          <w:spacing w:val="0"/>
          <w:sz w:val="30"/>
          <w:szCs w:val="30"/>
          <w:u w:val="single"/>
          <w:shd w:val="clear" w:fill="FFFFFF"/>
          <w:lang w:val="en-US" w:eastAsia="zh-CN"/>
        </w:rPr>
      </w:pPr>
      <w:r>
        <w:rPr>
          <w:rStyle w:val="17"/>
          <w:rFonts w:hint="eastAsia" w:ascii="宋体" w:hAnsi="宋体" w:eastAsia="宋体" w:cs="宋体"/>
          <w:i w:val="0"/>
          <w:iCs w:val="0"/>
          <w:caps w:val="0"/>
          <w:color w:val="auto"/>
          <w:spacing w:val="0"/>
          <w:sz w:val="30"/>
          <w:szCs w:val="30"/>
          <w:u w:val="single"/>
          <w:shd w:val="clear" w:fill="FFFFFF"/>
          <w:lang w:val="en-US" w:eastAsia="zh-CN"/>
        </w:rPr>
        <w:t>根据文件</w:t>
      </w:r>
    </w:p>
    <w:tbl>
      <w:tblPr>
        <w:tblStyle w:val="14"/>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97"/>
        <w:gridCol w:w="1998"/>
        <w:gridCol w:w="1746"/>
      </w:tblGrid>
      <w:tr w14:paraId="6907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jc w:val="center"/>
        </w:trPr>
        <w:tc>
          <w:tcPr>
            <w:tcW w:w="4697" w:type="dxa"/>
            <w:shd w:val="clear" w:color="auto" w:fill="auto"/>
            <w:tcMar>
              <w:top w:w="120" w:type="dxa"/>
              <w:left w:w="0" w:type="dxa"/>
              <w:bottom w:w="120" w:type="dxa"/>
              <w:right w:w="120" w:type="dxa"/>
            </w:tcMar>
            <w:vAlign w:val="center"/>
          </w:tcPr>
          <w:p w14:paraId="76E188E5">
            <w:pPr>
              <w:keepNext w:val="0"/>
              <w:keepLines w:val="0"/>
              <w:widowControl/>
              <w:suppressLineNumbers w:val="0"/>
              <w:spacing w:line="21" w:lineRule="atLeast"/>
              <w:jc w:val="center"/>
              <w:rPr>
                <w:rFonts w:hint="eastAsia" w:ascii="宋体" w:hAnsi="宋体" w:eastAsia="宋体" w:cs="宋体"/>
                <w:b/>
                <w:bCs/>
                <w:color w:val="auto"/>
                <w:sz w:val="24"/>
                <w:szCs w:val="24"/>
              </w:rPr>
            </w:pPr>
            <w:r>
              <w:rPr>
                <w:rStyle w:val="17"/>
                <w:rFonts w:hint="eastAsia" w:ascii="宋体" w:hAnsi="宋体" w:eastAsia="宋体" w:cs="宋体"/>
                <w:color w:val="auto"/>
                <w:kern w:val="0"/>
                <w:sz w:val="24"/>
                <w:szCs w:val="24"/>
                <w:lang w:val="en-US" w:eastAsia="zh-CN" w:bidi="ar"/>
              </w:rPr>
              <w:t>确认事项</w:t>
            </w:r>
          </w:p>
        </w:tc>
        <w:tc>
          <w:tcPr>
            <w:tcW w:w="1998" w:type="dxa"/>
            <w:shd w:val="clear" w:color="auto" w:fill="auto"/>
            <w:tcMar>
              <w:top w:w="120" w:type="dxa"/>
              <w:left w:w="120" w:type="dxa"/>
              <w:bottom w:w="120" w:type="dxa"/>
              <w:right w:w="120" w:type="dxa"/>
            </w:tcMar>
            <w:vAlign w:val="center"/>
          </w:tcPr>
          <w:p w14:paraId="4C4E9E9B">
            <w:pPr>
              <w:keepNext w:val="0"/>
              <w:keepLines w:val="0"/>
              <w:widowControl/>
              <w:suppressLineNumbers w:val="0"/>
              <w:spacing w:line="21"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是否知悉并了解需求</w:t>
            </w:r>
          </w:p>
        </w:tc>
        <w:tc>
          <w:tcPr>
            <w:tcW w:w="1746" w:type="dxa"/>
            <w:shd w:val="clear" w:color="auto" w:fill="auto"/>
            <w:tcMar>
              <w:top w:w="120" w:type="dxa"/>
              <w:left w:w="120" w:type="dxa"/>
              <w:bottom w:w="120" w:type="dxa"/>
              <w:right w:w="120" w:type="dxa"/>
            </w:tcMar>
            <w:vAlign w:val="center"/>
          </w:tcPr>
          <w:p w14:paraId="3BD35D20">
            <w:pPr>
              <w:keepNext w:val="0"/>
              <w:keepLines w:val="0"/>
              <w:widowControl/>
              <w:suppressLineNumbers w:val="0"/>
              <w:spacing w:line="21"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2094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0D5762B2">
            <w:pPr>
              <w:keepNext w:val="0"/>
              <w:keepLines w:val="0"/>
              <w:widowControl/>
              <w:suppressLineNumbers w:val="0"/>
              <w:spacing w:line="21" w:lineRule="atLeast"/>
              <w:jc w:val="left"/>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1. 我方可提供完全符合资源采购清单中种类、数量、规格要求的产品。</w:t>
            </w:r>
          </w:p>
        </w:tc>
        <w:tc>
          <w:tcPr>
            <w:tcW w:w="1998" w:type="dxa"/>
            <w:shd w:val="clear" w:color="auto" w:fill="auto"/>
            <w:tcMar>
              <w:top w:w="120" w:type="dxa"/>
              <w:left w:w="120" w:type="dxa"/>
              <w:bottom w:w="120" w:type="dxa"/>
              <w:right w:w="120" w:type="dxa"/>
            </w:tcMar>
            <w:vAlign w:val="center"/>
          </w:tcPr>
          <w:p w14:paraId="4513B26B">
            <w:pPr>
              <w:keepNext w:val="0"/>
              <w:keepLines w:val="0"/>
              <w:widowControl/>
              <w:suppressLineNumbers w:val="0"/>
              <w:spacing w:line="21" w:lineRule="atLeast"/>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C4F6657">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1303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32EF9CE3">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 我方能够提供符合业务需求的技术团队与服务运维。</w:t>
            </w:r>
          </w:p>
        </w:tc>
        <w:tc>
          <w:tcPr>
            <w:tcW w:w="1998" w:type="dxa"/>
            <w:shd w:val="clear" w:color="auto" w:fill="auto"/>
            <w:tcMar>
              <w:top w:w="120" w:type="dxa"/>
              <w:left w:w="120" w:type="dxa"/>
              <w:bottom w:w="120" w:type="dxa"/>
              <w:right w:w="120" w:type="dxa"/>
            </w:tcMar>
            <w:vAlign w:val="center"/>
          </w:tcPr>
          <w:p w14:paraId="4F6DB1E6">
            <w:pPr>
              <w:keepNext w:val="0"/>
              <w:keepLines w:val="0"/>
              <w:widowControl/>
              <w:suppressLineNumbers w:val="0"/>
              <w:spacing w:line="21"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5F5C7B88">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7583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39A487F9">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确保实现11个子系统主要功能需求，包括：需满足基础数据、招生预报名管理、学生自主报名端、财务管理系统、论文系统等一系列业务的信息化管理，满足新疆开放大学办学的全过程管理，可实现各端口之间数据相通，实时保障数据安全。</w:t>
            </w:r>
          </w:p>
        </w:tc>
        <w:tc>
          <w:tcPr>
            <w:tcW w:w="1998" w:type="dxa"/>
            <w:shd w:val="clear" w:color="auto" w:fill="auto"/>
            <w:tcMar>
              <w:top w:w="120" w:type="dxa"/>
              <w:left w:w="120" w:type="dxa"/>
              <w:bottom w:w="120" w:type="dxa"/>
              <w:right w:w="120" w:type="dxa"/>
            </w:tcMar>
            <w:vAlign w:val="center"/>
          </w:tcPr>
          <w:p w14:paraId="4B4C19A3">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283FEB97">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011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5CCA5382">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 我方明确需覆盖 11 个子系统的监控、故障处理、数据管理等服务，保障平台 99.95% 正常运行时间。</w:t>
            </w:r>
          </w:p>
        </w:tc>
        <w:tc>
          <w:tcPr>
            <w:tcW w:w="1998" w:type="dxa"/>
            <w:shd w:val="clear" w:color="auto" w:fill="auto"/>
            <w:tcMar>
              <w:top w:w="120" w:type="dxa"/>
              <w:left w:w="120" w:type="dxa"/>
              <w:bottom w:w="120" w:type="dxa"/>
              <w:right w:w="120" w:type="dxa"/>
            </w:tcMar>
            <w:vAlign w:val="center"/>
          </w:tcPr>
          <w:p w14:paraId="4F020E46">
            <w:pPr>
              <w:keepNext w:val="0"/>
              <w:keepLines w:val="0"/>
              <w:widowControl/>
              <w:suppressLineNumbers w:val="0"/>
              <w:spacing w:line="21"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607A5F7C">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49C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4B21A72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 我方将做好重大活动时期（如在线考试、招生高峰）保障，提供 7×24 小时响应，确保服务不中断。
</w:t>
            </w:r>
          </w:p>
        </w:tc>
        <w:tc>
          <w:tcPr>
            <w:tcW w:w="1998" w:type="dxa"/>
            <w:shd w:val="clear" w:color="auto" w:fill="auto"/>
            <w:tcMar>
              <w:top w:w="120" w:type="dxa"/>
              <w:left w:w="120" w:type="dxa"/>
              <w:bottom w:w="120" w:type="dxa"/>
              <w:right w:w="120" w:type="dxa"/>
            </w:tcMar>
            <w:vAlign w:val="center"/>
          </w:tcPr>
          <w:p w14:paraId="7342382A">
            <w:pPr>
              <w:keepNext w:val="0"/>
              <w:keepLines w:val="0"/>
              <w:widowControl/>
              <w:suppressLineNumbers w:val="0"/>
              <w:spacing w:line="21"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F0D2304">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40FD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72000E12">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 我方将开展性能监控与优化（代码、数据库、网络），按需求开发新功能，经全面测试后升级，确保系统支持 50 万注册用户、2 万同时在线等使用要求。
</w:t>
            </w:r>
          </w:p>
        </w:tc>
        <w:tc>
          <w:tcPr>
            <w:tcW w:w="1998" w:type="dxa"/>
            <w:shd w:val="clear" w:color="auto" w:fill="auto"/>
            <w:tcMar>
              <w:top w:w="120" w:type="dxa"/>
              <w:left w:w="120" w:type="dxa"/>
              <w:bottom w:w="120" w:type="dxa"/>
              <w:right w:w="120" w:type="dxa"/>
            </w:tcMar>
            <w:vAlign w:val="center"/>
          </w:tcPr>
          <w:p w14:paraId="01178894">
            <w:pPr>
              <w:keepNext w:val="0"/>
              <w:keepLines w:val="0"/>
              <w:widowControl/>
              <w:suppressLineNumbers w:val="0"/>
              <w:spacing w:line="21"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F28B41D">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038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33268E92">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7.我方承诺中标后 5 个工作日内完成财务系统与新疆教育收费系统对接，支持 PC 及 H5 端缴费功能。</w:t>
            </w:r>
          </w:p>
        </w:tc>
        <w:tc>
          <w:tcPr>
            <w:tcW w:w="1998" w:type="dxa"/>
            <w:shd w:val="clear" w:color="auto" w:fill="auto"/>
            <w:tcMar>
              <w:top w:w="120" w:type="dxa"/>
              <w:left w:w="120" w:type="dxa"/>
              <w:bottom w:w="120" w:type="dxa"/>
              <w:right w:w="120" w:type="dxa"/>
            </w:tcMar>
            <w:vAlign w:val="center"/>
          </w:tcPr>
          <w:p w14:paraId="580AA439">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B008DF7">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369A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2446BB34">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8.我方将提供符合配置要求的云服务器托管服务，并承诺中标后，保障一体化平台年度正常运行时间不低于99.95%。</w:t>
            </w:r>
          </w:p>
        </w:tc>
        <w:tc>
          <w:tcPr>
            <w:tcW w:w="1998" w:type="dxa"/>
            <w:shd w:val="clear" w:color="auto" w:fill="auto"/>
            <w:tcMar>
              <w:top w:w="120" w:type="dxa"/>
              <w:left w:w="120" w:type="dxa"/>
              <w:bottom w:w="120" w:type="dxa"/>
              <w:right w:w="120" w:type="dxa"/>
            </w:tcMar>
            <w:vAlign w:val="center"/>
          </w:tcPr>
          <w:p w14:paraId="614F33AE">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79B9D83D">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77C5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611A35B2">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9.我方承诺在服务期内实施两次数据备份，分别定于 2025 年 7 月及 2026 年 1 月，保障数据安全与完整。
</w:t>
            </w:r>
          </w:p>
        </w:tc>
        <w:tc>
          <w:tcPr>
            <w:tcW w:w="1998" w:type="dxa"/>
            <w:shd w:val="clear" w:color="auto" w:fill="auto"/>
            <w:tcMar>
              <w:top w:w="120" w:type="dxa"/>
              <w:left w:w="120" w:type="dxa"/>
              <w:bottom w:w="120" w:type="dxa"/>
              <w:right w:w="120" w:type="dxa"/>
            </w:tcMar>
            <w:vAlign w:val="center"/>
          </w:tcPr>
          <w:p w14:paraId="7A2D6ACD">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14F4CB9F">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2A06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1" w:hRule="atLeast"/>
          <w:jc w:val="center"/>
        </w:trPr>
        <w:tc>
          <w:tcPr>
            <w:tcW w:w="4697" w:type="dxa"/>
            <w:shd w:val="clear" w:color="auto" w:fill="auto"/>
            <w:tcMar>
              <w:top w:w="120" w:type="dxa"/>
              <w:left w:w="0" w:type="dxa"/>
              <w:bottom w:w="120" w:type="dxa"/>
              <w:right w:w="120" w:type="dxa"/>
            </w:tcMar>
            <w:vAlign w:val="center"/>
          </w:tcPr>
          <w:p w14:paraId="723AA7FF">
            <w:pPr>
              <w:pStyle w:val="7"/>
              <w:spacing w:before="0" w:after="0" w:line="240" w:lineRule="auto"/>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10.我方承诺自学校正式提出服务器迁移需求之日起，经双方确认迁移方案后，在不超过10个工作日的停服期间内，完成平台数据从腾讯云迁移到学校指定云的迁移工作以及服务的部署。</w:t>
            </w:r>
          </w:p>
        </w:tc>
        <w:tc>
          <w:tcPr>
            <w:tcW w:w="1998" w:type="dxa"/>
            <w:shd w:val="clear" w:color="auto" w:fill="auto"/>
            <w:tcMar>
              <w:top w:w="120" w:type="dxa"/>
              <w:left w:w="120" w:type="dxa"/>
              <w:bottom w:w="120" w:type="dxa"/>
              <w:right w:w="120" w:type="dxa"/>
            </w:tcMar>
            <w:vAlign w:val="center"/>
          </w:tcPr>
          <w:p w14:paraId="7BA36069">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8422E34">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510E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6693D881">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11.我方确保系统符合三级等保要求，具备安全防护、数据备份机制，建立数据访问控制制度，安全事件响应≤8 小时。</w:t>
            </w:r>
          </w:p>
        </w:tc>
        <w:tc>
          <w:tcPr>
            <w:tcW w:w="1998" w:type="dxa"/>
            <w:shd w:val="clear" w:color="auto" w:fill="auto"/>
            <w:tcMar>
              <w:top w:w="120" w:type="dxa"/>
              <w:left w:w="120" w:type="dxa"/>
              <w:bottom w:w="120" w:type="dxa"/>
              <w:right w:w="120" w:type="dxa"/>
            </w:tcMar>
            <w:vAlign w:val="center"/>
          </w:tcPr>
          <w:p w14:paraId="583FC2C9">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3B924DD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603A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1443A21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12.我方承诺提供一次免费线上系统操作培训，涵盖系统管理员维护及支撑技术，采用理论与实操结合的方式，时间按需协商。
</w:t>
            </w:r>
          </w:p>
        </w:tc>
        <w:tc>
          <w:tcPr>
            <w:tcW w:w="1998" w:type="dxa"/>
            <w:shd w:val="clear" w:color="auto" w:fill="auto"/>
            <w:tcMar>
              <w:top w:w="120" w:type="dxa"/>
              <w:left w:w="120" w:type="dxa"/>
              <w:bottom w:w="120" w:type="dxa"/>
              <w:right w:w="120" w:type="dxa"/>
            </w:tcMar>
            <w:vAlign w:val="center"/>
          </w:tcPr>
          <w:p w14:paraId="38B542AA">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29A084E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77DF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72D67FB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 我方承诺将依照国家开放大学的模板要求，提供招生报名表模板的导出及批量打印功能。同时，将实现与国开一网一平台教务成绩的对接。</w:t>
            </w:r>
          </w:p>
        </w:tc>
        <w:tc>
          <w:tcPr>
            <w:tcW w:w="1998" w:type="dxa"/>
            <w:shd w:val="clear" w:color="auto" w:fill="auto"/>
            <w:tcMar>
              <w:top w:w="120" w:type="dxa"/>
              <w:left w:w="120" w:type="dxa"/>
              <w:bottom w:w="120" w:type="dxa"/>
              <w:right w:w="120" w:type="dxa"/>
            </w:tcMar>
            <w:vAlign w:val="center"/>
          </w:tcPr>
          <w:p w14:paraId="6DC7B357">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7E52375F">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51F9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73C80107">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14.我方承诺，迁移服务过程中与原开发商的沟通所产生的咨询费用，将由本公司负责承担。</w:t>
            </w:r>
          </w:p>
        </w:tc>
        <w:tc>
          <w:tcPr>
            <w:tcW w:w="1998" w:type="dxa"/>
            <w:shd w:val="clear" w:color="auto" w:fill="auto"/>
            <w:tcMar>
              <w:top w:w="120" w:type="dxa"/>
              <w:left w:w="120" w:type="dxa"/>
              <w:bottom w:w="120" w:type="dxa"/>
              <w:right w:w="120" w:type="dxa"/>
            </w:tcMar>
            <w:vAlign w:val="center"/>
          </w:tcPr>
          <w:p w14:paraId="3F9A3116">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2FC74D60">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39C7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1B1271F6">
            <w:pPr>
              <w:keepNext w:val="0"/>
              <w:keepLines w:val="0"/>
              <w:widowControl/>
              <w:suppressLineNumbers w:val="0"/>
              <w:spacing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15.我公司承诺，具备对平台二次开发的技术能力，且提供不少于 1500工时的开发服务。 </w:t>
            </w:r>
          </w:p>
        </w:tc>
        <w:tc>
          <w:tcPr>
            <w:tcW w:w="1998" w:type="dxa"/>
            <w:shd w:val="clear" w:color="auto" w:fill="auto"/>
            <w:tcMar>
              <w:top w:w="120" w:type="dxa"/>
              <w:left w:w="120" w:type="dxa"/>
              <w:bottom w:w="120" w:type="dxa"/>
              <w:right w:w="120" w:type="dxa"/>
            </w:tcMar>
            <w:vAlign w:val="center"/>
          </w:tcPr>
          <w:p w14:paraId="5BBE9F6E">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7C115151">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r w14:paraId="42FD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97" w:type="dxa"/>
            <w:shd w:val="clear" w:color="auto" w:fill="auto"/>
            <w:tcMar>
              <w:top w:w="120" w:type="dxa"/>
              <w:left w:w="0" w:type="dxa"/>
              <w:bottom w:w="120" w:type="dxa"/>
              <w:right w:w="120" w:type="dxa"/>
            </w:tcMar>
            <w:vAlign w:val="center"/>
          </w:tcPr>
          <w:p w14:paraId="35EB9114">
            <w:pPr>
              <w:keepNext w:val="0"/>
              <w:keepLines w:val="0"/>
              <w:widowControl/>
              <w:suppressLineNumbers w:val="0"/>
              <w:spacing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themeColor="text1"/>
                <w:sz w:val="24"/>
                <w:szCs w:val="24"/>
                <w:lang w:val="en-US" w:eastAsia="zh-CN"/>
                <w14:textFill>
                  <w14:solidFill>
                    <w14:schemeClr w14:val="tx1"/>
                  </w14:solidFill>
                </w14:textFill>
              </w:rPr>
              <w:t>我</w:t>
            </w:r>
            <w:r>
              <w:rPr>
                <w:rFonts w:hint="eastAsia" w:ascii="宋体" w:hAnsi="宋体" w:eastAsia="宋体" w:cs="宋体"/>
                <w:color w:val="auto"/>
                <w:kern w:val="0"/>
                <w:sz w:val="24"/>
                <w:szCs w:val="24"/>
                <w:lang w:val="en-US" w:eastAsia="zh-CN" w:bidi="ar"/>
              </w:rPr>
              <w:t>公司承诺</w:t>
            </w:r>
            <w:r>
              <w:rPr>
                <w:rFonts w:hint="eastAsia" w:ascii="宋体" w:hAnsi="宋体" w:eastAsia="宋体" w:cs="宋体"/>
                <w:color w:val="000000" w:themeColor="text1"/>
                <w:sz w:val="24"/>
                <w:szCs w:val="24"/>
                <w:lang w:val="en-US" w:eastAsia="zh-CN"/>
                <w14:textFill>
                  <w14:solidFill>
                    <w14:schemeClr w14:val="tx1"/>
                  </w14:solidFill>
                </w14:textFill>
              </w:rPr>
              <w:t>，在服务执行期间，供应商须确保至少有10名研发人员投入工作，并须提供相应的社会保险证明文件。</w:t>
            </w:r>
          </w:p>
        </w:tc>
        <w:tc>
          <w:tcPr>
            <w:tcW w:w="1998" w:type="dxa"/>
            <w:shd w:val="clear" w:color="auto" w:fill="auto"/>
            <w:tcMar>
              <w:top w:w="120" w:type="dxa"/>
              <w:left w:w="120" w:type="dxa"/>
              <w:bottom w:w="120" w:type="dxa"/>
              <w:right w:w="120" w:type="dxa"/>
            </w:tcMar>
            <w:vAlign w:val="center"/>
          </w:tcPr>
          <w:p w14:paraId="48819FEF">
            <w:pPr>
              <w:keepNext w:val="0"/>
              <w:keepLines w:val="0"/>
              <w:widowControl/>
              <w:suppressLineNumbers w:val="0"/>
              <w:spacing w:line="21"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是 □ 否</w:t>
            </w:r>
          </w:p>
        </w:tc>
        <w:tc>
          <w:tcPr>
            <w:tcW w:w="1746" w:type="dxa"/>
            <w:shd w:val="clear" w:color="auto" w:fill="auto"/>
            <w:tcMar>
              <w:top w:w="120" w:type="dxa"/>
              <w:left w:w="120" w:type="dxa"/>
              <w:bottom w:w="120" w:type="dxa"/>
              <w:right w:w="120" w:type="dxa"/>
            </w:tcMar>
            <w:vAlign w:val="center"/>
          </w:tcPr>
          <w:p w14:paraId="4E64318D">
            <w:pPr>
              <w:keepNext w:val="0"/>
              <w:keepLines w:val="0"/>
              <w:widowControl/>
              <w:suppressLineNumbers w:val="0"/>
              <w:spacing w:line="21" w:lineRule="atLeast"/>
              <w:jc w:val="left"/>
              <w:rPr>
                <w:rFonts w:hint="eastAsia" w:ascii="宋体" w:hAnsi="宋体" w:eastAsia="宋体" w:cs="宋体"/>
                <w:color w:val="auto"/>
                <w:kern w:val="0"/>
                <w:sz w:val="24"/>
                <w:szCs w:val="24"/>
                <w:lang w:val="en-US" w:eastAsia="zh-CN" w:bidi="ar"/>
              </w:rPr>
            </w:pPr>
          </w:p>
        </w:tc>
      </w:tr>
    </w:tbl>
    <w:p w14:paraId="5792BCE6">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17"/>
          <w:rFonts w:hint="eastAsia" w:ascii="宋体" w:hAnsi="宋体" w:eastAsia="宋体" w:cs="宋体"/>
          <w:i w:val="0"/>
          <w:iCs w:val="0"/>
          <w:caps w:val="0"/>
          <w:color w:val="auto"/>
          <w:spacing w:val="0"/>
          <w:kern w:val="0"/>
          <w:sz w:val="28"/>
          <w:szCs w:val="28"/>
          <w:shd w:val="clear" w:fill="FFFFFF"/>
          <w:lang w:val="en-US" w:eastAsia="zh-CN" w:bidi="ar-SA"/>
        </w:rPr>
      </w:pPr>
    </w:p>
    <w:p w14:paraId="6A14E018">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17"/>
          <w:rFonts w:hint="eastAsia" w:ascii="宋体" w:hAnsi="宋体" w:eastAsia="宋体" w:cs="宋体"/>
          <w:i w:val="0"/>
          <w:iCs w:val="0"/>
          <w:caps w:val="0"/>
          <w:color w:val="auto"/>
          <w:spacing w:val="0"/>
          <w:kern w:val="0"/>
          <w:sz w:val="28"/>
          <w:szCs w:val="28"/>
          <w:shd w:val="clear" w:fill="FFFFFF"/>
          <w:lang w:val="en-US" w:eastAsia="zh-CN" w:bidi="ar-SA"/>
        </w:rPr>
      </w:pPr>
      <w:r>
        <w:rPr>
          <w:rStyle w:val="17"/>
          <w:rFonts w:hint="eastAsia" w:ascii="宋体" w:hAnsi="宋体" w:eastAsia="宋体" w:cs="宋体"/>
          <w:i w:val="0"/>
          <w:iCs w:val="0"/>
          <w:caps w:val="0"/>
          <w:color w:val="auto"/>
          <w:spacing w:val="0"/>
          <w:kern w:val="0"/>
          <w:sz w:val="28"/>
          <w:szCs w:val="28"/>
          <w:shd w:val="clear" w:fill="FFFFFF"/>
          <w:lang w:val="en-US" w:eastAsia="zh-CN" w:bidi="ar-SA"/>
        </w:rPr>
        <w:t>投标商盖章：</w:t>
      </w:r>
    </w:p>
    <w:p w14:paraId="0BD9A620">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17"/>
          <w:rFonts w:hint="eastAsia" w:ascii="宋体" w:hAnsi="宋体" w:eastAsia="宋体" w:cs="宋体"/>
          <w:i w:val="0"/>
          <w:iCs w:val="0"/>
          <w:caps w:val="0"/>
          <w:color w:val="auto"/>
          <w:spacing w:val="0"/>
          <w:kern w:val="0"/>
          <w:sz w:val="28"/>
          <w:szCs w:val="28"/>
          <w:shd w:val="clear" w:fill="FFFFFF"/>
          <w:lang w:val="en-US" w:eastAsia="zh-CN" w:bidi="ar-SA"/>
        </w:rPr>
      </w:pPr>
      <w:r>
        <w:rPr>
          <w:rStyle w:val="17"/>
          <w:rFonts w:hint="eastAsia" w:ascii="宋体" w:hAnsi="宋体" w:eastAsia="宋体" w:cs="宋体"/>
          <w:i w:val="0"/>
          <w:iCs w:val="0"/>
          <w:caps w:val="0"/>
          <w:color w:val="auto"/>
          <w:spacing w:val="0"/>
          <w:kern w:val="0"/>
          <w:sz w:val="28"/>
          <w:szCs w:val="28"/>
          <w:shd w:val="clear" w:fill="FFFFFF"/>
          <w:lang w:val="en-US" w:eastAsia="zh-CN" w:bidi="ar-SA"/>
        </w:rPr>
        <w:t>投标商委托人签字：</w:t>
      </w:r>
    </w:p>
    <w:p w14:paraId="4C119CAB">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eastAsia" w:ascii="宋体" w:hAnsi="宋体" w:eastAsia="宋体" w:cs="宋体"/>
          <w:color w:val="auto"/>
          <w:kern w:val="0"/>
          <w:sz w:val="28"/>
          <w:szCs w:val="28"/>
          <w:lang w:val="en-US" w:eastAsia="zh-CN" w:bidi="ar"/>
        </w:rPr>
      </w:pPr>
      <w:r>
        <w:rPr>
          <w:rStyle w:val="17"/>
          <w:rFonts w:hint="eastAsia" w:ascii="宋体" w:hAnsi="宋体" w:eastAsia="宋体" w:cs="宋体"/>
          <w:i w:val="0"/>
          <w:iCs w:val="0"/>
          <w:caps w:val="0"/>
          <w:color w:val="auto"/>
          <w:spacing w:val="0"/>
          <w:kern w:val="0"/>
          <w:sz w:val="28"/>
          <w:szCs w:val="28"/>
          <w:shd w:val="clear" w:fill="FFFFFF"/>
          <w:lang w:val="en-US" w:eastAsia="zh-CN" w:bidi="ar-SA"/>
        </w:rPr>
        <w:t>委托人联系电话：</w:t>
      </w:r>
    </w:p>
    <w:p w14:paraId="0F18ACEB">
      <w:pPr>
        <w:rPr>
          <w:rFonts w:hint="eastAsia" w:ascii="宋体" w:hAnsi="宋体" w:eastAsia="宋体" w:cs="宋体"/>
        </w:rPr>
      </w:pPr>
    </w:p>
    <w:p w14:paraId="4B35077F">
      <w:pPr>
        <w:pStyle w:val="10"/>
      </w:pPr>
      <w:r>
        <w:rPr>
          <w:rFonts w:hint="eastAsia" w:ascii="宋体" w:hAnsi="宋体" w:eastAsia="宋体" w:cs="宋体"/>
          <w:color w:val="auto"/>
          <w:sz w:val="24"/>
          <w:szCs w:val="24"/>
          <w:lang w:val="en-US" w:eastAsia="zh-CN"/>
        </w:rPr>
        <w:t>政采云竞价流程结束前一个工作日内确认单有效。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FD2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333C8">
                          <w:pPr>
                            <w:pStyle w:val="8"/>
                          </w:pPr>
                          <w:r>
                            <w:fldChar w:fldCharType="begin"/>
                          </w:r>
                          <w:r>
                            <w:instrText xml:space="preserve"> PAGE  \* MERGEFORMAT </w:instrText>
                          </w:r>
                          <w:r>
                            <w:fldChar w:fldCharType="separate"/>
                          </w:r>
                          <w:r>
                            <w:t>5</w:t>
                          </w:r>
                          <w:r>
                            <w:fldChar w:fldCharType="end"/>
                          </w:r>
                          <w:r>
                            <w:t>/</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6333C8">
                    <w:pPr>
                      <w:pStyle w:val="8"/>
                    </w:pPr>
                    <w:r>
                      <w:fldChar w:fldCharType="begin"/>
                    </w:r>
                    <w:r>
                      <w:instrText xml:space="preserve"> PAGE  \* MERGEFORMAT </w:instrText>
                    </w:r>
                    <w:r>
                      <w:fldChar w:fldCharType="separate"/>
                    </w:r>
                    <w:r>
                      <w:t>5</w:t>
                    </w:r>
                    <w:r>
                      <w:fldChar w:fldCharType="end"/>
                    </w:r>
                    <w:r>
                      <w:t>/</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8907E"/>
    <w:multiLevelType w:val="singleLevel"/>
    <w:tmpl w:val="9618907E"/>
    <w:lvl w:ilvl="0" w:tentative="0">
      <w:start w:val="1"/>
      <w:numFmt w:val="bullet"/>
      <w:lvlText w:val=""/>
      <w:lvlJc w:val="left"/>
      <w:pPr>
        <w:tabs>
          <w:tab w:val="left" w:pos="420"/>
        </w:tabs>
        <w:ind w:left="840" w:hanging="420"/>
      </w:pPr>
      <w:rPr>
        <w:rFonts w:hint="default" w:ascii="Wingdings" w:hAnsi="Wingdings"/>
      </w:rPr>
    </w:lvl>
  </w:abstractNum>
  <w:abstractNum w:abstractNumId="1">
    <w:nsid w:val="AAD9804E"/>
    <w:multiLevelType w:val="singleLevel"/>
    <w:tmpl w:val="AAD9804E"/>
    <w:lvl w:ilvl="0" w:tentative="0">
      <w:start w:val="1"/>
      <w:numFmt w:val="decimal"/>
      <w:lvlText w:val="%1."/>
      <w:lvlJc w:val="left"/>
      <w:pPr>
        <w:ind w:left="425" w:hanging="425"/>
      </w:pPr>
      <w:rPr>
        <w:rFonts w:hint="default"/>
      </w:rPr>
    </w:lvl>
  </w:abstractNum>
  <w:abstractNum w:abstractNumId="2">
    <w:nsid w:val="B6C7DF03"/>
    <w:multiLevelType w:val="singleLevel"/>
    <w:tmpl w:val="B6C7DF03"/>
    <w:lvl w:ilvl="0" w:tentative="0">
      <w:start w:val="3"/>
      <w:numFmt w:val="chineseCounting"/>
      <w:suff w:val="nothing"/>
      <w:lvlText w:val="（%1）"/>
      <w:lvlJc w:val="left"/>
      <w:rPr>
        <w:rFonts w:hint="eastAsia"/>
      </w:rPr>
    </w:lvl>
  </w:abstractNum>
  <w:abstractNum w:abstractNumId="3">
    <w:nsid w:val="C1770982"/>
    <w:multiLevelType w:val="singleLevel"/>
    <w:tmpl w:val="C1770982"/>
    <w:lvl w:ilvl="0" w:tentative="0">
      <w:start w:val="1"/>
      <w:numFmt w:val="bullet"/>
      <w:lvlText w:val=""/>
      <w:lvlJc w:val="left"/>
      <w:pPr>
        <w:ind w:left="420" w:hanging="420"/>
      </w:pPr>
      <w:rPr>
        <w:rFonts w:hint="default" w:ascii="Wingdings" w:hAnsi="Wingdings"/>
      </w:rPr>
    </w:lvl>
  </w:abstractNum>
  <w:abstractNum w:abstractNumId="4">
    <w:nsid w:val="00000003"/>
    <w:multiLevelType w:val="singleLevel"/>
    <w:tmpl w:val="00000003"/>
    <w:lvl w:ilvl="0" w:tentative="0">
      <w:start w:val="1"/>
      <w:numFmt w:val="bullet"/>
      <w:lvlText w:val=""/>
      <w:lvlJc w:val="left"/>
      <w:pPr>
        <w:tabs>
          <w:tab w:val="left" w:pos="420"/>
        </w:tabs>
        <w:ind w:left="840" w:hanging="420"/>
      </w:pPr>
      <w:rPr>
        <w:rFonts w:hint="default" w:ascii="Wingdings" w:hAnsi="Wingdings"/>
      </w:rPr>
    </w:lvl>
  </w:abstractNum>
  <w:abstractNum w:abstractNumId="5">
    <w:nsid w:val="0568BED3"/>
    <w:multiLevelType w:val="singleLevel"/>
    <w:tmpl w:val="0568BED3"/>
    <w:lvl w:ilvl="0" w:tentative="0">
      <w:start w:val="1"/>
      <w:numFmt w:val="chineseCounting"/>
      <w:suff w:val="nothing"/>
      <w:lvlText w:val="%1、"/>
      <w:lvlJc w:val="left"/>
      <w:rPr>
        <w:rFonts w:hint="eastAsia"/>
      </w:rPr>
    </w:lvl>
  </w:abstractNum>
  <w:abstractNum w:abstractNumId="6">
    <w:nsid w:val="11EEF272"/>
    <w:multiLevelType w:val="singleLevel"/>
    <w:tmpl w:val="11EEF272"/>
    <w:lvl w:ilvl="0" w:tentative="0">
      <w:start w:val="1"/>
      <w:numFmt w:val="bullet"/>
      <w:lvlText w:val=""/>
      <w:lvlJc w:val="left"/>
      <w:pPr>
        <w:ind w:left="420" w:hanging="420"/>
      </w:pPr>
      <w:rPr>
        <w:rFonts w:hint="default" w:ascii="Wingdings" w:hAnsi="Wingdings"/>
      </w:rPr>
    </w:lvl>
  </w:abstractNum>
  <w:abstractNum w:abstractNumId="7">
    <w:nsid w:val="190E0E85"/>
    <w:multiLevelType w:val="singleLevel"/>
    <w:tmpl w:val="190E0E85"/>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4"/>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F1E0B"/>
    <w:rsid w:val="000D3304"/>
    <w:rsid w:val="00144A07"/>
    <w:rsid w:val="001467B9"/>
    <w:rsid w:val="00153664"/>
    <w:rsid w:val="00156A97"/>
    <w:rsid w:val="001D7D0A"/>
    <w:rsid w:val="00353975"/>
    <w:rsid w:val="00363216"/>
    <w:rsid w:val="00373A84"/>
    <w:rsid w:val="00382B51"/>
    <w:rsid w:val="00382D9A"/>
    <w:rsid w:val="00404B50"/>
    <w:rsid w:val="00415DCD"/>
    <w:rsid w:val="00450CD0"/>
    <w:rsid w:val="004553E1"/>
    <w:rsid w:val="004602A0"/>
    <w:rsid w:val="004868C3"/>
    <w:rsid w:val="004C0647"/>
    <w:rsid w:val="004F55DC"/>
    <w:rsid w:val="006328BF"/>
    <w:rsid w:val="006961E1"/>
    <w:rsid w:val="006A7C6C"/>
    <w:rsid w:val="00754604"/>
    <w:rsid w:val="007A548C"/>
    <w:rsid w:val="007C65D5"/>
    <w:rsid w:val="007F2D55"/>
    <w:rsid w:val="00805984"/>
    <w:rsid w:val="00847E23"/>
    <w:rsid w:val="008704BF"/>
    <w:rsid w:val="00876ECF"/>
    <w:rsid w:val="00882886"/>
    <w:rsid w:val="0089605A"/>
    <w:rsid w:val="008C1715"/>
    <w:rsid w:val="00900D2E"/>
    <w:rsid w:val="0092338F"/>
    <w:rsid w:val="0098477F"/>
    <w:rsid w:val="009A0DA1"/>
    <w:rsid w:val="009B1B9A"/>
    <w:rsid w:val="00A212B8"/>
    <w:rsid w:val="00AE0534"/>
    <w:rsid w:val="00AF421E"/>
    <w:rsid w:val="00B62936"/>
    <w:rsid w:val="00BA0BFB"/>
    <w:rsid w:val="00BB2627"/>
    <w:rsid w:val="00BE1FAF"/>
    <w:rsid w:val="00BE2266"/>
    <w:rsid w:val="00BF394B"/>
    <w:rsid w:val="00C13037"/>
    <w:rsid w:val="00C137E0"/>
    <w:rsid w:val="00C4443A"/>
    <w:rsid w:val="00C67043"/>
    <w:rsid w:val="00CA12B7"/>
    <w:rsid w:val="00CE4CD4"/>
    <w:rsid w:val="00E301A4"/>
    <w:rsid w:val="00EE138D"/>
    <w:rsid w:val="00EF76F1"/>
    <w:rsid w:val="00F07CF5"/>
    <w:rsid w:val="00F10B4C"/>
    <w:rsid w:val="00F6111C"/>
    <w:rsid w:val="025C46A1"/>
    <w:rsid w:val="02845B74"/>
    <w:rsid w:val="029D518A"/>
    <w:rsid w:val="05B41169"/>
    <w:rsid w:val="06644673"/>
    <w:rsid w:val="069D6E76"/>
    <w:rsid w:val="0720267C"/>
    <w:rsid w:val="076639EE"/>
    <w:rsid w:val="08510EF1"/>
    <w:rsid w:val="08945D1A"/>
    <w:rsid w:val="08DF64FD"/>
    <w:rsid w:val="0A36214C"/>
    <w:rsid w:val="0B4F1BDF"/>
    <w:rsid w:val="0BFE5245"/>
    <w:rsid w:val="0C211521"/>
    <w:rsid w:val="0E095605"/>
    <w:rsid w:val="0E176739"/>
    <w:rsid w:val="0E1E3623"/>
    <w:rsid w:val="0EC97FFC"/>
    <w:rsid w:val="0F2729AB"/>
    <w:rsid w:val="0F2B4B13"/>
    <w:rsid w:val="10F977A2"/>
    <w:rsid w:val="117E7A18"/>
    <w:rsid w:val="11E95D4A"/>
    <w:rsid w:val="12380A2C"/>
    <w:rsid w:val="124F633D"/>
    <w:rsid w:val="128E689D"/>
    <w:rsid w:val="129C6B7B"/>
    <w:rsid w:val="14213FC1"/>
    <w:rsid w:val="150D2643"/>
    <w:rsid w:val="154D3AAF"/>
    <w:rsid w:val="16E43EB7"/>
    <w:rsid w:val="18A14B05"/>
    <w:rsid w:val="191B4526"/>
    <w:rsid w:val="19436634"/>
    <w:rsid w:val="194B4765"/>
    <w:rsid w:val="199B1FCC"/>
    <w:rsid w:val="1A6652A5"/>
    <w:rsid w:val="1B536DF4"/>
    <w:rsid w:val="1BBD091F"/>
    <w:rsid w:val="1C5701DD"/>
    <w:rsid w:val="1C6F1E0B"/>
    <w:rsid w:val="1D104A7F"/>
    <w:rsid w:val="1D5F1562"/>
    <w:rsid w:val="1DA8307C"/>
    <w:rsid w:val="1DE202CC"/>
    <w:rsid w:val="1E805C34"/>
    <w:rsid w:val="204016EB"/>
    <w:rsid w:val="231F24D6"/>
    <w:rsid w:val="240B5FA0"/>
    <w:rsid w:val="24997A50"/>
    <w:rsid w:val="26CC445D"/>
    <w:rsid w:val="26FA24BA"/>
    <w:rsid w:val="27C272BD"/>
    <w:rsid w:val="27EE1E60"/>
    <w:rsid w:val="28096C9A"/>
    <w:rsid w:val="28B02A34"/>
    <w:rsid w:val="298E38FB"/>
    <w:rsid w:val="29B663DD"/>
    <w:rsid w:val="2A8145E8"/>
    <w:rsid w:val="2A930A9D"/>
    <w:rsid w:val="2B440428"/>
    <w:rsid w:val="2BBD57E2"/>
    <w:rsid w:val="2BDD18E8"/>
    <w:rsid w:val="2C664215"/>
    <w:rsid w:val="2C8D1C48"/>
    <w:rsid w:val="2C9F3729"/>
    <w:rsid w:val="2CAC3DA2"/>
    <w:rsid w:val="2CE11F94"/>
    <w:rsid w:val="2DC9254F"/>
    <w:rsid w:val="2F2A14AA"/>
    <w:rsid w:val="3103599E"/>
    <w:rsid w:val="3163741B"/>
    <w:rsid w:val="320C1861"/>
    <w:rsid w:val="325E7289"/>
    <w:rsid w:val="346516FC"/>
    <w:rsid w:val="3476575D"/>
    <w:rsid w:val="347F27BE"/>
    <w:rsid w:val="35AA7D11"/>
    <w:rsid w:val="35BB36A9"/>
    <w:rsid w:val="379B5810"/>
    <w:rsid w:val="37F60FE9"/>
    <w:rsid w:val="39102F84"/>
    <w:rsid w:val="3A4B4170"/>
    <w:rsid w:val="3AD145B4"/>
    <w:rsid w:val="3B0361BB"/>
    <w:rsid w:val="3BA935D7"/>
    <w:rsid w:val="3C6D2F0B"/>
    <w:rsid w:val="3E764706"/>
    <w:rsid w:val="3FC9475C"/>
    <w:rsid w:val="3FF077F6"/>
    <w:rsid w:val="40FC63F3"/>
    <w:rsid w:val="418C651A"/>
    <w:rsid w:val="43FA74ED"/>
    <w:rsid w:val="440C3F4D"/>
    <w:rsid w:val="444E4E60"/>
    <w:rsid w:val="44C63AF1"/>
    <w:rsid w:val="466B5ACC"/>
    <w:rsid w:val="478005D2"/>
    <w:rsid w:val="47D23D51"/>
    <w:rsid w:val="4860425D"/>
    <w:rsid w:val="49576D38"/>
    <w:rsid w:val="4A45195C"/>
    <w:rsid w:val="4B3865D5"/>
    <w:rsid w:val="4B3A6403"/>
    <w:rsid w:val="4B5C78EB"/>
    <w:rsid w:val="4C6053BE"/>
    <w:rsid w:val="4CE91A37"/>
    <w:rsid w:val="4D2C0BB1"/>
    <w:rsid w:val="4D656A59"/>
    <w:rsid w:val="4E0336C0"/>
    <w:rsid w:val="4FD63FCB"/>
    <w:rsid w:val="50337988"/>
    <w:rsid w:val="506371C3"/>
    <w:rsid w:val="51E6045F"/>
    <w:rsid w:val="51EC25AC"/>
    <w:rsid w:val="521A58B8"/>
    <w:rsid w:val="52435461"/>
    <w:rsid w:val="52A357F3"/>
    <w:rsid w:val="52F320BC"/>
    <w:rsid w:val="54877ACD"/>
    <w:rsid w:val="55A25EB5"/>
    <w:rsid w:val="56CE500E"/>
    <w:rsid w:val="56E36B2B"/>
    <w:rsid w:val="56F031A2"/>
    <w:rsid w:val="58195FAD"/>
    <w:rsid w:val="5886386C"/>
    <w:rsid w:val="59833005"/>
    <w:rsid w:val="5A3C3A3D"/>
    <w:rsid w:val="5A951D74"/>
    <w:rsid w:val="5B675127"/>
    <w:rsid w:val="5C563555"/>
    <w:rsid w:val="5CA1303D"/>
    <w:rsid w:val="5D4146ED"/>
    <w:rsid w:val="5E5B30A5"/>
    <w:rsid w:val="5F1D6D87"/>
    <w:rsid w:val="5F2E6A0B"/>
    <w:rsid w:val="5F506981"/>
    <w:rsid w:val="5F5A335C"/>
    <w:rsid w:val="61314591"/>
    <w:rsid w:val="61606355"/>
    <w:rsid w:val="61C564E0"/>
    <w:rsid w:val="61D03DA9"/>
    <w:rsid w:val="620B5E32"/>
    <w:rsid w:val="63474443"/>
    <w:rsid w:val="637C2510"/>
    <w:rsid w:val="64F97173"/>
    <w:rsid w:val="65302769"/>
    <w:rsid w:val="66617209"/>
    <w:rsid w:val="67524C5F"/>
    <w:rsid w:val="67A1421E"/>
    <w:rsid w:val="68F760C0"/>
    <w:rsid w:val="68FA675A"/>
    <w:rsid w:val="69676DA1"/>
    <w:rsid w:val="69CB190F"/>
    <w:rsid w:val="6A2133F4"/>
    <w:rsid w:val="6A8F5D82"/>
    <w:rsid w:val="6CB5251A"/>
    <w:rsid w:val="6D374F86"/>
    <w:rsid w:val="6E4869FF"/>
    <w:rsid w:val="708B3C5F"/>
    <w:rsid w:val="71BA2C09"/>
    <w:rsid w:val="71BC663C"/>
    <w:rsid w:val="724A3A06"/>
    <w:rsid w:val="728A125C"/>
    <w:rsid w:val="73781BAB"/>
    <w:rsid w:val="748443A7"/>
    <w:rsid w:val="75803660"/>
    <w:rsid w:val="760D3EE7"/>
    <w:rsid w:val="770E2F52"/>
    <w:rsid w:val="783F7BD2"/>
    <w:rsid w:val="78A7138E"/>
    <w:rsid w:val="792627D5"/>
    <w:rsid w:val="7967201E"/>
    <w:rsid w:val="7A1E16FE"/>
    <w:rsid w:val="7AF7025D"/>
    <w:rsid w:val="7C413482"/>
    <w:rsid w:val="7CF66B9E"/>
    <w:rsid w:val="7DDA593C"/>
    <w:rsid w:val="7DDE1191"/>
    <w:rsid w:val="7E2D63B4"/>
    <w:rsid w:val="7F1E226E"/>
    <w:rsid w:val="7F7B72FB"/>
    <w:rsid w:val="7F8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0"/>
    <w:pPr>
      <w:jc w:val="left"/>
    </w:pPr>
  </w:style>
  <w:style w:type="paragraph" w:styleId="7">
    <w:name w:val="Body Text"/>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Normal (Web)"/>
    <w:basedOn w:val="1"/>
    <w:qFormat/>
    <w:uiPriority w:val="0"/>
    <w:pPr>
      <w:spacing w:beforeAutospacing="1" w:afterAutospacing="1"/>
      <w:jc w:val="left"/>
    </w:pPr>
    <w:rPr>
      <w:kern w:val="0"/>
    </w:rPr>
  </w:style>
  <w:style w:type="paragraph" w:styleId="12">
    <w:name w:val="Title"/>
    <w:qFormat/>
    <w:uiPriority w:val="0"/>
    <w:pPr>
      <w:widowControl w:val="0"/>
      <w:adjustRightInd w:val="0"/>
      <w:spacing w:before="100" w:after="100"/>
      <w:jc w:val="center"/>
    </w:pPr>
    <w:rPr>
      <w:rFonts w:ascii="Times New Roman" w:hAnsi="Times New Roman" w:eastAsia="黑体" w:cs="Times New Roman"/>
      <w:b/>
      <w:kern w:val="2"/>
      <w:sz w:val="44"/>
      <w:szCs w:val="24"/>
      <w:lang w:val="en-US" w:eastAsia="zh-CN" w:bidi="ar-SA"/>
    </w:rPr>
  </w:style>
  <w:style w:type="paragraph" w:styleId="13">
    <w:name w:val="annotation subject"/>
    <w:basedOn w:val="6"/>
    <w:next w:val="6"/>
    <w:link w:val="23"/>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font11"/>
    <w:basedOn w:val="16"/>
    <w:qFormat/>
    <w:uiPriority w:val="0"/>
    <w:rPr>
      <w:rFonts w:hint="eastAsia" w:ascii="宋体" w:hAnsi="宋体" w:eastAsia="宋体" w:cs="宋体"/>
      <w:color w:val="000000"/>
      <w:sz w:val="15"/>
      <w:szCs w:val="15"/>
      <w:u w:val="none"/>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 w:type="paragraph" w:styleId="21">
    <w:name w:val="List Paragraph"/>
    <w:basedOn w:val="1"/>
    <w:qFormat/>
    <w:uiPriority w:val="99"/>
    <w:pPr>
      <w:ind w:firstLine="420" w:firstLineChars="200"/>
    </w:pPr>
  </w:style>
  <w:style w:type="character" w:customStyle="1" w:styleId="22">
    <w:name w:val="批注文字 字符"/>
    <w:basedOn w:val="16"/>
    <w:link w:val="6"/>
    <w:qFormat/>
    <w:uiPriority w:val="0"/>
    <w:rPr>
      <w:kern w:val="2"/>
      <w:sz w:val="24"/>
      <w:szCs w:val="24"/>
    </w:rPr>
  </w:style>
  <w:style w:type="character" w:customStyle="1" w:styleId="23">
    <w:name w:val="批注主题 字符"/>
    <w:basedOn w:val="22"/>
    <w:link w:val="13"/>
    <w:qFormat/>
    <w:uiPriority w:val="0"/>
    <w:rPr>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1457</Words>
  <Characters>1594</Characters>
  <Lines>35</Lines>
  <Paragraphs>10</Paragraphs>
  <TotalTime>4</TotalTime>
  <ScaleCrop>false</ScaleCrop>
  <LinksUpToDate>false</LinksUpToDate>
  <CharactersWithSpaces>1598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2025-07-14T06:22:00Z</dcterms:created>
  <dc:creator>YQ</dc:creator>
  <cp:lastModifiedBy>慕枫</cp:lastModifiedBy>
  <dcterms:modified xsi:type="dcterms:W3CDTF">2025-07-15T09:40:52Z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094C302D258743469D0FC140F386CC1E_13</vt:lpwstr>
  </property>
  <property fmtid="{D5CDD505-2E9C-101B-9397-08002B2CF9AE}" pid="4" name="KSOTemplateDocerSaveRecord">
    <vt:lpwstr>eyJoZGlkIjoiZjAzOTQ0Y2I2OGU5ODBiY2Y1Mjk4OWZhMjhhNjI2ZjYiLCJ1c2VySWQiOiI2NDAwODIzNjAifQ==</vt:lpwstr>
  </property>
</Properties>
</file>