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ED317">
      <w:pPr>
        <w:keepNext w:val="0"/>
        <w:keepLines w:val="0"/>
        <w:pageBreakBefore w:val="0"/>
        <w:widowControl/>
        <w:tabs>
          <w:tab w:val="left" w:pos="1980"/>
        </w:tabs>
        <w:kinsoku/>
        <w:wordWrap/>
        <w:overflowPunct/>
        <w:topLinePunct w:val="0"/>
        <w:autoSpaceDE w:val="0"/>
        <w:autoSpaceDN w:val="0"/>
        <w:bidi w:val="0"/>
        <w:adjustRightInd w:val="0"/>
        <w:snapToGrid w:val="0"/>
        <w:spacing w:line="560" w:lineRule="exact"/>
        <w:jc w:val="center"/>
        <w:textAlignment w:val="auto"/>
        <w:rPr>
          <w:rFonts w:hint="eastAsia" w:ascii="文鼎CS大宋" w:hAnsi="文鼎CS大宋" w:eastAsia="文鼎CS大宋" w:cs="文鼎CS大宋"/>
          <w:b/>
          <w:bCs/>
          <w:color w:val="000000"/>
          <w:sz w:val="44"/>
          <w:szCs w:val="44"/>
          <w:lang w:val="en-US" w:eastAsia="zh-CN"/>
        </w:rPr>
      </w:pPr>
      <w:r>
        <w:rPr>
          <w:rFonts w:hint="eastAsia" w:ascii="文鼎CS大宋" w:hAnsi="文鼎CS大宋" w:eastAsia="文鼎CS大宋" w:cs="文鼎CS大宋"/>
          <w:b/>
          <w:bCs/>
          <w:color w:val="000000"/>
          <w:sz w:val="44"/>
          <w:szCs w:val="44"/>
          <w:lang w:val="en-US" w:eastAsia="zh-CN"/>
        </w:rPr>
        <w:t>吐鲁番市无线电管理中心</w:t>
      </w:r>
    </w:p>
    <w:p w14:paraId="630C1685">
      <w:pPr>
        <w:keepNext w:val="0"/>
        <w:keepLines w:val="0"/>
        <w:pageBreakBefore w:val="0"/>
        <w:widowControl/>
        <w:tabs>
          <w:tab w:val="left" w:pos="1980"/>
        </w:tabs>
        <w:kinsoku/>
        <w:wordWrap/>
        <w:overflowPunct/>
        <w:topLinePunct w:val="0"/>
        <w:autoSpaceDE w:val="0"/>
        <w:autoSpaceDN w:val="0"/>
        <w:bidi w:val="0"/>
        <w:adjustRightInd w:val="0"/>
        <w:snapToGrid w:val="0"/>
        <w:spacing w:line="560" w:lineRule="exact"/>
        <w:jc w:val="center"/>
        <w:textAlignment w:val="auto"/>
        <w:rPr>
          <w:rFonts w:hint="eastAsia" w:ascii="文鼎CS大宋" w:hAnsi="文鼎CS大宋" w:eastAsia="文鼎CS大宋" w:cs="文鼎CS大宋"/>
          <w:b/>
          <w:bCs/>
          <w:color w:val="000000"/>
          <w:sz w:val="44"/>
          <w:szCs w:val="44"/>
          <w:lang w:val="en-US" w:eastAsia="zh-CN"/>
        </w:rPr>
      </w:pPr>
      <w:r>
        <w:rPr>
          <w:rFonts w:hint="eastAsia" w:ascii="文鼎CS大宋" w:hAnsi="文鼎CS大宋" w:eastAsia="文鼎CS大宋" w:cs="文鼎CS大宋"/>
          <w:b/>
          <w:bCs/>
          <w:color w:val="000000"/>
          <w:sz w:val="44"/>
          <w:szCs w:val="44"/>
          <w:lang w:val="en-US" w:eastAsia="zh-CN"/>
        </w:rPr>
        <w:t>数据专线链路租赁项目</w:t>
      </w:r>
    </w:p>
    <w:p w14:paraId="23139A6E">
      <w:pPr>
        <w:jc w:val="both"/>
        <w:rPr>
          <w:rFonts w:hint="eastAsia" w:ascii="方正小标宋简体" w:hAnsi="方正小标宋简体" w:eastAsia="方正小标宋简体" w:cs="方正小标宋简体"/>
          <w:sz w:val="36"/>
          <w:szCs w:val="36"/>
          <w:lang w:eastAsia="zh-CN"/>
        </w:rPr>
      </w:pPr>
    </w:p>
    <w:p w14:paraId="4C58A552">
      <w:pPr>
        <w:keepNext w:val="0"/>
        <w:keepLines w:val="0"/>
        <w:pageBreakBefore w:val="0"/>
        <w:widowControl/>
        <w:tabs>
          <w:tab w:val="left" w:pos="1980"/>
        </w:tabs>
        <w:kinsoku/>
        <w:wordWrap/>
        <w:overflowPunct/>
        <w:topLinePunct w:val="0"/>
        <w:autoSpaceDE w:val="0"/>
        <w:autoSpaceDN w:val="0"/>
        <w:bidi w:val="0"/>
        <w:adjustRightInd w:val="0"/>
        <w:snapToGrid w:val="0"/>
        <w:spacing w:line="56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w:t>
      </w:r>
      <w:r>
        <w:rPr>
          <w:rFonts w:hint="default" w:ascii="仿宋_GB2312" w:hAnsi="仿宋_GB2312" w:eastAsia="仿宋_GB2312" w:cs="仿宋_GB2312"/>
          <w:b/>
          <w:bCs/>
          <w:color w:val="000000"/>
          <w:sz w:val="32"/>
          <w:szCs w:val="32"/>
          <w:lang w:val="en-US" w:eastAsia="zh-CN"/>
        </w:rPr>
        <w:t>、项目预算</w:t>
      </w:r>
    </w:p>
    <w:p w14:paraId="1E32FB8D">
      <w:pPr>
        <w:keepNext w:val="0"/>
        <w:keepLines w:val="0"/>
        <w:pageBreakBefore w:val="0"/>
        <w:widowControl/>
        <w:tabs>
          <w:tab w:val="left" w:pos="198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按年计费，包含所有接入设备、链路、施工、调试及服务费、售后等所有服务。</w:t>
      </w:r>
    </w:p>
    <w:p w14:paraId="51886A54">
      <w:pPr>
        <w:keepNext w:val="0"/>
        <w:keepLines w:val="0"/>
        <w:pageBreakBefore w:val="0"/>
        <w:widowControl/>
        <w:tabs>
          <w:tab w:val="left" w:pos="1980"/>
        </w:tabs>
        <w:kinsoku/>
        <w:wordWrap/>
        <w:overflowPunct/>
        <w:topLinePunct w:val="0"/>
        <w:autoSpaceDE w:val="0"/>
        <w:autoSpaceDN w:val="0"/>
        <w:bidi w:val="0"/>
        <w:adjustRightInd w:val="0"/>
        <w:snapToGrid w:val="0"/>
        <w:spacing w:line="56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w:t>
      </w:r>
      <w:r>
        <w:rPr>
          <w:rFonts w:hint="default" w:ascii="仿宋_GB2312" w:hAnsi="仿宋_GB2312" w:eastAsia="仿宋_GB2312" w:cs="仿宋_GB2312"/>
          <w:b/>
          <w:bCs/>
          <w:color w:val="000000"/>
          <w:sz w:val="32"/>
          <w:szCs w:val="32"/>
          <w:lang w:val="en-US" w:eastAsia="zh-CN"/>
        </w:rPr>
        <w:t>项目内容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45"/>
        <w:gridCol w:w="2374"/>
        <w:gridCol w:w="1600"/>
        <w:gridCol w:w="1587"/>
      </w:tblGrid>
      <w:tr w14:paraId="50E5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16" w:type="dxa"/>
            <w:vAlign w:val="center"/>
          </w:tcPr>
          <w:p w14:paraId="373A197B">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序号</w:t>
            </w:r>
          </w:p>
        </w:tc>
        <w:tc>
          <w:tcPr>
            <w:tcW w:w="2145" w:type="dxa"/>
            <w:vAlign w:val="center"/>
          </w:tcPr>
          <w:p w14:paraId="50EA5076">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数据专线起点</w:t>
            </w:r>
          </w:p>
        </w:tc>
        <w:tc>
          <w:tcPr>
            <w:tcW w:w="2374" w:type="dxa"/>
            <w:vAlign w:val="center"/>
          </w:tcPr>
          <w:p w14:paraId="5D934322">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数据专线终点</w:t>
            </w:r>
          </w:p>
        </w:tc>
        <w:tc>
          <w:tcPr>
            <w:tcW w:w="1600" w:type="dxa"/>
            <w:vAlign w:val="center"/>
          </w:tcPr>
          <w:p w14:paraId="79E9A3D9">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带宽</w:t>
            </w:r>
            <w:r>
              <w:rPr>
                <w:rFonts w:hint="eastAsia" w:ascii="仿宋_GB2312" w:hAnsi="仿宋_GB2312" w:eastAsia="仿宋_GB2312" w:cs="仿宋_GB2312"/>
                <w:b/>
                <w:bCs/>
                <w:sz w:val="24"/>
                <w:szCs w:val="24"/>
              </w:rPr>
              <w:t>（M</w:t>
            </w:r>
            <w:r>
              <w:rPr>
                <w:rFonts w:hint="eastAsia" w:ascii="仿宋_GB2312" w:hAnsi="仿宋_GB2312" w:eastAsia="仿宋_GB2312" w:cs="仿宋_GB2312"/>
                <w:b/>
                <w:bCs/>
                <w:sz w:val="24"/>
                <w:szCs w:val="24"/>
                <w:lang w:val="en-US" w:eastAsia="zh-CN"/>
              </w:rPr>
              <w:t>bps</w:t>
            </w:r>
            <w:r>
              <w:rPr>
                <w:rFonts w:hint="eastAsia" w:ascii="仿宋_GB2312" w:hAnsi="仿宋_GB2312" w:eastAsia="仿宋_GB2312" w:cs="仿宋_GB2312"/>
                <w:b/>
                <w:bCs/>
                <w:sz w:val="24"/>
                <w:szCs w:val="24"/>
              </w:rPr>
              <w:t>）</w:t>
            </w:r>
          </w:p>
        </w:tc>
        <w:tc>
          <w:tcPr>
            <w:tcW w:w="1587" w:type="dxa"/>
            <w:vAlign w:val="center"/>
          </w:tcPr>
          <w:p w14:paraId="03F8F8E6">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服务期限</w:t>
            </w:r>
          </w:p>
        </w:tc>
      </w:tr>
      <w:tr w14:paraId="0BBA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16" w:type="dxa"/>
            <w:vAlign w:val="center"/>
          </w:tcPr>
          <w:p w14:paraId="4A4646C0">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1</w:t>
            </w:r>
          </w:p>
        </w:tc>
        <w:tc>
          <w:tcPr>
            <w:tcW w:w="2145" w:type="dxa"/>
            <w:vAlign w:val="center"/>
          </w:tcPr>
          <w:p w14:paraId="53997800">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吐鲁番交河机场三类固定监测站</w:t>
            </w:r>
          </w:p>
        </w:tc>
        <w:tc>
          <w:tcPr>
            <w:tcW w:w="2374" w:type="dxa"/>
            <w:vAlign w:val="center"/>
          </w:tcPr>
          <w:p w14:paraId="69E5A9D2">
            <w:pPr>
              <w:jc w:val="center"/>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吐鲁番市无线电管理中心5楼机房（吐鲁番市高昌区西环北路2816号）</w:t>
            </w:r>
          </w:p>
        </w:tc>
        <w:tc>
          <w:tcPr>
            <w:tcW w:w="1600" w:type="dxa"/>
            <w:vAlign w:val="center"/>
          </w:tcPr>
          <w:p w14:paraId="709E162A">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不小于20</w:t>
            </w:r>
          </w:p>
        </w:tc>
        <w:tc>
          <w:tcPr>
            <w:tcW w:w="1587" w:type="dxa"/>
            <w:vAlign w:val="center"/>
          </w:tcPr>
          <w:p w14:paraId="46A4129F">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1年</w:t>
            </w:r>
          </w:p>
        </w:tc>
      </w:tr>
      <w:tr w14:paraId="7963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820CAE9">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2</w:t>
            </w:r>
          </w:p>
        </w:tc>
        <w:tc>
          <w:tcPr>
            <w:tcW w:w="2145" w:type="dxa"/>
            <w:vAlign w:val="center"/>
          </w:tcPr>
          <w:p w14:paraId="0EBA03C9">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沙河小区固定监测站</w:t>
            </w:r>
          </w:p>
        </w:tc>
        <w:tc>
          <w:tcPr>
            <w:tcW w:w="2374" w:type="dxa"/>
            <w:vAlign w:val="center"/>
          </w:tcPr>
          <w:p w14:paraId="49A2F7A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吐鲁番市无线电管理中心5楼机房（吐鲁番市高昌区西环北路2816号）</w:t>
            </w:r>
          </w:p>
        </w:tc>
        <w:tc>
          <w:tcPr>
            <w:tcW w:w="1600" w:type="dxa"/>
            <w:vAlign w:val="center"/>
          </w:tcPr>
          <w:p w14:paraId="0F8B6E74">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不小于20</w:t>
            </w:r>
          </w:p>
        </w:tc>
        <w:tc>
          <w:tcPr>
            <w:tcW w:w="1587" w:type="dxa"/>
            <w:vAlign w:val="center"/>
          </w:tcPr>
          <w:p w14:paraId="7732E960">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1年</w:t>
            </w:r>
          </w:p>
        </w:tc>
      </w:tr>
      <w:tr w14:paraId="3579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6F2954C">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3</w:t>
            </w:r>
          </w:p>
        </w:tc>
        <w:tc>
          <w:tcPr>
            <w:tcW w:w="2145" w:type="dxa"/>
            <w:vAlign w:val="center"/>
          </w:tcPr>
          <w:p w14:paraId="12270E91">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鄯善县中和商厦固定监测站</w:t>
            </w:r>
          </w:p>
        </w:tc>
        <w:tc>
          <w:tcPr>
            <w:tcW w:w="2374" w:type="dxa"/>
            <w:vAlign w:val="center"/>
          </w:tcPr>
          <w:p w14:paraId="70A3BA4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吐鲁番市无线电管理中心5楼机房（吐鲁番市高昌区西环北路2816号）</w:t>
            </w:r>
          </w:p>
        </w:tc>
        <w:tc>
          <w:tcPr>
            <w:tcW w:w="1600" w:type="dxa"/>
            <w:vAlign w:val="center"/>
          </w:tcPr>
          <w:p w14:paraId="6E2EBD06">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不小于20</w:t>
            </w:r>
          </w:p>
        </w:tc>
        <w:tc>
          <w:tcPr>
            <w:tcW w:w="1587" w:type="dxa"/>
            <w:vAlign w:val="center"/>
          </w:tcPr>
          <w:p w14:paraId="13592C61">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1年</w:t>
            </w:r>
          </w:p>
        </w:tc>
      </w:tr>
      <w:tr w14:paraId="0E38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AAF0BD8">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4</w:t>
            </w:r>
          </w:p>
        </w:tc>
        <w:tc>
          <w:tcPr>
            <w:tcW w:w="2145" w:type="dxa"/>
            <w:vAlign w:val="center"/>
          </w:tcPr>
          <w:p w14:paraId="46AE8AF5">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鄯善县鲁克沁镇固定监测站</w:t>
            </w:r>
          </w:p>
        </w:tc>
        <w:tc>
          <w:tcPr>
            <w:tcW w:w="2374" w:type="dxa"/>
            <w:vAlign w:val="center"/>
          </w:tcPr>
          <w:p w14:paraId="037578FB">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吐鲁番市无线电管理中心5楼机房（吐鲁番市高昌区西环北路2816号）</w:t>
            </w:r>
          </w:p>
        </w:tc>
        <w:tc>
          <w:tcPr>
            <w:tcW w:w="1600" w:type="dxa"/>
            <w:vAlign w:val="center"/>
          </w:tcPr>
          <w:p w14:paraId="513D5F40">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不小于20</w:t>
            </w:r>
          </w:p>
        </w:tc>
        <w:tc>
          <w:tcPr>
            <w:tcW w:w="1587" w:type="dxa"/>
            <w:vAlign w:val="center"/>
          </w:tcPr>
          <w:p w14:paraId="2B841E23">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1年</w:t>
            </w:r>
          </w:p>
        </w:tc>
      </w:tr>
      <w:tr w14:paraId="5E54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9283865">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5</w:t>
            </w:r>
          </w:p>
        </w:tc>
        <w:tc>
          <w:tcPr>
            <w:tcW w:w="2145" w:type="dxa"/>
            <w:vAlign w:val="center"/>
          </w:tcPr>
          <w:p w14:paraId="5DF9BCDB">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鄯善县火车站镇固定监测站</w:t>
            </w:r>
          </w:p>
        </w:tc>
        <w:tc>
          <w:tcPr>
            <w:tcW w:w="2374" w:type="dxa"/>
            <w:vAlign w:val="center"/>
          </w:tcPr>
          <w:p w14:paraId="4741FB3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吐鲁番市无线电管理中心5楼机房（吐鲁番市高昌区西环北路2816号）</w:t>
            </w:r>
          </w:p>
        </w:tc>
        <w:tc>
          <w:tcPr>
            <w:tcW w:w="1600" w:type="dxa"/>
            <w:vAlign w:val="center"/>
          </w:tcPr>
          <w:p w14:paraId="79D9A962">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不小于20</w:t>
            </w:r>
          </w:p>
        </w:tc>
        <w:tc>
          <w:tcPr>
            <w:tcW w:w="1587" w:type="dxa"/>
            <w:vAlign w:val="center"/>
          </w:tcPr>
          <w:p w14:paraId="2F93DB77">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1年</w:t>
            </w:r>
          </w:p>
        </w:tc>
      </w:tr>
      <w:tr w14:paraId="03BB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8CE3155">
            <w:pPr>
              <w:numPr>
                <w:ilvl w:val="0"/>
                <w:numId w:val="0"/>
              </w:numPr>
              <w:jc w:val="center"/>
              <w:rPr>
                <w:rFonts w:hint="eastAsia"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6</w:t>
            </w:r>
          </w:p>
        </w:tc>
        <w:tc>
          <w:tcPr>
            <w:tcW w:w="2145" w:type="dxa"/>
            <w:vAlign w:val="center"/>
          </w:tcPr>
          <w:p w14:paraId="63988157">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托克逊县电信公司固定监测站</w:t>
            </w:r>
          </w:p>
        </w:tc>
        <w:tc>
          <w:tcPr>
            <w:tcW w:w="2374" w:type="dxa"/>
            <w:vAlign w:val="center"/>
          </w:tcPr>
          <w:p w14:paraId="64D45B6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吐鲁番市无线电管理中心5楼机房（吐鲁番市高昌区西环北路2816号）</w:t>
            </w:r>
          </w:p>
        </w:tc>
        <w:tc>
          <w:tcPr>
            <w:tcW w:w="1600" w:type="dxa"/>
            <w:vAlign w:val="center"/>
          </w:tcPr>
          <w:p w14:paraId="4C1F0882">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不小于20</w:t>
            </w:r>
          </w:p>
        </w:tc>
        <w:tc>
          <w:tcPr>
            <w:tcW w:w="1587" w:type="dxa"/>
            <w:vAlign w:val="center"/>
          </w:tcPr>
          <w:p w14:paraId="6B46F6A7">
            <w:pPr>
              <w:numPr>
                <w:ilvl w:val="0"/>
                <w:numId w:val="0"/>
              </w:numPr>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1年</w:t>
            </w:r>
          </w:p>
        </w:tc>
      </w:tr>
      <w:tr w14:paraId="7413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BB071D8">
            <w:pPr>
              <w:numPr>
                <w:ilvl w:val="0"/>
                <w:numId w:val="0"/>
              </w:numPr>
              <w:jc w:val="center"/>
              <w:rPr>
                <w:rFonts w:hint="default"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7</w:t>
            </w:r>
          </w:p>
        </w:tc>
        <w:tc>
          <w:tcPr>
            <w:tcW w:w="2145" w:type="dxa"/>
            <w:shd w:val="clear"/>
            <w:vAlign w:val="center"/>
          </w:tcPr>
          <w:p w14:paraId="0ECDD164">
            <w:pPr>
              <w:numPr>
                <w:ilvl w:val="0"/>
                <w:numId w:val="0"/>
              </w:numPr>
              <w:ind w:left="0" w:leftChars="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lang w:val="en-US" w:eastAsia="zh-CN"/>
              </w:rPr>
              <w:t>电子政务外网专线链路租赁</w:t>
            </w:r>
          </w:p>
        </w:tc>
        <w:tc>
          <w:tcPr>
            <w:tcW w:w="2374" w:type="dxa"/>
            <w:shd w:val="clear"/>
            <w:vAlign w:val="center"/>
          </w:tcPr>
          <w:p w14:paraId="0ED44264">
            <w:pPr>
              <w:numPr>
                <w:ilvl w:val="0"/>
                <w:numId w:val="0"/>
              </w:numPr>
              <w:ind w:left="0" w:leftChars="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4"/>
                <w:szCs w:val="24"/>
                <w:lang w:val="en-US" w:eastAsia="zh-CN"/>
              </w:rPr>
              <w:t>吐鲁番市无线电管理中心5楼机房（吐鲁番市高昌区西环北路2816号）</w:t>
            </w:r>
          </w:p>
        </w:tc>
        <w:tc>
          <w:tcPr>
            <w:tcW w:w="1600" w:type="dxa"/>
            <w:shd w:val="clear"/>
            <w:vAlign w:val="center"/>
          </w:tcPr>
          <w:p w14:paraId="7F7D666C">
            <w:pPr>
              <w:numPr>
                <w:ilvl w:val="0"/>
                <w:numId w:val="0"/>
              </w:numPr>
              <w:ind w:left="0" w:leftChars="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不小于20</w:t>
            </w:r>
          </w:p>
        </w:tc>
        <w:tc>
          <w:tcPr>
            <w:tcW w:w="1587" w:type="dxa"/>
            <w:vAlign w:val="center"/>
          </w:tcPr>
          <w:p w14:paraId="53F1FC87">
            <w:pPr>
              <w:numPr>
                <w:ilvl w:val="0"/>
                <w:numId w:val="0"/>
              </w:numPr>
              <w:ind w:left="0" w:leftChars="0" w:firstLine="0" w:firstLineChars="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1年</w:t>
            </w:r>
          </w:p>
        </w:tc>
      </w:tr>
      <w:tr w14:paraId="2F14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C9CE888">
            <w:pPr>
              <w:numPr>
                <w:ilvl w:val="0"/>
                <w:numId w:val="0"/>
              </w:numPr>
              <w:jc w:val="center"/>
              <w:rPr>
                <w:rFonts w:hint="default"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8</w:t>
            </w:r>
          </w:p>
        </w:tc>
        <w:tc>
          <w:tcPr>
            <w:tcW w:w="2145" w:type="dxa"/>
            <w:shd w:val="clear"/>
            <w:vAlign w:val="center"/>
          </w:tcPr>
          <w:p w14:paraId="79F4A44C">
            <w:pPr>
              <w:numPr>
                <w:ilvl w:val="0"/>
                <w:numId w:val="0"/>
              </w:numPr>
              <w:ind w:left="0" w:leftChars="0"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综治视联网专线租赁</w:t>
            </w:r>
          </w:p>
        </w:tc>
        <w:tc>
          <w:tcPr>
            <w:tcW w:w="2374" w:type="dxa"/>
            <w:shd w:val="clear"/>
            <w:vAlign w:val="center"/>
          </w:tcPr>
          <w:p w14:paraId="2C970F1F">
            <w:pPr>
              <w:numPr>
                <w:ilvl w:val="0"/>
                <w:numId w:val="0"/>
              </w:numPr>
              <w:ind w:left="0" w:leftChars="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4"/>
                <w:szCs w:val="24"/>
                <w:lang w:val="en-US" w:eastAsia="zh-CN"/>
              </w:rPr>
              <w:t>吐鲁番市无线电管理中心5楼机房（吐鲁番市高昌区西环北路2816号）</w:t>
            </w:r>
          </w:p>
        </w:tc>
        <w:tc>
          <w:tcPr>
            <w:tcW w:w="1600" w:type="dxa"/>
            <w:shd w:val="clear"/>
            <w:vAlign w:val="center"/>
          </w:tcPr>
          <w:p w14:paraId="1D1BC225">
            <w:pPr>
              <w:numPr>
                <w:ilvl w:val="0"/>
                <w:numId w:val="0"/>
              </w:numPr>
              <w:ind w:left="0" w:leftChars="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不小于20</w:t>
            </w:r>
          </w:p>
        </w:tc>
        <w:tc>
          <w:tcPr>
            <w:tcW w:w="1587" w:type="dxa"/>
            <w:vAlign w:val="center"/>
          </w:tcPr>
          <w:p w14:paraId="7597B381">
            <w:pPr>
              <w:numPr>
                <w:ilvl w:val="0"/>
                <w:numId w:val="0"/>
              </w:numPr>
              <w:ind w:left="0" w:leftChars="0" w:firstLine="0" w:firstLineChars="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1年</w:t>
            </w:r>
          </w:p>
        </w:tc>
      </w:tr>
      <w:tr w14:paraId="02BE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4EDD147">
            <w:pPr>
              <w:numPr>
                <w:ilvl w:val="0"/>
                <w:numId w:val="0"/>
              </w:numPr>
              <w:jc w:val="center"/>
              <w:rPr>
                <w:rFonts w:hint="default"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9</w:t>
            </w:r>
          </w:p>
        </w:tc>
        <w:tc>
          <w:tcPr>
            <w:tcW w:w="2145" w:type="dxa"/>
            <w:shd w:val="clear"/>
            <w:vAlign w:val="center"/>
          </w:tcPr>
          <w:p w14:paraId="4C5DB662">
            <w:pPr>
              <w:numPr>
                <w:ilvl w:val="0"/>
                <w:numId w:val="0"/>
              </w:numPr>
              <w:ind w:left="0" w:leftChars="0"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视频监控系统专线租赁</w:t>
            </w:r>
          </w:p>
        </w:tc>
        <w:tc>
          <w:tcPr>
            <w:tcW w:w="2374" w:type="dxa"/>
            <w:shd w:val="clear"/>
            <w:vAlign w:val="center"/>
          </w:tcPr>
          <w:p w14:paraId="1B4780B7">
            <w:pPr>
              <w:numPr>
                <w:ilvl w:val="0"/>
                <w:numId w:val="0"/>
              </w:numPr>
              <w:ind w:left="0" w:leftChars="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4"/>
                <w:szCs w:val="24"/>
                <w:lang w:val="en-US" w:eastAsia="zh-CN"/>
              </w:rPr>
              <w:t>吐鲁番市无线电管理中心5楼机房（吐鲁番市高昌区西环北路2816号）</w:t>
            </w:r>
          </w:p>
        </w:tc>
        <w:tc>
          <w:tcPr>
            <w:tcW w:w="1600" w:type="dxa"/>
            <w:shd w:val="clear"/>
            <w:vAlign w:val="center"/>
          </w:tcPr>
          <w:p w14:paraId="6BBDA597">
            <w:pPr>
              <w:numPr>
                <w:ilvl w:val="0"/>
                <w:numId w:val="0"/>
              </w:numPr>
              <w:ind w:left="0" w:leftChars="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不小于20</w:t>
            </w:r>
          </w:p>
        </w:tc>
        <w:tc>
          <w:tcPr>
            <w:tcW w:w="1587" w:type="dxa"/>
            <w:vAlign w:val="center"/>
          </w:tcPr>
          <w:p w14:paraId="1ED6523C">
            <w:pPr>
              <w:numPr>
                <w:ilvl w:val="0"/>
                <w:numId w:val="0"/>
              </w:numPr>
              <w:ind w:left="0" w:leftChars="0" w:firstLine="0" w:firstLineChars="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1年</w:t>
            </w:r>
          </w:p>
        </w:tc>
      </w:tr>
      <w:tr w14:paraId="1738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FC9F308">
            <w:pPr>
              <w:numPr>
                <w:ilvl w:val="0"/>
                <w:numId w:val="0"/>
              </w:numPr>
              <w:jc w:val="center"/>
              <w:rPr>
                <w:rFonts w:hint="default" w:ascii="仿宋_GB2312" w:hAnsi="仿宋_GB2312" w:eastAsia="仿宋_GB2312" w:cs="仿宋_GB2312"/>
                <w:i w:val="0"/>
                <w:caps w:val="0"/>
                <w:color w:val="333333"/>
                <w:spacing w:val="0"/>
                <w:sz w:val="27"/>
                <w:szCs w:val="27"/>
                <w:shd w:val="clear" w:fill="FFFFFF"/>
                <w:vertAlign w:val="baseline"/>
                <w:lang w:val="en-US" w:eastAsia="zh-CN"/>
              </w:rPr>
            </w:pPr>
            <w:r>
              <w:rPr>
                <w:rFonts w:hint="eastAsia" w:ascii="仿宋_GB2312" w:hAnsi="仿宋_GB2312" w:eastAsia="仿宋_GB2312" w:cs="仿宋_GB2312"/>
                <w:i w:val="0"/>
                <w:caps w:val="0"/>
                <w:color w:val="333333"/>
                <w:spacing w:val="0"/>
                <w:sz w:val="27"/>
                <w:szCs w:val="27"/>
                <w:shd w:val="clear" w:fill="FFFFFF"/>
                <w:vertAlign w:val="baseline"/>
                <w:lang w:val="en-US" w:eastAsia="zh-CN"/>
              </w:rPr>
              <w:t>10</w:t>
            </w:r>
          </w:p>
        </w:tc>
        <w:tc>
          <w:tcPr>
            <w:tcW w:w="2145" w:type="dxa"/>
            <w:shd w:val="clear"/>
            <w:vAlign w:val="center"/>
          </w:tcPr>
          <w:p w14:paraId="6C74356F">
            <w:pPr>
              <w:numPr>
                <w:ilvl w:val="0"/>
                <w:numId w:val="0"/>
              </w:numPr>
              <w:ind w:left="0" w:leftChars="0" w:firstLine="0" w:firstLineChars="0"/>
              <w:jc w:val="center"/>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财政网专线租赁</w:t>
            </w:r>
          </w:p>
        </w:tc>
        <w:tc>
          <w:tcPr>
            <w:tcW w:w="2374" w:type="dxa"/>
            <w:shd w:val="clear"/>
            <w:vAlign w:val="center"/>
          </w:tcPr>
          <w:p w14:paraId="77A33CFC">
            <w:pPr>
              <w:numPr>
                <w:ilvl w:val="0"/>
                <w:numId w:val="0"/>
              </w:numPr>
              <w:ind w:left="0" w:leftChars="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4"/>
                <w:szCs w:val="24"/>
                <w:lang w:val="en-US" w:eastAsia="zh-CN"/>
              </w:rPr>
              <w:t>吐鲁番市无线电管理中心5楼机房（吐鲁番市高昌区西环北路2816号）</w:t>
            </w:r>
          </w:p>
        </w:tc>
        <w:tc>
          <w:tcPr>
            <w:tcW w:w="1600" w:type="dxa"/>
            <w:shd w:val="clear"/>
            <w:vAlign w:val="center"/>
          </w:tcPr>
          <w:p w14:paraId="4BF4501C">
            <w:pPr>
              <w:numPr>
                <w:ilvl w:val="0"/>
                <w:numId w:val="0"/>
              </w:numPr>
              <w:ind w:left="0" w:leftChars="0" w:firstLine="0" w:firstLineChars="0"/>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不小于20</w:t>
            </w:r>
          </w:p>
        </w:tc>
        <w:tc>
          <w:tcPr>
            <w:tcW w:w="1587" w:type="dxa"/>
            <w:vAlign w:val="center"/>
          </w:tcPr>
          <w:p w14:paraId="5CED9F69">
            <w:pPr>
              <w:numPr>
                <w:ilvl w:val="0"/>
                <w:numId w:val="0"/>
              </w:numPr>
              <w:ind w:left="0" w:leftChars="0" w:firstLine="0" w:firstLineChars="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1年</w:t>
            </w:r>
          </w:p>
        </w:tc>
      </w:tr>
    </w:tbl>
    <w:p w14:paraId="2FA55B24">
      <w:pPr>
        <w:ind w:left="596" w:leftChars="284"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三、租赁服务时间</w:t>
      </w:r>
    </w:p>
    <w:p w14:paraId="20389DB1">
      <w:pPr>
        <w:pStyle w:val="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租赁服务时间以上一年到期续接时间为准，为期1年。</w:t>
      </w:r>
    </w:p>
    <w:p w14:paraId="77512F66">
      <w:pPr>
        <w:ind w:left="596" w:leftChars="284"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四、项目要求</w:t>
      </w:r>
    </w:p>
    <w:p w14:paraId="50EE0BF7">
      <w:pPr>
        <w:keepNext w:val="0"/>
        <w:keepLines w:val="0"/>
        <w:pageBreakBefore w:val="0"/>
        <w:kinsoku/>
        <w:wordWrap/>
        <w:overflowPunct/>
        <w:topLinePunct w:val="0"/>
        <w:bidi w:val="0"/>
        <w:spacing w:line="56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sz w:val="32"/>
          <w:szCs w:val="32"/>
        </w:rPr>
        <w:t>（一）</w:t>
      </w:r>
      <w:r>
        <w:rPr>
          <w:rFonts w:ascii="Times New Roman" w:hAnsi="Times New Roman" w:eastAsia="楷体_GB2312"/>
          <w:b/>
          <w:bCs/>
          <w:sz w:val="32"/>
          <w:szCs w:val="32"/>
        </w:rPr>
        <w:t>链路质量要求</w:t>
      </w:r>
    </w:p>
    <w:p w14:paraId="0120BCE4">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链路传输比特差错率&lt;1×10-8；</w:t>
      </w:r>
    </w:p>
    <w:p w14:paraId="410CBB51">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2.链路可用率&gt;99.99%；</w:t>
      </w:r>
    </w:p>
    <w:p w14:paraId="3B22E61A">
      <w:pPr>
        <w:numPr>
          <w:ilvl w:val="0"/>
          <w:numId w:val="0"/>
        </w:numPr>
        <w:ind w:firstLine="640" w:firstLineChars="200"/>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3.链路传输时延&lt;10ms；</w:t>
      </w:r>
    </w:p>
    <w:p w14:paraId="5E3E7226">
      <w:pPr>
        <w:keepNext w:val="0"/>
        <w:keepLines w:val="0"/>
        <w:pageBreakBefore w:val="0"/>
        <w:kinsoku/>
        <w:wordWrap/>
        <w:overflowPunct/>
        <w:topLinePunct w:val="0"/>
        <w:bidi w:val="0"/>
        <w:spacing w:line="56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sz w:val="32"/>
          <w:szCs w:val="32"/>
        </w:rPr>
        <w:t>（二）</w:t>
      </w:r>
      <w:r>
        <w:rPr>
          <w:rFonts w:ascii="Times New Roman" w:hAnsi="Times New Roman" w:eastAsia="楷体_GB2312"/>
          <w:b/>
          <w:bCs/>
          <w:sz w:val="32"/>
          <w:szCs w:val="32"/>
        </w:rPr>
        <w:t>建设要求</w:t>
      </w:r>
    </w:p>
    <w:p w14:paraId="1580E457">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项目实施期间，不得影响现有</w:t>
      </w:r>
      <w:r>
        <w:rPr>
          <w:rFonts w:hint="eastAsia" w:ascii="仿宋_GB2312" w:hAnsi="仿宋_GB2312" w:eastAsia="仿宋_GB2312" w:cs="仿宋_GB2312"/>
          <w:i w:val="0"/>
          <w:caps w:val="0"/>
          <w:color w:val="333333"/>
          <w:spacing w:val="0"/>
          <w:sz w:val="32"/>
          <w:szCs w:val="32"/>
          <w:shd w:val="clear" w:fill="FFFFFF"/>
          <w:lang w:val="en-US" w:eastAsia="zh-CN"/>
        </w:rPr>
        <w:t>专线</w:t>
      </w:r>
      <w:r>
        <w:rPr>
          <w:rFonts w:hint="eastAsia" w:ascii="仿宋_GB2312" w:hAnsi="仿宋_GB2312" w:eastAsia="仿宋_GB2312" w:cs="仿宋_GB2312"/>
          <w:i w:val="0"/>
          <w:caps w:val="0"/>
          <w:color w:val="333333"/>
          <w:spacing w:val="0"/>
          <w:sz w:val="32"/>
          <w:szCs w:val="32"/>
          <w:shd w:val="clear" w:fill="FFFFFF"/>
        </w:rPr>
        <w:t>的正常网络接入，确保网络链路高可靠性、高可用性和高冗余性。</w:t>
      </w:r>
    </w:p>
    <w:p w14:paraId="420917E0">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运营商要加强项目组织管理，全面提高网络整体巡检运维管理水平，建立网络安全保障预警机制，满足用户对网络安全应急响应的保障能力。</w:t>
      </w:r>
    </w:p>
    <w:p w14:paraId="3F6E17E6">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3.新中标的供应商要与原供应商开通的业务进行无缝衔接，根据实际承担的链路使用时间自行协商费用的支付。</w:t>
      </w:r>
    </w:p>
    <w:p w14:paraId="36430C0C">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4.采购标的标准：按照国家相关标准。</w:t>
      </w:r>
    </w:p>
    <w:p w14:paraId="63759F37">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5.采购标的质量、安全、技术规格、物理特性：均按照国家相关标准执行。</w:t>
      </w:r>
    </w:p>
    <w:p w14:paraId="7EF56D5C">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6.采购标的其他技术、服务：配备专门的技术服务支持人员。 </w:t>
      </w:r>
    </w:p>
    <w:p w14:paraId="702BB77E">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7.售后服务：提供7*24小时热线服务。</w:t>
      </w:r>
    </w:p>
    <w:p w14:paraId="121EA73F">
      <w:pPr>
        <w:keepNext w:val="0"/>
        <w:keepLines w:val="0"/>
        <w:pageBreakBefore w:val="0"/>
        <w:kinsoku/>
        <w:wordWrap/>
        <w:overflowPunct/>
        <w:topLinePunct w:val="0"/>
        <w:bidi w:val="0"/>
        <w:spacing w:line="560" w:lineRule="exact"/>
        <w:ind w:firstLine="643" w:firstLineChars="200"/>
        <w:textAlignment w:val="auto"/>
        <w:rPr>
          <w:rFonts w:ascii="Times New Roman" w:hAnsi="Times New Roman" w:eastAsia="楷体_GB2312"/>
          <w:b/>
          <w:sz w:val="32"/>
          <w:szCs w:val="32"/>
        </w:rPr>
      </w:pPr>
      <w:r>
        <w:rPr>
          <w:rFonts w:ascii="Times New Roman" w:hAnsi="Times New Roman" w:eastAsia="楷体_GB2312"/>
          <w:b/>
          <w:sz w:val="32"/>
          <w:szCs w:val="32"/>
        </w:rPr>
        <w:t>（三）网络质量巡检及运维保障要求</w:t>
      </w:r>
    </w:p>
    <w:p w14:paraId="6736C1F6">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运营商网络运维保障内容包括：</w:t>
      </w:r>
    </w:p>
    <w:p w14:paraId="41A0EB88">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1.运营商按行业主管部门规定的链路质量要求，提供7×24小时的</w:t>
      </w:r>
      <w:r>
        <w:rPr>
          <w:rFonts w:hint="eastAsia" w:ascii="仿宋_GB2312" w:hAnsi="仿宋_GB2312" w:eastAsia="仿宋_GB2312" w:cs="仿宋_GB2312"/>
          <w:i w:val="0"/>
          <w:caps w:val="0"/>
          <w:color w:val="333333"/>
          <w:spacing w:val="0"/>
          <w:sz w:val="32"/>
          <w:szCs w:val="32"/>
          <w:shd w:val="clear" w:fill="FFFFFF"/>
          <w:lang w:val="en-US" w:eastAsia="zh-CN"/>
        </w:rPr>
        <w:t>专用链路</w:t>
      </w:r>
      <w:r>
        <w:rPr>
          <w:rFonts w:hint="eastAsia" w:ascii="仿宋_GB2312" w:hAnsi="仿宋_GB2312" w:eastAsia="仿宋_GB2312" w:cs="仿宋_GB2312"/>
          <w:i w:val="0"/>
          <w:caps w:val="0"/>
          <w:color w:val="333333"/>
          <w:spacing w:val="0"/>
          <w:sz w:val="32"/>
          <w:szCs w:val="32"/>
          <w:shd w:val="clear" w:fill="FFFFFF"/>
        </w:rPr>
        <w:t>质量与运行监测服务，7×24小时响应并进行故障和发现、处理与恢复；</w:t>
      </w:r>
      <w:r>
        <w:rPr>
          <w:rFonts w:hint="eastAsia" w:ascii="仿宋_GB2312" w:hAnsi="仿宋_GB2312" w:eastAsia="仿宋_GB2312" w:cs="仿宋_GB2312"/>
          <w:i w:val="0"/>
          <w:caps w:val="0"/>
          <w:color w:val="333333"/>
          <w:spacing w:val="0"/>
          <w:sz w:val="32"/>
          <w:szCs w:val="32"/>
          <w:shd w:val="clear" w:fill="FFFFFF"/>
          <w:lang w:val="en-US" w:eastAsia="zh-CN"/>
        </w:rPr>
        <w:t>链路租用期内，须提供免费的链路质保和相关维保服务。</w:t>
      </w:r>
    </w:p>
    <w:p w14:paraId="40474FDF">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2.运营商应对互联网链路通信质量提供长期、不间断的监测预警，一旦发现问题应及时解决并告知用户。</w:t>
      </w:r>
      <w:r>
        <w:rPr>
          <w:rFonts w:hint="eastAsia" w:ascii="仿宋_GB2312" w:hAnsi="仿宋_GB2312" w:eastAsia="仿宋_GB2312" w:cs="仿宋_GB2312"/>
          <w:i w:val="0"/>
          <w:caps w:val="0"/>
          <w:color w:val="333333"/>
          <w:spacing w:val="0"/>
          <w:sz w:val="32"/>
          <w:szCs w:val="32"/>
          <w:shd w:val="clear" w:fill="FFFFFF"/>
          <w:lang w:eastAsia="zh-CN"/>
        </w:rPr>
        <w:t>同时，</w:t>
      </w:r>
      <w:r>
        <w:rPr>
          <w:rFonts w:hint="eastAsia" w:ascii="仿宋_GB2312" w:hAnsi="仿宋_GB2312" w:eastAsia="仿宋_GB2312" w:cs="仿宋_GB2312"/>
          <w:i w:val="0"/>
          <w:caps w:val="0"/>
          <w:color w:val="333333"/>
          <w:spacing w:val="0"/>
          <w:sz w:val="32"/>
          <w:szCs w:val="32"/>
          <w:shd w:val="clear" w:fill="FFFFFF"/>
        </w:rPr>
        <w:t>提供应急响应，出现故障时，应在10分钟响应并在30分钟内解决，无法立即的解决的，2小时内提供备份</w:t>
      </w:r>
      <w:r>
        <w:rPr>
          <w:rFonts w:hint="eastAsia" w:ascii="仿宋_GB2312" w:hAnsi="仿宋_GB2312" w:eastAsia="仿宋_GB2312" w:cs="仿宋_GB2312"/>
          <w:i w:val="0"/>
          <w:caps w:val="0"/>
          <w:color w:val="333333"/>
          <w:spacing w:val="0"/>
          <w:sz w:val="32"/>
          <w:szCs w:val="32"/>
          <w:shd w:val="clear" w:fill="FFFFFF"/>
          <w:lang w:val="en-US" w:eastAsia="zh-CN"/>
        </w:rPr>
        <w:t>链路</w:t>
      </w:r>
      <w:r>
        <w:rPr>
          <w:rFonts w:hint="eastAsia" w:ascii="仿宋_GB2312" w:hAnsi="仿宋_GB2312" w:eastAsia="仿宋_GB2312" w:cs="仿宋_GB2312"/>
          <w:i w:val="0"/>
          <w:caps w:val="0"/>
          <w:color w:val="333333"/>
          <w:spacing w:val="0"/>
          <w:sz w:val="32"/>
          <w:szCs w:val="32"/>
          <w:shd w:val="clear" w:fill="FFFFFF"/>
        </w:rPr>
        <w:t>。</w:t>
      </w:r>
    </w:p>
    <w:p w14:paraId="079304E4">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3．运营商如需中断用户线路，应提前</w:t>
      </w:r>
      <w:r>
        <w:rPr>
          <w:rFonts w:hint="eastAsia" w:ascii="仿宋_GB2312" w:hAnsi="仿宋_GB2312" w:eastAsia="仿宋_GB2312" w:cs="仿宋_GB2312"/>
          <w:i w:val="0"/>
          <w:caps w:val="0"/>
          <w:color w:val="333333"/>
          <w:spacing w:val="0"/>
          <w:sz w:val="32"/>
          <w:szCs w:val="32"/>
          <w:shd w:val="clear" w:fill="FFFFFF"/>
          <w:lang w:val="en-US" w:eastAsia="zh-CN"/>
        </w:rPr>
        <w:t>24</w:t>
      </w:r>
      <w:r>
        <w:rPr>
          <w:rFonts w:hint="eastAsia" w:ascii="仿宋_GB2312" w:hAnsi="仿宋_GB2312" w:eastAsia="仿宋_GB2312" w:cs="仿宋_GB2312"/>
          <w:i w:val="0"/>
          <w:caps w:val="0"/>
          <w:color w:val="333333"/>
          <w:spacing w:val="0"/>
          <w:sz w:val="32"/>
          <w:szCs w:val="32"/>
          <w:shd w:val="clear" w:fill="FFFFFF"/>
        </w:rPr>
        <w:t>小时通知用户，经协商同意后实施，且不能影响用户的正常业务运行。</w:t>
      </w:r>
    </w:p>
    <w:p w14:paraId="1760C06B">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4.运营商应建立完备的用户档案，及时对相应的链路、设备进行特殊标记，以保证用户相关维护资料的准确性；建立详细、完备的链路资料档案和网络运行档案并提交用户。</w:t>
      </w:r>
    </w:p>
    <w:p w14:paraId="4D6738A6">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5.运营商要制定完善的应急故障处理流程及保障预案，保证紧急情况下快速处理故障，缩短故障处理时限</w:t>
      </w:r>
      <w:r>
        <w:rPr>
          <w:rFonts w:hint="eastAsia" w:ascii="仿宋_GB2312" w:hAnsi="仿宋_GB2312" w:eastAsia="仿宋_GB2312" w:cs="仿宋_GB2312"/>
          <w:i w:val="0"/>
          <w:caps w:val="0"/>
          <w:color w:val="333333"/>
          <w:spacing w:val="0"/>
          <w:sz w:val="32"/>
          <w:szCs w:val="32"/>
          <w:shd w:val="clear" w:fill="FFFFFF"/>
          <w:lang w:val="en-US" w:eastAsia="zh-CN"/>
        </w:rPr>
        <w:t>。</w:t>
      </w:r>
    </w:p>
    <w:p w14:paraId="7399F95B">
      <w:pPr>
        <w:pStyle w:val="3"/>
        <w:ind w:firstLine="643" w:firstLineChars="200"/>
        <w:rPr>
          <w:rFonts w:hint="eastAsia" w:eastAsia="楷体_GB2312"/>
          <w:lang w:val="en-US" w:eastAsia="zh-CN"/>
        </w:rPr>
      </w:pPr>
      <w:r>
        <w:rPr>
          <w:rFonts w:ascii="Times New Roman" w:hAnsi="Times New Roman" w:eastAsia="楷体_GB2312"/>
          <w:b/>
          <w:sz w:val="32"/>
          <w:szCs w:val="32"/>
        </w:rPr>
        <w:t>（</w:t>
      </w:r>
      <w:r>
        <w:rPr>
          <w:rFonts w:hint="eastAsia" w:ascii="Times New Roman" w:hAnsi="Times New Roman"/>
          <w:b/>
          <w:sz w:val="32"/>
          <w:szCs w:val="32"/>
          <w:lang w:val="en-US" w:eastAsia="zh-CN"/>
        </w:rPr>
        <w:t>四</w:t>
      </w:r>
      <w:r>
        <w:rPr>
          <w:rFonts w:ascii="Times New Roman" w:hAnsi="Times New Roman" w:eastAsia="楷体_GB2312"/>
          <w:b/>
          <w:sz w:val="32"/>
          <w:szCs w:val="32"/>
        </w:rPr>
        <w:t>）</w:t>
      </w:r>
      <w:r>
        <w:rPr>
          <w:rFonts w:hint="eastAsia" w:ascii="Times New Roman" w:hAnsi="Times New Roman"/>
          <w:b/>
          <w:sz w:val="32"/>
          <w:szCs w:val="32"/>
          <w:lang w:val="en-US" w:eastAsia="zh-CN"/>
        </w:rPr>
        <w:t>其他要求</w:t>
      </w:r>
    </w:p>
    <w:p w14:paraId="53BA1AB2">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sz w:val="32"/>
          <w:szCs w:val="32"/>
        </w:rPr>
        <w:t>运营商</w:t>
      </w:r>
      <w:r>
        <w:rPr>
          <w:rFonts w:hint="eastAsia" w:ascii="仿宋_GB2312" w:hAnsi="仿宋_GB2312" w:eastAsia="仿宋_GB2312" w:cs="仿宋_GB2312"/>
          <w:i w:val="0"/>
          <w:caps w:val="0"/>
          <w:color w:val="333333"/>
          <w:spacing w:val="0"/>
          <w:sz w:val="32"/>
          <w:szCs w:val="32"/>
          <w:shd w:val="clear" w:fill="FFFFFF"/>
        </w:rPr>
        <w:t>商提供</w:t>
      </w:r>
      <w:r>
        <w:rPr>
          <w:rFonts w:hint="eastAsia" w:ascii="仿宋_GB2312" w:hAnsi="仿宋_GB2312" w:eastAsia="仿宋_GB2312" w:cs="仿宋_GB2312"/>
          <w:i w:val="0"/>
          <w:caps w:val="0"/>
          <w:color w:val="333333"/>
          <w:spacing w:val="0"/>
          <w:sz w:val="32"/>
          <w:szCs w:val="32"/>
          <w:shd w:val="clear" w:fill="FFFFFF"/>
          <w:lang w:val="en-US" w:eastAsia="zh-CN"/>
        </w:rPr>
        <w:t>数据专线</w:t>
      </w:r>
      <w:r>
        <w:rPr>
          <w:rFonts w:hint="eastAsia" w:ascii="仿宋_GB2312" w:hAnsi="仿宋_GB2312" w:eastAsia="仿宋_GB2312" w:cs="仿宋_GB2312"/>
          <w:i w:val="0"/>
          <w:caps w:val="0"/>
          <w:color w:val="333333"/>
          <w:spacing w:val="0"/>
          <w:sz w:val="32"/>
          <w:szCs w:val="32"/>
          <w:shd w:val="clear" w:fill="FFFFFF"/>
        </w:rPr>
        <w:t>接入服务的技术规范、产品质量以及为提供服务所使用的接入、传输交换等各类软硬件资源应符合中央网信办、工信部和其他相关行业主管部门的强制性、规范性要求，符合相关信息安全政策要求。 </w:t>
      </w:r>
    </w:p>
    <w:p w14:paraId="5BADCC56">
      <w:pPr>
        <w:numPr>
          <w:ilvl w:val="0"/>
          <w:numId w:val="0"/>
        </w:numPr>
        <w:ind w:leftChars="0"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应急保障。</w:t>
      </w:r>
      <w:r>
        <w:rPr>
          <w:rFonts w:hint="eastAsia" w:ascii="仿宋_GB2312" w:hAnsi="仿宋_GB2312" w:eastAsia="仿宋_GB2312" w:cs="仿宋_GB2312"/>
          <w:sz w:val="32"/>
          <w:szCs w:val="32"/>
        </w:rPr>
        <w:t>运营商</w:t>
      </w:r>
      <w:r>
        <w:rPr>
          <w:rFonts w:hint="eastAsia" w:ascii="仿宋_GB2312" w:hAnsi="仿宋_GB2312" w:eastAsia="仿宋_GB2312" w:cs="仿宋_GB2312"/>
          <w:i w:val="0"/>
          <w:caps w:val="0"/>
          <w:color w:val="333333"/>
          <w:spacing w:val="0"/>
          <w:sz w:val="32"/>
          <w:szCs w:val="32"/>
          <w:shd w:val="clear" w:fill="FFFFFF"/>
        </w:rPr>
        <w:t>应具有应急通信保障能力，可根据采购人需要在国家重大活动期间的提供重点专项服务保障，保证国庆、春节等节假日期间的服务连续性。可根据采</w:t>
      </w:r>
      <w:r>
        <w:rPr>
          <w:rFonts w:hint="eastAsia" w:ascii="仿宋_GB2312" w:hAnsi="仿宋_GB2312" w:eastAsia="仿宋_GB2312" w:cs="仿宋_GB2312"/>
          <w:i w:val="0"/>
          <w:caps w:val="0"/>
          <w:color w:val="333333"/>
          <w:spacing w:val="0"/>
          <w:sz w:val="32"/>
          <w:szCs w:val="32"/>
          <w:shd w:val="clear" w:fill="FFFFFF"/>
          <w:lang w:val="en-US" w:eastAsia="zh-CN"/>
        </w:rPr>
        <w:t>购人业务需要提供紧急线路开通、突发带宽扩容等服务。可为所有采购人制定重点专项保障方案和应急保障预案。 </w:t>
      </w:r>
    </w:p>
    <w:p w14:paraId="094DDBED">
      <w:pPr>
        <w:numPr>
          <w:ilvl w:val="0"/>
          <w:numId w:val="0"/>
        </w:numPr>
        <w:ind w:leftChars="0" w:firstLine="640" w:firstLineChars="200"/>
        <w:rPr>
          <w:rFonts w:hint="eastAsia"/>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3、投标人必须具有本地基础电信运营商授权及增值电信业务经营许可证。</w:t>
      </w:r>
      <w:bookmarkStart w:id="0" w:name="_GoBack"/>
      <w:bookmarkEnd w:id="0"/>
    </w:p>
    <w:p w14:paraId="3B981D8F">
      <w:pP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br w:type="page"/>
      </w:r>
    </w:p>
    <w:p w14:paraId="2048AD84">
      <w:pPr>
        <w:numPr>
          <w:ilvl w:val="0"/>
          <w:numId w:val="0"/>
        </w:numPr>
        <w:jc w:val="both"/>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附件1：</w:t>
      </w:r>
    </w:p>
    <w:p w14:paraId="32A09036">
      <w:pPr>
        <w:numPr>
          <w:ilvl w:val="0"/>
          <w:numId w:val="0"/>
        </w:num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报价单</w:t>
      </w:r>
    </w:p>
    <w:p w14:paraId="1140E9E1">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吐鲁番市无线电管理中心：</w:t>
      </w:r>
    </w:p>
    <w:p w14:paraId="46C08C4E">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本公司已认真阅读了贵单位发布的“吐鲁番市无线电管理中心数据专线链路租赁项目”竞价采购公告，接受提出的各项要求，参与该项目竞价。报价详情如下：</w:t>
      </w:r>
    </w:p>
    <w:tbl>
      <w:tblPr>
        <w:tblStyle w:val="5"/>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1650"/>
        <w:gridCol w:w="885"/>
        <w:gridCol w:w="1534"/>
      </w:tblGrid>
      <w:tr w14:paraId="47EC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299" w:type="dxa"/>
            <w:vAlign w:val="center"/>
          </w:tcPr>
          <w:p w14:paraId="7097E122">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服务名称</w:t>
            </w:r>
          </w:p>
        </w:tc>
        <w:tc>
          <w:tcPr>
            <w:tcW w:w="1650" w:type="dxa"/>
            <w:vAlign w:val="center"/>
          </w:tcPr>
          <w:p w14:paraId="7DBB2C79">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电路带宽</w:t>
            </w:r>
          </w:p>
        </w:tc>
        <w:tc>
          <w:tcPr>
            <w:tcW w:w="885" w:type="dxa"/>
            <w:vAlign w:val="center"/>
          </w:tcPr>
          <w:p w14:paraId="2BE3910B">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数量</w:t>
            </w:r>
          </w:p>
        </w:tc>
        <w:tc>
          <w:tcPr>
            <w:tcW w:w="1534" w:type="dxa"/>
            <w:vAlign w:val="center"/>
          </w:tcPr>
          <w:p w14:paraId="3CFB5D7B">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单价（元）</w:t>
            </w:r>
          </w:p>
        </w:tc>
      </w:tr>
      <w:tr w14:paraId="6D26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99" w:type="dxa"/>
            <w:vAlign w:val="center"/>
          </w:tcPr>
          <w:p w14:paraId="7F46F511">
            <w:pPr>
              <w:numPr>
                <w:ilvl w:val="0"/>
                <w:numId w:val="0"/>
              </w:num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lang w:val="en-US" w:eastAsia="zh-CN"/>
              </w:rPr>
              <w:t>固定监测站数据专线链路租赁</w:t>
            </w:r>
          </w:p>
        </w:tc>
        <w:tc>
          <w:tcPr>
            <w:tcW w:w="1650" w:type="dxa"/>
            <w:vAlign w:val="center"/>
          </w:tcPr>
          <w:p w14:paraId="6BCCE238">
            <w:pPr>
              <w:numPr>
                <w:ilvl w:val="0"/>
                <w:numId w:val="0"/>
              </w:num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w:t>
            </w:r>
            <w:r>
              <w:rPr>
                <w:rFonts w:hint="eastAsia" w:ascii="仿宋_GB2312" w:hAnsi="仿宋_GB2312" w:eastAsia="仿宋_GB2312" w:cs="仿宋_GB2312"/>
                <w:b w:val="0"/>
                <w:bCs w:val="0"/>
                <w:sz w:val="28"/>
                <w:szCs w:val="28"/>
              </w:rPr>
              <w:t>M</w:t>
            </w:r>
            <w:r>
              <w:rPr>
                <w:rFonts w:hint="eastAsia" w:ascii="仿宋_GB2312" w:hAnsi="仿宋_GB2312" w:eastAsia="仿宋_GB2312" w:cs="仿宋_GB2312"/>
                <w:b w:val="0"/>
                <w:bCs w:val="0"/>
                <w:sz w:val="28"/>
                <w:szCs w:val="28"/>
                <w:lang w:val="en-US" w:eastAsia="zh-CN"/>
              </w:rPr>
              <w:t>bps</w:t>
            </w:r>
          </w:p>
        </w:tc>
        <w:tc>
          <w:tcPr>
            <w:tcW w:w="885" w:type="dxa"/>
            <w:vAlign w:val="center"/>
          </w:tcPr>
          <w:p w14:paraId="0B22D37A">
            <w:pPr>
              <w:numPr>
                <w:ilvl w:val="0"/>
                <w:numId w:val="0"/>
              </w:num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6条</w:t>
            </w:r>
          </w:p>
        </w:tc>
        <w:tc>
          <w:tcPr>
            <w:tcW w:w="1534" w:type="dxa"/>
            <w:vAlign w:val="center"/>
          </w:tcPr>
          <w:p w14:paraId="3A496BAE">
            <w:pPr>
              <w:numPr>
                <w:ilvl w:val="0"/>
                <w:numId w:val="0"/>
              </w:numPr>
              <w:jc w:val="center"/>
              <w:rPr>
                <w:rFonts w:hint="eastAsia" w:ascii="仿宋_GB2312" w:hAnsi="仿宋_GB2312" w:eastAsia="仿宋_GB2312" w:cs="仿宋_GB2312"/>
                <w:b w:val="0"/>
                <w:bCs w:val="0"/>
                <w:sz w:val="28"/>
                <w:szCs w:val="28"/>
                <w:vertAlign w:val="baseline"/>
                <w:lang w:val="en-US" w:eastAsia="zh-CN"/>
              </w:rPr>
            </w:pPr>
          </w:p>
        </w:tc>
      </w:tr>
      <w:tr w14:paraId="4A74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4299" w:type="dxa"/>
            <w:vAlign w:val="center"/>
          </w:tcPr>
          <w:p w14:paraId="3468578D">
            <w:pPr>
              <w:numPr>
                <w:ilvl w:val="0"/>
                <w:numId w:val="0"/>
              </w:num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lang w:val="en-US" w:eastAsia="zh-CN"/>
              </w:rPr>
              <w:t>电子政务外网专线链路租赁</w:t>
            </w:r>
          </w:p>
        </w:tc>
        <w:tc>
          <w:tcPr>
            <w:tcW w:w="1650" w:type="dxa"/>
            <w:vAlign w:val="center"/>
          </w:tcPr>
          <w:p w14:paraId="72007787">
            <w:pPr>
              <w:numPr>
                <w:ilvl w:val="0"/>
                <w:numId w:val="0"/>
              </w:num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w:t>
            </w:r>
            <w:r>
              <w:rPr>
                <w:rFonts w:hint="eastAsia" w:ascii="仿宋_GB2312" w:hAnsi="仿宋_GB2312" w:eastAsia="仿宋_GB2312" w:cs="仿宋_GB2312"/>
                <w:b w:val="0"/>
                <w:bCs w:val="0"/>
                <w:sz w:val="28"/>
                <w:szCs w:val="28"/>
              </w:rPr>
              <w:t>M</w:t>
            </w:r>
            <w:r>
              <w:rPr>
                <w:rFonts w:hint="eastAsia" w:ascii="仿宋_GB2312" w:hAnsi="仿宋_GB2312" w:eastAsia="仿宋_GB2312" w:cs="仿宋_GB2312"/>
                <w:b w:val="0"/>
                <w:bCs w:val="0"/>
                <w:sz w:val="28"/>
                <w:szCs w:val="28"/>
                <w:lang w:val="en-US" w:eastAsia="zh-CN"/>
              </w:rPr>
              <w:t>bps</w:t>
            </w:r>
          </w:p>
        </w:tc>
        <w:tc>
          <w:tcPr>
            <w:tcW w:w="885" w:type="dxa"/>
            <w:vAlign w:val="center"/>
          </w:tcPr>
          <w:p w14:paraId="4B53A65D">
            <w:pPr>
              <w:numPr>
                <w:ilvl w:val="0"/>
                <w:numId w:val="0"/>
              </w:num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1条</w:t>
            </w:r>
          </w:p>
        </w:tc>
        <w:tc>
          <w:tcPr>
            <w:tcW w:w="1534" w:type="dxa"/>
            <w:vAlign w:val="center"/>
          </w:tcPr>
          <w:p w14:paraId="0A7A693D">
            <w:pPr>
              <w:numPr>
                <w:ilvl w:val="0"/>
                <w:numId w:val="0"/>
              </w:numPr>
              <w:jc w:val="center"/>
              <w:rPr>
                <w:rFonts w:hint="eastAsia" w:ascii="仿宋_GB2312" w:hAnsi="仿宋_GB2312" w:eastAsia="仿宋_GB2312" w:cs="仿宋_GB2312"/>
                <w:b w:val="0"/>
                <w:bCs w:val="0"/>
                <w:sz w:val="28"/>
                <w:szCs w:val="28"/>
                <w:vertAlign w:val="baseline"/>
                <w:lang w:val="en-US" w:eastAsia="zh-CN"/>
              </w:rPr>
            </w:pPr>
          </w:p>
        </w:tc>
      </w:tr>
      <w:tr w14:paraId="3F9A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9" w:type="dxa"/>
            <w:vAlign w:val="center"/>
          </w:tcPr>
          <w:p w14:paraId="61BD5343">
            <w:pPr>
              <w:numPr>
                <w:ilvl w:val="0"/>
                <w:numId w:val="0"/>
              </w:num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综治视联网专线租赁</w:t>
            </w:r>
          </w:p>
        </w:tc>
        <w:tc>
          <w:tcPr>
            <w:tcW w:w="1650" w:type="dxa"/>
            <w:vAlign w:val="center"/>
          </w:tcPr>
          <w:p w14:paraId="7D3EFDAF">
            <w:pPr>
              <w:numPr>
                <w:ilvl w:val="0"/>
                <w:numId w:val="0"/>
              </w:num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w:t>
            </w:r>
            <w:r>
              <w:rPr>
                <w:rFonts w:hint="eastAsia" w:ascii="仿宋_GB2312" w:hAnsi="仿宋_GB2312" w:eastAsia="仿宋_GB2312" w:cs="仿宋_GB2312"/>
                <w:b w:val="0"/>
                <w:bCs w:val="0"/>
                <w:sz w:val="28"/>
                <w:szCs w:val="28"/>
              </w:rPr>
              <w:t>M</w:t>
            </w:r>
            <w:r>
              <w:rPr>
                <w:rFonts w:hint="eastAsia" w:ascii="仿宋_GB2312" w:hAnsi="仿宋_GB2312" w:eastAsia="仿宋_GB2312" w:cs="仿宋_GB2312"/>
                <w:b w:val="0"/>
                <w:bCs w:val="0"/>
                <w:sz w:val="28"/>
                <w:szCs w:val="28"/>
                <w:lang w:val="en-US" w:eastAsia="zh-CN"/>
              </w:rPr>
              <w:t>bps</w:t>
            </w:r>
          </w:p>
        </w:tc>
        <w:tc>
          <w:tcPr>
            <w:tcW w:w="885" w:type="dxa"/>
            <w:vAlign w:val="center"/>
          </w:tcPr>
          <w:p w14:paraId="7E617CA2">
            <w:pPr>
              <w:numPr>
                <w:ilvl w:val="0"/>
                <w:numId w:val="0"/>
              </w:num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1条</w:t>
            </w:r>
          </w:p>
        </w:tc>
        <w:tc>
          <w:tcPr>
            <w:tcW w:w="1534" w:type="dxa"/>
            <w:vAlign w:val="center"/>
          </w:tcPr>
          <w:p w14:paraId="3DE7B030">
            <w:pPr>
              <w:numPr>
                <w:ilvl w:val="0"/>
                <w:numId w:val="0"/>
              </w:numPr>
              <w:jc w:val="center"/>
              <w:rPr>
                <w:rFonts w:hint="eastAsia" w:ascii="仿宋_GB2312" w:hAnsi="仿宋_GB2312" w:eastAsia="仿宋_GB2312" w:cs="仿宋_GB2312"/>
                <w:b w:val="0"/>
                <w:bCs w:val="0"/>
                <w:sz w:val="28"/>
                <w:szCs w:val="28"/>
                <w:vertAlign w:val="baseline"/>
                <w:lang w:val="en-US" w:eastAsia="zh-CN"/>
              </w:rPr>
            </w:pPr>
          </w:p>
        </w:tc>
      </w:tr>
      <w:tr w14:paraId="519A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299" w:type="dxa"/>
            <w:vAlign w:val="center"/>
          </w:tcPr>
          <w:p w14:paraId="60A73966">
            <w:pPr>
              <w:numPr>
                <w:ilvl w:val="0"/>
                <w:numId w:val="0"/>
              </w:num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视频监控系统专线租赁</w:t>
            </w:r>
          </w:p>
        </w:tc>
        <w:tc>
          <w:tcPr>
            <w:tcW w:w="1650" w:type="dxa"/>
            <w:vAlign w:val="center"/>
          </w:tcPr>
          <w:p w14:paraId="108CC3FA">
            <w:pPr>
              <w:numPr>
                <w:ilvl w:val="0"/>
                <w:numId w:val="0"/>
              </w:numPr>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w:t>
            </w:r>
            <w:r>
              <w:rPr>
                <w:rFonts w:hint="eastAsia" w:ascii="仿宋_GB2312" w:hAnsi="仿宋_GB2312" w:eastAsia="仿宋_GB2312" w:cs="仿宋_GB2312"/>
                <w:b w:val="0"/>
                <w:bCs w:val="0"/>
                <w:sz w:val="28"/>
                <w:szCs w:val="28"/>
              </w:rPr>
              <w:t>M</w:t>
            </w:r>
            <w:r>
              <w:rPr>
                <w:rFonts w:hint="eastAsia" w:ascii="仿宋_GB2312" w:hAnsi="仿宋_GB2312" w:eastAsia="仿宋_GB2312" w:cs="仿宋_GB2312"/>
                <w:b w:val="0"/>
                <w:bCs w:val="0"/>
                <w:sz w:val="28"/>
                <w:szCs w:val="28"/>
                <w:lang w:val="en-US" w:eastAsia="zh-CN"/>
              </w:rPr>
              <w:t>bps</w:t>
            </w:r>
          </w:p>
        </w:tc>
        <w:tc>
          <w:tcPr>
            <w:tcW w:w="885" w:type="dxa"/>
            <w:vAlign w:val="center"/>
          </w:tcPr>
          <w:p w14:paraId="3AFB3BEB">
            <w:pPr>
              <w:numPr>
                <w:ilvl w:val="0"/>
                <w:numId w:val="0"/>
              </w:numPr>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1条</w:t>
            </w:r>
          </w:p>
        </w:tc>
        <w:tc>
          <w:tcPr>
            <w:tcW w:w="1534" w:type="dxa"/>
            <w:vAlign w:val="center"/>
          </w:tcPr>
          <w:p w14:paraId="3077F0FB">
            <w:pPr>
              <w:numPr>
                <w:ilvl w:val="0"/>
                <w:numId w:val="0"/>
              </w:numPr>
              <w:jc w:val="center"/>
              <w:rPr>
                <w:rFonts w:hint="eastAsia" w:ascii="仿宋_GB2312" w:hAnsi="仿宋_GB2312" w:eastAsia="仿宋_GB2312" w:cs="仿宋_GB2312"/>
                <w:b w:val="0"/>
                <w:bCs w:val="0"/>
                <w:sz w:val="28"/>
                <w:szCs w:val="28"/>
                <w:vertAlign w:val="baseline"/>
                <w:lang w:val="en-US" w:eastAsia="zh-CN"/>
              </w:rPr>
            </w:pPr>
          </w:p>
        </w:tc>
      </w:tr>
      <w:tr w14:paraId="7CB5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299" w:type="dxa"/>
            <w:vAlign w:val="center"/>
          </w:tcPr>
          <w:p w14:paraId="6EE861C4">
            <w:pPr>
              <w:numPr>
                <w:ilvl w:val="0"/>
                <w:numId w:val="0"/>
              </w:num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财政网专线租赁</w:t>
            </w:r>
          </w:p>
        </w:tc>
        <w:tc>
          <w:tcPr>
            <w:tcW w:w="1650" w:type="dxa"/>
            <w:vAlign w:val="center"/>
          </w:tcPr>
          <w:p w14:paraId="66993E3E">
            <w:pPr>
              <w:numPr>
                <w:ilvl w:val="0"/>
                <w:numId w:val="0"/>
              </w:numPr>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w:t>
            </w:r>
            <w:r>
              <w:rPr>
                <w:rFonts w:hint="eastAsia" w:ascii="仿宋_GB2312" w:hAnsi="仿宋_GB2312" w:eastAsia="仿宋_GB2312" w:cs="仿宋_GB2312"/>
                <w:b w:val="0"/>
                <w:bCs w:val="0"/>
                <w:sz w:val="28"/>
                <w:szCs w:val="28"/>
              </w:rPr>
              <w:t>M</w:t>
            </w:r>
            <w:r>
              <w:rPr>
                <w:rFonts w:hint="eastAsia" w:ascii="仿宋_GB2312" w:hAnsi="仿宋_GB2312" w:eastAsia="仿宋_GB2312" w:cs="仿宋_GB2312"/>
                <w:b w:val="0"/>
                <w:bCs w:val="0"/>
                <w:sz w:val="28"/>
                <w:szCs w:val="28"/>
                <w:lang w:val="en-US" w:eastAsia="zh-CN"/>
              </w:rPr>
              <w:t>bps</w:t>
            </w:r>
          </w:p>
        </w:tc>
        <w:tc>
          <w:tcPr>
            <w:tcW w:w="885" w:type="dxa"/>
            <w:vAlign w:val="center"/>
          </w:tcPr>
          <w:p w14:paraId="49743EAB">
            <w:pPr>
              <w:numPr>
                <w:ilvl w:val="0"/>
                <w:numId w:val="0"/>
              </w:numPr>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1条</w:t>
            </w:r>
          </w:p>
        </w:tc>
        <w:tc>
          <w:tcPr>
            <w:tcW w:w="1534" w:type="dxa"/>
            <w:vAlign w:val="center"/>
          </w:tcPr>
          <w:p w14:paraId="6B7C7033">
            <w:pPr>
              <w:numPr>
                <w:ilvl w:val="0"/>
                <w:numId w:val="0"/>
              </w:numPr>
              <w:jc w:val="center"/>
              <w:rPr>
                <w:rFonts w:hint="eastAsia" w:ascii="仿宋_GB2312" w:hAnsi="仿宋_GB2312" w:eastAsia="仿宋_GB2312" w:cs="仿宋_GB2312"/>
                <w:b w:val="0"/>
                <w:bCs w:val="0"/>
                <w:sz w:val="28"/>
                <w:szCs w:val="28"/>
                <w:vertAlign w:val="baseline"/>
                <w:lang w:val="en-US" w:eastAsia="zh-CN"/>
              </w:rPr>
            </w:pPr>
          </w:p>
        </w:tc>
      </w:tr>
      <w:tr w14:paraId="3DA4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99" w:type="dxa"/>
            <w:vAlign w:val="center"/>
          </w:tcPr>
          <w:p w14:paraId="5FC9870E">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合计（元）</w:t>
            </w:r>
          </w:p>
        </w:tc>
        <w:tc>
          <w:tcPr>
            <w:tcW w:w="4069" w:type="dxa"/>
            <w:gridSpan w:val="3"/>
            <w:vAlign w:val="center"/>
          </w:tcPr>
          <w:p w14:paraId="74095AC9">
            <w:pPr>
              <w:numPr>
                <w:ilvl w:val="0"/>
                <w:numId w:val="0"/>
              </w:numPr>
              <w:jc w:val="center"/>
              <w:rPr>
                <w:rFonts w:hint="eastAsia" w:ascii="仿宋_GB2312" w:hAnsi="仿宋_GB2312" w:eastAsia="仿宋_GB2312" w:cs="仿宋_GB2312"/>
                <w:sz w:val="28"/>
                <w:szCs w:val="28"/>
                <w:vertAlign w:val="baseline"/>
                <w:lang w:val="en-US" w:eastAsia="zh-CN"/>
              </w:rPr>
            </w:pPr>
          </w:p>
        </w:tc>
      </w:tr>
    </w:tbl>
    <w:p w14:paraId="3AEE9AC5">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             联系电话：</w:t>
      </w:r>
    </w:p>
    <w:p w14:paraId="5B9A055A">
      <w:pPr>
        <w:numPr>
          <w:ilvl w:val="0"/>
          <w:numId w:val="0"/>
        </w:numPr>
        <w:jc w:val="both"/>
        <w:rPr>
          <w:rFonts w:hint="eastAsia" w:ascii="仿宋_GB2312" w:hAnsi="仿宋_GB2312" w:eastAsia="仿宋_GB2312" w:cs="仿宋_GB2312"/>
          <w:sz w:val="32"/>
          <w:szCs w:val="32"/>
          <w:lang w:val="en-US" w:eastAsia="zh-CN"/>
        </w:rPr>
      </w:pPr>
    </w:p>
    <w:p w14:paraId="5A90C18E">
      <w:pPr>
        <w:pStyle w:val="2"/>
        <w:rPr>
          <w:rFonts w:hint="eastAsia"/>
          <w:lang w:val="en-US" w:eastAsia="zh-CN"/>
        </w:rPr>
      </w:pPr>
    </w:p>
    <w:p w14:paraId="1B492896">
      <w:pPr>
        <w:numPr>
          <w:ilvl w:val="0"/>
          <w:numId w:val="0"/>
        </w:numPr>
        <w:ind w:firstLine="4166" w:firstLineChars="130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公司名称（公章）</w:t>
      </w:r>
    </w:p>
    <w:p w14:paraId="1B57DA32">
      <w:pPr>
        <w:numPr>
          <w:ilvl w:val="0"/>
          <w:numId w:val="0"/>
        </w:numPr>
        <w:ind w:firstLine="4480" w:firstLineChars="1400"/>
        <w:jc w:val="both"/>
        <w:rPr>
          <w:rFonts w:hint="default"/>
          <w:lang w:val="en-US" w:eastAsia="zh-CN"/>
        </w:rPr>
      </w:pPr>
      <w:r>
        <w:rPr>
          <w:rFonts w:hint="eastAsia" w:ascii="仿宋_GB2312" w:hAnsi="仿宋_GB2312"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1" w:fontKey="{B4F0658F-126E-40A9-B314-61322B2EA73B}"/>
  </w:font>
  <w:font w:name="文鼎CS大宋">
    <w:panose1 w:val="02010609010101010101"/>
    <w:charset w:val="00"/>
    <w:family w:val="auto"/>
    <w:pitch w:val="default"/>
    <w:sig w:usb0="00000000" w:usb1="00000000" w:usb2="00000000" w:usb3="00000000" w:csb0="00000000" w:csb1="00000000"/>
    <w:embedRegular r:id="rId2" w:fontKey="{F9FC6236-0045-4985-B291-BE8D2E223394}"/>
  </w:font>
  <w:font w:name="方正小标宋简体">
    <w:panose1 w:val="03000509000000000000"/>
    <w:charset w:val="86"/>
    <w:family w:val="auto"/>
    <w:pitch w:val="default"/>
    <w:sig w:usb0="00000001" w:usb1="080E0000" w:usb2="00000000" w:usb3="00000000" w:csb0="00040000" w:csb1="00000000"/>
    <w:embedRegular r:id="rId3" w:fontKey="{461E6CBD-3C12-4797-8323-E7B386F10E44}"/>
  </w:font>
  <w:font w:name="仿宋_GB2312">
    <w:panose1 w:val="02010609030101010101"/>
    <w:charset w:val="86"/>
    <w:family w:val="auto"/>
    <w:pitch w:val="default"/>
    <w:sig w:usb0="00000001" w:usb1="080E0000" w:usb2="00000000" w:usb3="00000000" w:csb0="00040000" w:csb1="00000000"/>
    <w:embedRegular r:id="rId4" w:fontKey="{D8DB5B5A-C1DB-4EC1-80EB-820198AA9D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MDM0ZmE0NTFhYWVmNDMzZWIzZTU4ZTkxMmIyNzAifQ=="/>
  </w:docVars>
  <w:rsids>
    <w:rsidRoot w:val="66C24DDF"/>
    <w:rsid w:val="01E7687A"/>
    <w:rsid w:val="023B4DEC"/>
    <w:rsid w:val="0CAD7B7E"/>
    <w:rsid w:val="0EC341CA"/>
    <w:rsid w:val="13CF3E03"/>
    <w:rsid w:val="143D5625"/>
    <w:rsid w:val="1456794A"/>
    <w:rsid w:val="18BB2A82"/>
    <w:rsid w:val="1F636BEC"/>
    <w:rsid w:val="21AD0D3D"/>
    <w:rsid w:val="21CA447C"/>
    <w:rsid w:val="24600C0F"/>
    <w:rsid w:val="252A68FA"/>
    <w:rsid w:val="2A267A28"/>
    <w:rsid w:val="2CAE51DF"/>
    <w:rsid w:val="32816F8D"/>
    <w:rsid w:val="336458B3"/>
    <w:rsid w:val="37227682"/>
    <w:rsid w:val="3A1439A9"/>
    <w:rsid w:val="3C477CC9"/>
    <w:rsid w:val="3E642A25"/>
    <w:rsid w:val="405232F1"/>
    <w:rsid w:val="429A4C67"/>
    <w:rsid w:val="44FB52BF"/>
    <w:rsid w:val="45C134E9"/>
    <w:rsid w:val="47C562E2"/>
    <w:rsid w:val="48480CC1"/>
    <w:rsid w:val="4AD30F4F"/>
    <w:rsid w:val="5BA04C44"/>
    <w:rsid w:val="5E710573"/>
    <w:rsid w:val="5F4973A1"/>
    <w:rsid w:val="60BB607C"/>
    <w:rsid w:val="620B1AB5"/>
    <w:rsid w:val="6626043C"/>
    <w:rsid w:val="665C1FB3"/>
    <w:rsid w:val="66C24DDF"/>
    <w:rsid w:val="68E575F2"/>
    <w:rsid w:val="6ABF059B"/>
    <w:rsid w:val="6C9C5622"/>
    <w:rsid w:val="6EB505AF"/>
    <w:rsid w:val="70D7566B"/>
    <w:rsid w:val="7D2A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5" w:lineRule="auto"/>
      <w:outlineLvl w:val="2"/>
    </w:pPr>
    <w:rPr>
      <w:rFonts w:eastAsia="楷体_GB2312"/>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楷体_GB2312" w:hAnsi="Arial" w:eastAsia="楷体_GB2312"/>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1569</Words>
  <Characters>1657</Characters>
  <Lines>0</Lines>
  <Paragraphs>0</Paragraphs>
  <TotalTime>4</TotalTime>
  <ScaleCrop>false</ScaleCrop>
  <LinksUpToDate>false</LinksUpToDate>
  <CharactersWithSpaces>1678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2023-11-02T02:52:00Z</dcterms:created>
  <dc:creator>admin</dc:creator>
  <cp:lastModifiedBy>梁小龙</cp:lastModifiedBy>
  <dcterms:modified xsi:type="dcterms:W3CDTF">2025-04-07T05:13:19Z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99A2201927FF4346AB91AD6354167A4A_13</vt:lpwstr>
  </property>
  <property fmtid="{D5CDD505-2E9C-101B-9397-08002B2CF9AE}" pid="4" name="KSOTemplateDocerSaveRecord">
    <vt:lpwstr>eyJoZGlkIjoiYzZjNTVjM2JhNDJlNzU0ZmJlMjc5ZGY0MDRkMjE4MGMiLCJ1c2VySWQiOiIzMTYzMDE1In0=</vt:lpwstr>
  </property>
</Properties>
</file>