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jc w:val="center"/>
        <w:rPr>
          <w:rFonts w:ascii="宋体" w:hAnsi="宋体"/>
          <w:b/>
          <w:i/>
          <w:iCs/>
          <w:color w:val="000000"/>
          <w:sz w:val="36"/>
          <w:szCs w:val="36"/>
        </w:rPr>
      </w:pPr>
      <w:r>
        <w:rPr>
          <w:rFonts w:hint="eastAsia" w:ascii="宋体" w:hAnsi="宋体"/>
          <w:b/>
          <w:color w:val="000000"/>
          <w:sz w:val="36"/>
          <w:szCs w:val="36"/>
          <w:lang w:eastAsia="zh-CN"/>
        </w:rPr>
        <w:t>福彩中心</w:t>
      </w:r>
      <w:r>
        <w:rPr>
          <w:rFonts w:hint="eastAsia" w:ascii="宋体" w:hAnsi="宋体"/>
          <w:b/>
          <w:color w:val="000000"/>
          <w:sz w:val="36"/>
          <w:szCs w:val="36"/>
        </w:rPr>
        <w:t>（服务类）项目采购需求</w:t>
      </w:r>
    </w:p>
    <w:p>
      <w:pPr>
        <w:autoSpaceDE w:val="0"/>
        <w:autoSpaceDN w:val="0"/>
        <w:adjustRightInd w:val="0"/>
        <w:jc w:val="center"/>
        <w:rPr>
          <w:rFonts w:ascii="宋体" w:hAnsi="宋体"/>
          <w:b/>
          <w:color w:val="000000"/>
          <w:sz w:val="36"/>
          <w:szCs w:val="36"/>
        </w:rPr>
      </w:pPr>
    </w:p>
    <w:p>
      <w:pPr>
        <w:numPr>
          <w:ilvl w:val="0"/>
          <w:numId w:val="1"/>
        </w:numPr>
        <w:autoSpaceDE w:val="0"/>
        <w:autoSpaceDN w:val="0"/>
        <w:adjustRightInd w:val="0"/>
        <w:spacing w:line="360" w:lineRule="auto"/>
        <w:rPr>
          <w:rFonts w:hint="eastAsia" w:ascii="宋体" w:hAnsi="Arial" w:cs="宋体"/>
          <w:color w:val="000000"/>
          <w:kern w:val="0"/>
          <w:sz w:val="32"/>
          <w:szCs w:val="32"/>
          <w:u w:val="single"/>
          <w:lang w:val="en-US" w:eastAsia="zh-CN"/>
        </w:rPr>
      </w:pPr>
      <w:r>
        <w:rPr>
          <w:rFonts w:hint="eastAsia" w:ascii="宋体" w:hAnsi="宋体"/>
          <w:b/>
          <w:color w:val="000000"/>
          <w:sz w:val="32"/>
          <w:szCs w:val="32"/>
        </w:rPr>
        <w:t>项目名称</w:t>
      </w:r>
      <w:r>
        <w:rPr>
          <w:rFonts w:hint="eastAsia" w:ascii="宋体" w:hAnsi="宋体"/>
          <w:b/>
          <w:color w:val="000000"/>
          <w:sz w:val="32"/>
          <w:szCs w:val="32"/>
          <w:lang w:eastAsia="zh-CN"/>
        </w:rPr>
        <w:t>：</w:t>
      </w:r>
      <w:r>
        <w:rPr>
          <w:rFonts w:hint="eastAsia" w:ascii="宋体" w:hAnsi="Arial" w:cs="宋体"/>
          <w:color w:val="000000"/>
          <w:kern w:val="0"/>
          <w:sz w:val="32"/>
          <w:szCs w:val="32"/>
          <w:u w:val="single"/>
          <w:lang w:val="en-US" w:eastAsia="zh-CN"/>
        </w:rPr>
        <w:t xml:space="preserve"> 电脑票投注单。</w:t>
      </w:r>
    </w:p>
    <w:p>
      <w:pPr>
        <w:numPr>
          <w:ilvl w:val="0"/>
          <w:numId w:val="1"/>
        </w:numPr>
        <w:autoSpaceDE w:val="0"/>
        <w:autoSpaceDN w:val="0"/>
        <w:adjustRightInd w:val="0"/>
        <w:spacing w:line="360" w:lineRule="auto"/>
        <w:rPr>
          <w:rFonts w:ascii="宋体" w:hAnsi="Arial" w:cs="宋体"/>
          <w:color w:val="000000"/>
          <w:kern w:val="0"/>
          <w:sz w:val="32"/>
          <w:szCs w:val="32"/>
        </w:rPr>
      </w:pPr>
      <w:r>
        <w:rPr>
          <w:rFonts w:hint="eastAsia" w:ascii="宋体" w:hAnsi="宋体"/>
          <w:b/>
          <w:color w:val="000000"/>
          <w:sz w:val="32"/>
          <w:szCs w:val="32"/>
        </w:rPr>
        <w:t>项目预算</w:t>
      </w:r>
      <w:r>
        <w:rPr>
          <w:rFonts w:hint="eastAsia" w:ascii="宋体" w:hAnsi="宋体"/>
          <w:b/>
          <w:color w:val="000000"/>
          <w:sz w:val="32"/>
          <w:szCs w:val="32"/>
          <w:lang w:eastAsia="zh-CN"/>
        </w:rPr>
        <w:t>：</w:t>
      </w:r>
      <w:r>
        <w:rPr>
          <w:rFonts w:hint="eastAsia" w:ascii="宋体" w:hAnsi="Arial" w:cs="宋体"/>
          <w:color w:val="000000"/>
          <w:kern w:val="0"/>
          <w:sz w:val="32"/>
          <w:szCs w:val="32"/>
          <w:u w:val="single"/>
          <w:lang w:val="en-US" w:eastAsia="zh-CN"/>
        </w:rPr>
        <w:t xml:space="preserve">   1.3   </w:t>
      </w:r>
      <w:r>
        <w:rPr>
          <w:rFonts w:hint="eastAsia" w:ascii="宋体" w:hAnsi="Arial" w:cs="宋体"/>
          <w:color w:val="000000"/>
          <w:kern w:val="0"/>
          <w:sz w:val="32"/>
          <w:szCs w:val="32"/>
        </w:rPr>
        <w:t>万</w:t>
      </w:r>
      <w:r>
        <w:rPr>
          <w:rFonts w:hint="eastAsia" w:ascii="宋体" w:hAnsi="Arial" w:cs="宋体"/>
          <w:color w:val="000000"/>
          <w:kern w:val="0"/>
          <w:sz w:val="32"/>
          <w:szCs w:val="32"/>
          <w:lang w:eastAsia="zh-CN"/>
        </w:rPr>
        <w:t>元。</w:t>
      </w: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三</w:t>
      </w:r>
      <w:r>
        <w:rPr>
          <w:rFonts w:ascii="宋体" w:hAnsi="宋体"/>
          <w:b/>
          <w:color w:val="000000"/>
          <w:sz w:val="32"/>
          <w:szCs w:val="32"/>
        </w:rPr>
        <w:t>、</w:t>
      </w:r>
      <w:r>
        <w:rPr>
          <w:rFonts w:hint="eastAsia" w:ascii="宋体" w:hAnsi="宋体"/>
          <w:b/>
          <w:color w:val="000000"/>
          <w:sz w:val="32"/>
          <w:szCs w:val="32"/>
        </w:rPr>
        <w:t>供应商资格要求：</w:t>
      </w:r>
    </w:p>
    <w:p>
      <w:pPr>
        <w:keepNext w:val="0"/>
        <w:keepLines w:val="0"/>
        <w:pageBreakBefore w:val="0"/>
        <w:kinsoku/>
        <w:wordWrap/>
        <w:overflowPunct/>
        <w:topLinePunct w:val="0"/>
        <w:autoSpaceDE w:val="0"/>
        <w:autoSpaceDN w:val="0"/>
        <w:bidi w:val="0"/>
        <w:adjustRightInd w:val="0"/>
        <w:snapToGrid/>
        <w:spacing w:line="560" w:lineRule="exact"/>
        <w:ind w:right="0" w:rightChars="0"/>
        <w:textAlignment w:val="auto"/>
        <w:outlineLvl w:val="9"/>
        <w:rPr>
          <w:rFonts w:hint="eastAsia" w:ascii="方正仿宋_GBK" w:hAnsi="方正仿宋_GBK" w:eastAsia="方正仿宋_GBK" w:cs="方正仿宋_GBK"/>
          <w:b w:val="0"/>
          <w:bCs w:val="0"/>
          <w:i w:val="0"/>
          <w:iCs w:val="0"/>
          <w:color w:val="000000"/>
          <w:kern w:val="0"/>
          <w:sz w:val="32"/>
          <w:szCs w:val="32"/>
        </w:rPr>
      </w:pPr>
      <w:r>
        <w:rPr>
          <w:rFonts w:hint="eastAsia" w:ascii="方正仿宋_GBK" w:hAnsi="方正仿宋_GBK" w:eastAsia="方正仿宋_GBK" w:cs="方正仿宋_GBK"/>
          <w:b w:val="0"/>
          <w:bCs w:val="0"/>
          <w:i w:val="0"/>
          <w:iCs w:val="0"/>
          <w:color w:val="000000"/>
          <w:kern w:val="0"/>
          <w:sz w:val="32"/>
          <w:szCs w:val="32"/>
          <w:lang w:val="en-US" w:eastAsia="zh-CN"/>
        </w:rPr>
        <w:t>1.</w:t>
      </w:r>
      <w:r>
        <w:rPr>
          <w:rFonts w:hint="eastAsia" w:ascii="方正仿宋_GBK" w:hAnsi="方正仿宋_GBK" w:eastAsia="方正仿宋_GBK" w:cs="方正仿宋_GBK"/>
          <w:b w:val="0"/>
          <w:bCs w:val="0"/>
          <w:i w:val="0"/>
          <w:iCs w:val="0"/>
          <w:color w:val="000000"/>
          <w:kern w:val="0"/>
          <w:sz w:val="32"/>
          <w:szCs w:val="32"/>
        </w:rPr>
        <w:t>具有独立法人资格及相应经营范围</w:t>
      </w:r>
      <w:r>
        <w:rPr>
          <w:rFonts w:hint="eastAsia" w:ascii="方正仿宋_GBK" w:hAnsi="方正仿宋_GBK" w:eastAsia="方正仿宋_GBK" w:cs="方正仿宋_GBK"/>
          <w:b w:val="0"/>
          <w:bCs w:val="0"/>
          <w:i w:val="0"/>
          <w:iCs w:val="0"/>
          <w:color w:val="000000"/>
          <w:kern w:val="0"/>
          <w:sz w:val="32"/>
          <w:szCs w:val="32"/>
          <w:lang w:eastAsia="zh-CN"/>
        </w:rPr>
        <w:t>；</w:t>
      </w:r>
    </w:p>
    <w:p>
      <w:pPr>
        <w:pStyle w:val="21"/>
        <w:keepNext w:val="0"/>
        <w:keepLines w:val="0"/>
        <w:pageBreakBefore w:val="0"/>
        <w:widowControl/>
        <w:numPr>
          <w:ilvl w:val="0"/>
          <w:numId w:val="0"/>
        </w:numPr>
        <w:shd w:val="clear" w:color="auto" w:fill="FFFFFF"/>
        <w:kinsoku/>
        <w:wordWrap/>
        <w:overflowPunct/>
        <w:topLinePunct w:val="0"/>
        <w:bidi w:val="0"/>
        <w:snapToGrid/>
        <w:spacing w:line="5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i w:val="0"/>
          <w:iCs w:val="0"/>
          <w:color w:val="000000"/>
          <w:kern w:val="0"/>
          <w:sz w:val="32"/>
          <w:szCs w:val="32"/>
        </w:rPr>
      </w:pPr>
      <w:r>
        <w:rPr>
          <w:rFonts w:hint="eastAsia" w:ascii="方正仿宋_GBK" w:hAnsi="方正仿宋_GBK" w:eastAsia="方正仿宋_GBK" w:cs="方正仿宋_GBK"/>
          <w:b w:val="0"/>
          <w:bCs w:val="0"/>
          <w:i w:val="0"/>
          <w:iCs w:val="0"/>
          <w:color w:val="000000"/>
          <w:kern w:val="0"/>
          <w:sz w:val="32"/>
          <w:szCs w:val="32"/>
          <w:lang w:val="en-US" w:eastAsia="zh-CN"/>
        </w:rPr>
        <w:t>2.</w:t>
      </w:r>
      <w:r>
        <w:rPr>
          <w:rFonts w:hint="eastAsia" w:ascii="方正仿宋_GBK" w:hAnsi="方正仿宋_GBK" w:eastAsia="方正仿宋_GBK" w:cs="方正仿宋_GBK"/>
          <w:b w:val="0"/>
          <w:bCs w:val="0"/>
          <w:i w:val="0"/>
          <w:iCs w:val="0"/>
          <w:color w:val="000000"/>
          <w:kern w:val="0"/>
          <w:sz w:val="32"/>
          <w:szCs w:val="32"/>
        </w:rPr>
        <w:t>具有国家或有关政府部门颁发的资质证明文件</w:t>
      </w:r>
      <w:r>
        <w:rPr>
          <w:rFonts w:hint="eastAsia" w:ascii="方正仿宋_GBK" w:hAnsi="方正仿宋_GBK" w:eastAsia="方正仿宋_GBK" w:cs="方正仿宋_GBK"/>
          <w:b w:val="0"/>
          <w:bCs w:val="0"/>
          <w:i w:val="0"/>
          <w:iCs w:val="0"/>
          <w:color w:val="000000"/>
          <w:kern w:val="0"/>
          <w:sz w:val="32"/>
          <w:szCs w:val="32"/>
          <w:lang w:eastAsia="zh-CN"/>
        </w:rPr>
        <w:t>；</w:t>
      </w:r>
    </w:p>
    <w:p>
      <w:pPr>
        <w:pStyle w:val="21"/>
        <w:keepNext w:val="0"/>
        <w:keepLines w:val="0"/>
        <w:pageBreakBefore w:val="0"/>
        <w:widowControl/>
        <w:numPr>
          <w:ilvl w:val="0"/>
          <w:numId w:val="0"/>
        </w:numPr>
        <w:shd w:val="clear" w:color="auto" w:fill="FFFFFF"/>
        <w:kinsoku/>
        <w:wordWrap/>
        <w:overflowPunct/>
        <w:topLinePunct w:val="0"/>
        <w:bidi w:val="0"/>
        <w:snapToGrid/>
        <w:spacing w:line="5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i w:val="0"/>
          <w:iCs w:val="0"/>
          <w:color w:val="000000"/>
          <w:kern w:val="0"/>
          <w:sz w:val="32"/>
          <w:szCs w:val="32"/>
        </w:rPr>
      </w:pPr>
      <w:r>
        <w:rPr>
          <w:rFonts w:hint="eastAsia" w:ascii="方正仿宋_GBK" w:hAnsi="方正仿宋_GBK" w:eastAsia="方正仿宋_GBK" w:cs="方正仿宋_GBK"/>
          <w:b w:val="0"/>
          <w:bCs w:val="0"/>
          <w:i w:val="0"/>
          <w:iCs w:val="0"/>
          <w:color w:val="000000"/>
          <w:kern w:val="0"/>
          <w:sz w:val="32"/>
          <w:szCs w:val="32"/>
          <w:lang w:val="en-US" w:eastAsia="zh-CN"/>
        </w:rPr>
        <w:t>3.</w:t>
      </w:r>
      <w:r>
        <w:rPr>
          <w:rFonts w:hint="eastAsia" w:ascii="方正仿宋_GBK" w:hAnsi="方正仿宋_GBK" w:eastAsia="方正仿宋_GBK" w:cs="方正仿宋_GBK"/>
          <w:b w:val="0"/>
          <w:bCs w:val="0"/>
          <w:i w:val="0"/>
          <w:iCs w:val="0"/>
          <w:color w:val="000000"/>
          <w:kern w:val="0"/>
          <w:sz w:val="32"/>
          <w:szCs w:val="32"/>
        </w:rPr>
        <w:t>具有良好的信誉和相应产品的销售业绩</w:t>
      </w:r>
      <w:r>
        <w:rPr>
          <w:rFonts w:hint="eastAsia" w:ascii="方正仿宋_GBK" w:hAnsi="方正仿宋_GBK" w:eastAsia="方正仿宋_GBK" w:cs="方正仿宋_GBK"/>
          <w:b w:val="0"/>
          <w:bCs w:val="0"/>
          <w:i w:val="0"/>
          <w:iCs w:val="0"/>
          <w:color w:val="000000"/>
          <w:kern w:val="0"/>
          <w:sz w:val="32"/>
          <w:szCs w:val="32"/>
          <w:lang w:eastAsia="zh-CN"/>
        </w:rPr>
        <w:t>；</w:t>
      </w:r>
    </w:p>
    <w:p>
      <w:pPr>
        <w:pStyle w:val="21"/>
        <w:keepNext w:val="0"/>
        <w:keepLines w:val="0"/>
        <w:pageBreakBefore w:val="0"/>
        <w:widowControl/>
        <w:numPr>
          <w:ilvl w:val="0"/>
          <w:numId w:val="0"/>
        </w:numPr>
        <w:shd w:val="clear" w:color="auto" w:fill="FFFFFF"/>
        <w:kinsoku/>
        <w:wordWrap/>
        <w:overflowPunct/>
        <w:topLinePunct w:val="0"/>
        <w:bidi w:val="0"/>
        <w:snapToGrid/>
        <w:spacing w:line="56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i w:val="0"/>
          <w:iCs w:val="0"/>
          <w:color w:val="000000"/>
          <w:kern w:val="0"/>
          <w:sz w:val="32"/>
          <w:szCs w:val="32"/>
        </w:rPr>
      </w:pPr>
      <w:r>
        <w:rPr>
          <w:rFonts w:hint="eastAsia" w:ascii="方正仿宋_GBK" w:hAnsi="方正仿宋_GBK" w:eastAsia="方正仿宋_GBK" w:cs="方正仿宋_GBK"/>
          <w:b w:val="0"/>
          <w:bCs w:val="0"/>
          <w:i w:val="0"/>
          <w:iCs w:val="0"/>
          <w:color w:val="000000"/>
          <w:kern w:val="0"/>
          <w:sz w:val="32"/>
          <w:szCs w:val="32"/>
          <w:lang w:val="en-US" w:eastAsia="zh-CN"/>
        </w:rPr>
        <w:t>4.</w:t>
      </w:r>
      <w:r>
        <w:rPr>
          <w:rFonts w:hint="eastAsia" w:ascii="方正仿宋_GBK" w:hAnsi="方正仿宋_GBK" w:eastAsia="方正仿宋_GBK" w:cs="方正仿宋_GBK"/>
          <w:b w:val="0"/>
          <w:bCs w:val="0"/>
          <w:i w:val="0"/>
          <w:iCs w:val="0"/>
          <w:color w:val="000000"/>
          <w:kern w:val="0"/>
          <w:sz w:val="32"/>
          <w:szCs w:val="32"/>
        </w:rPr>
        <w:t>近三年内，在经营活动中没有重大违法记录</w:t>
      </w:r>
      <w:r>
        <w:rPr>
          <w:rFonts w:hint="eastAsia" w:ascii="方正仿宋_GBK" w:hAnsi="方正仿宋_GBK" w:eastAsia="方正仿宋_GBK" w:cs="方正仿宋_GBK"/>
          <w:b w:val="0"/>
          <w:bCs w:val="0"/>
          <w:i w:val="0"/>
          <w:iCs w:val="0"/>
          <w:color w:val="000000"/>
          <w:kern w:val="0"/>
          <w:sz w:val="32"/>
          <w:szCs w:val="32"/>
          <w:lang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Chars="0" w:right="0" w:rightChars="0" w:firstLine="640"/>
        <w:textAlignment w:val="auto"/>
        <w:outlineLvl w:val="9"/>
        <w:rPr>
          <w:rFonts w:hint="eastAsia" w:ascii="方正黑体_GBK" w:hAnsi="方正黑体_GBK" w:eastAsia="方正黑体_GBK" w:cs="方正黑体_GBK"/>
          <w:b w:val="0"/>
          <w:bCs/>
          <w:color w:val="000000"/>
          <w:sz w:val="32"/>
          <w:szCs w:val="32"/>
        </w:rPr>
      </w:pPr>
      <w:r>
        <w:rPr>
          <w:rFonts w:hint="eastAsia" w:ascii="方正黑体_GBK" w:hAnsi="方正黑体_GBK" w:eastAsia="方正黑体_GBK" w:cs="方正黑体_GBK"/>
          <w:b w:val="0"/>
          <w:bCs/>
          <w:color w:val="000000"/>
          <w:sz w:val="32"/>
          <w:szCs w:val="32"/>
          <w:lang w:val="en-US" w:eastAsia="zh-CN"/>
        </w:rPr>
        <w:t>四、</w:t>
      </w:r>
      <w:r>
        <w:rPr>
          <w:rFonts w:hint="eastAsia" w:ascii="方正黑体_GBK" w:hAnsi="方正黑体_GBK" w:eastAsia="方正黑体_GBK" w:cs="方正黑体_GBK"/>
          <w:b w:val="0"/>
          <w:bCs/>
          <w:color w:val="000000"/>
          <w:sz w:val="32"/>
          <w:szCs w:val="32"/>
        </w:rPr>
        <w:t>技术要求</w:t>
      </w:r>
    </w:p>
    <w:tbl>
      <w:tblPr>
        <w:tblStyle w:val="13"/>
        <w:tblW w:w="86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8"/>
        <w:gridCol w:w="1050"/>
        <w:gridCol w:w="1263"/>
        <w:gridCol w:w="1050"/>
        <w:gridCol w:w="1025"/>
        <w:gridCol w:w="1206"/>
        <w:gridCol w:w="1356"/>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76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 号</w:t>
            </w:r>
          </w:p>
        </w:tc>
        <w:tc>
          <w:tcPr>
            <w:tcW w:w="10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  名</w:t>
            </w:r>
          </w:p>
        </w:tc>
        <w:tc>
          <w:tcPr>
            <w:tcW w:w="126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尺寸规格（mm）</w:t>
            </w:r>
          </w:p>
        </w:tc>
        <w:tc>
          <w:tcPr>
            <w:tcW w:w="10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纸张克数</w:t>
            </w:r>
          </w:p>
        </w:tc>
        <w:tc>
          <w:tcPr>
            <w:tcW w:w="1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油墨质量</w:t>
            </w:r>
          </w:p>
        </w:tc>
        <w:tc>
          <w:tcPr>
            <w:tcW w:w="12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印刷色彩</w:t>
            </w:r>
          </w:p>
        </w:tc>
        <w:tc>
          <w:tcPr>
            <w:tcW w:w="135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  装</w:t>
            </w:r>
          </w:p>
        </w:tc>
        <w:tc>
          <w:tcPr>
            <w:tcW w:w="92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双色球投注单</w:t>
            </w:r>
          </w:p>
        </w:tc>
        <w:tc>
          <w:tcPr>
            <w:tcW w:w="1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82.25*211.8</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80克         金东胶版纸</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UV墨</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正面2色背面单色</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100张扎把        1000张打包    10000张装箱</w:t>
            </w: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r>
    </w:tbl>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双色球</w:t>
      </w:r>
      <w:r>
        <w:rPr>
          <w:rFonts w:hint="eastAsia" w:ascii="方正仿宋_GBK" w:hAnsi="方正仿宋_GBK" w:eastAsia="方正仿宋_GBK" w:cs="方正仿宋_GBK"/>
          <w:sz w:val="32"/>
          <w:szCs w:val="32"/>
        </w:rPr>
        <w:t>投注单：</w:t>
      </w:r>
    </w:p>
    <w:p>
      <w:pPr>
        <w:jc w:val="center"/>
        <w:rPr>
          <w:rFonts w:ascii="仿宋" w:hAnsi="仿宋" w:eastAsia="仿宋"/>
          <w:sz w:val="32"/>
          <w:szCs w:val="32"/>
        </w:rPr>
      </w:pPr>
      <w:r>
        <w:rPr>
          <w:rFonts w:ascii="仿宋" w:hAnsi="仿宋" w:eastAsia="仿宋"/>
          <w:sz w:val="32"/>
          <w:szCs w:val="32"/>
        </w:rPr>
        <w:drawing>
          <wp:inline distT="0" distB="0" distL="114300" distR="114300">
            <wp:extent cx="5274310" cy="3222625"/>
            <wp:effectExtent l="0" t="0" r="2540" b="15875"/>
            <wp:docPr id="2" name="图片 2" descr="\\192.168.0.100\市场部\市场部每个工作人员的工作夹\马斯慧\政府采购\2016\投注单\新疆双色球投注单格式\2.新疆双色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2.168.0.100\市场部\市场部每个工作人员的工作夹\马斯慧\政府采购\2016\投注单\新疆双色球投注单格式\2.新疆双色球.jpg"/>
                    <pic:cNvPicPr>
                      <a:picLocks noChangeAspect="1" noChangeArrowheads="1"/>
                    </pic:cNvPicPr>
                  </pic:nvPicPr>
                  <pic:blipFill>
                    <a:blip r:embed="rId4" cstate="print"/>
                    <a:srcRect/>
                    <a:stretch>
                      <a:fillRect/>
                    </a:stretch>
                  </pic:blipFill>
                  <pic:spPr>
                    <a:xfrm>
                      <a:off x="0" y="0"/>
                      <a:ext cx="5274310" cy="3222625"/>
                    </a:xfrm>
                    <a:prstGeom prst="rect">
                      <a:avLst/>
                    </a:prstGeom>
                    <a:noFill/>
                    <a:ln w="9525">
                      <a:noFill/>
                      <a:miter lim="800000"/>
                      <a:headEnd/>
                      <a:tailEnd/>
                    </a:ln>
                    <a:effectLst/>
                  </pic:spPr>
                </pic:pic>
              </a:graphicData>
            </a:graphic>
          </wp:inline>
        </w:drawing>
      </w:r>
    </w:p>
    <w:p>
      <w:pPr>
        <w:ind w:firstLine="642"/>
        <w:jc w:val="left"/>
      </w:pPr>
      <w:r>
        <w:rPr>
          <w:rFonts w:hint="eastAsia" w:ascii="仿宋" w:hAnsi="仿宋" w:eastAsia="仿宋"/>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p>
    <w:p>
      <w:pPr>
        <w:ind w:firstLine="640"/>
        <w:jc w:val="center"/>
        <w:rPr>
          <w:rFonts w:ascii="宋体" w:hAnsi="宋体" w:eastAsia="宋体" w:cs="宋体"/>
          <w:kern w:val="0"/>
          <w:sz w:val="24"/>
          <w:szCs w:val="24"/>
          <w:lang w:val="en-US" w:eastAsia="zh-CN" w:bidi="ar"/>
        </w:rPr>
      </w:pPr>
      <w:r>
        <w:drawing>
          <wp:inline distT="0" distB="0" distL="114300" distR="114300">
            <wp:extent cx="1909445" cy="5047615"/>
            <wp:effectExtent l="0" t="0" r="1460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909445" cy="5047615"/>
                    </a:xfrm>
                    <a:prstGeom prst="rect">
                      <a:avLst/>
                    </a:prstGeom>
                    <a:noFill/>
                    <a:ln w="9525">
                      <a:noFill/>
                      <a:miter/>
                    </a:ln>
                  </pic:spPr>
                </pic:pic>
              </a:graphicData>
            </a:graphic>
          </wp:inline>
        </w:drawing>
      </w:r>
    </w:p>
    <w:p>
      <w:pPr>
        <w:keepNext w:val="0"/>
        <w:keepLines w:val="0"/>
        <w:widowControl/>
        <w:suppressLineNumbers w:val="0"/>
        <w:jc w:val="center"/>
        <w:rPr>
          <w:rFonts w:ascii="宋体" w:hAnsi="宋体" w:eastAsia="宋体" w:cs="宋体"/>
          <w:kern w:val="0"/>
          <w:sz w:val="24"/>
          <w:szCs w:val="24"/>
          <w:lang w:val="en-US" w:eastAsia="zh-CN" w:bidi="ar"/>
        </w:rPr>
      </w:pPr>
    </w:p>
    <w:p>
      <w:pPr>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（注：双色球背面具体内容以附件为准）</w:t>
      </w: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五</w:t>
      </w:r>
      <w:r>
        <w:rPr>
          <w:rFonts w:ascii="宋体" w:hAnsi="宋体"/>
          <w:b/>
          <w:color w:val="000000"/>
          <w:sz w:val="32"/>
          <w:szCs w:val="32"/>
        </w:rPr>
        <w:t>、</w:t>
      </w:r>
      <w:r>
        <w:rPr>
          <w:rFonts w:hint="eastAsia" w:ascii="宋体" w:hAnsi="宋体"/>
          <w:b/>
          <w:color w:val="000000"/>
          <w:sz w:val="32"/>
          <w:szCs w:val="32"/>
        </w:rPr>
        <w:t>其它</w:t>
      </w:r>
      <w:r>
        <w:rPr>
          <w:rFonts w:ascii="宋体" w:hAnsi="宋体"/>
          <w:b/>
          <w:color w:val="000000"/>
          <w:sz w:val="32"/>
          <w:szCs w:val="32"/>
        </w:rPr>
        <w:t>要求</w:t>
      </w:r>
    </w:p>
    <w:p>
      <w:pPr>
        <w:pStyle w:val="2"/>
        <w:pageBreakBefore w:val="0"/>
        <w:widowControl w:val="0"/>
        <w:numPr>
          <w:ilvl w:val="0"/>
          <w:numId w:val="0"/>
        </w:numPr>
        <w:kinsoku/>
        <w:wordWrap/>
        <w:overflowPunct/>
        <w:topLinePunct w:val="0"/>
        <w:bidi w:val="0"/>
        <w:snapToGrid/>
        <w:spacing w:before="0" w:after="0" w:line="560" w:lineRule="exact"/>
        <w:ind w:right="0" w:rightChars="0"/>
        <w:jc w:val="both"/>
        <w:textAlignment w:val="auto"/>
        <w:rPr>
          <w:rFonts w:hint="eastAsia" w:ascii="方正楷体_GBK" w:hAnsi="方正楷体_GBK" w:eastAsia="方正楷体_GBK" w:cs="方正楷体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（一）包装及配送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供货</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应在产品发运前对其进行满足运输距离、防潮、防震、防锈和防破损装卸等要求包装，以保证产品安全运达</w:t>
      </w:r>
      <w:r>
        <w:rPr>
          <w:rFonts w:hint="eastAsia" w:ascii="方正仿宋_GBK" w:hAnsi="方正仿宋_GBK" w:eastAsia="方正仿宋_GBK" w:cs="方正仿宋_GBK"/>
          <w:color w:val="000000"/>
          <w:sz w:val="32"/>
          <w:szCs w:val="32"/>
          <w:lang w:eastAsia="zh-CN"/>
        </w:rPr>
        <w:t>采购单位</w:t>
      </w:r>
      <w:r>
        <w:rPr>
          <w:rFonts w:hint="eastAsia" w:ascii="方正仿宋_GBK" w:hAnsi="方正仿宋_GBK" w:eastAsia="方正仿宋_GBK" w:cs="方正仿宋_GBK"/>
          <w:color w:val="000000"/>
          <w:sz w:val="32"/>
          <w:szCs w:val="32"/>
        </w:rPr>
        <w:t>指定地点。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外包尺寸不得超过（长*宽*高）</w:t>
      </w:r>
      <w:r>
        <w:rPr>
          <w:rFonts w:hint="eastAsia" w:ascii="方正仿宋_GBK" w:hAnsi="方正仿宋_GBK" w:eastAsia="方正仿宋_GBK" w:cs="方正仿宋_GBK"/>
          <w:color w:val="000000"/>
          <w:sz w:val="32"/>
          <w:szCs w:val="32"/>
          <w:highlight w:val="none"/>
          <w:lang w:val="en-US" w:eastAsia="zh-CN"/>
        </w:rPr>
        <w:t>4</w:t>
      </w:r>
      <w:r>
        <w:rPr>
          <w:rFonts w:hint="eastAsia" w:ascii="方正仿宋_GBK" w:hAnsi="方正仿宋_GBK" w:eastAsia="方正仿宋_GBK" w:cs="方正仿宋_GBK"/>
          <w:color w:val="000000"/>
          <w:sz w:val="32"/>
          <w:szCs w:val="32"/>
          <w:highlight w:val="none"/>
        </w:rPr>
        <w:t>0*</w:t>
      </w:r>
      <w:r>
        <w:rPr>
          <w:rFonts w:hint="eastAsia" w:ascii="方正仿宋_GBK" w:hAnsi="方正仿宋_GBK" w:eastAsia="方正仿宋_GBK" w:cs="方正仿宋_GBK"/>
          <w:color w:val="000000"/>
          <w:sz w:val="32"/>
          <w:szCs w:val="32"/>
          <w:highlight w:val="none"/>
          <w:lang w:val="en-US" w:eastAsia="zh-CN"/>
        </w:rPr>
        <w:t>35</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0cm;五层</w:t>
      </w:r>
      <w:r>
        <w:rPr>
          <w:rFonts w:hint="eastAsia" w:ascii="方正仿宋_GBK" w:hAnsi="方正仿宋_GBK" w:eastAsia="方正仿宋_GBK" w:cs="方正仿宋_GBK"/>
          <w:color w:val="000000"/>
          <w:sz w:val="32"/>
          <w:szCs w:val="32"/>
        </w:rPr>
        <w:t>专用纸箱包装</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供货单位</w:t>
      </w:r>
      <w:r>
        <w:rPr>
          <w:rFonts w:hint="eastAsia" w:ascii="方正仿宋_GBK" w:hAnsi="方正仿宋_GBK" w:eastAsia="方正仿宋_GBK" w:cs="方正仿宋_GBK"/>
          <w:color w:val="000000"/>
          <w:sz w:val="32"/>
          <w:szCs w:val="32"/>
        </w:rPr>
        <w:t>在产品发运手续办理完毕后24小时内或货到</w:t>
      </w:r>
      <w:r>
        <w:rPr>
          <w:rFonts w:hint="eastAsia" w:ascii="方正仿宋_GBK" w:hAnsi="方正仿宋_GBK" w:eastAsia="方正仿宋_GBK" w:cs="方正仿宋_GBK"/>
          <w:color w:val="000000"/>
          <w:sz w:val="32"/>
          <w:szCs w:val="32"/>
          <w:lang w:eastAsia="zh-CN"/>
        </w:rPr>
        <w:t>采购单位</w:t>
      </w:r>
      <w:r>
        <w:rPr>
          <w:rFonts w:hint="eastAsia" w:ascii="方正仿宋_GBK" w:hAnsi="方正仿宋_GBK" w:eastAsia="方正仿宋_GBK" w:cs="方正仿宋_GBK"/>
          <w:color w:val="000000"/>
          <w:sz w:val="32"/>
          <w:szCs w:val="32"/>
        </w:rPr>
        <w:t>48小时前通知</w:t>
      </w:r>
      <w:r>
        <w:rPr>
          <w:rFonts w:hint="eastAsia" w:ascii="方正仿宋_GBK" w:hAnsi="方正仿宋_GBK" w:eastAsia="方正仿宋_GBK" w:cs="方正仿宋_GBK"/>
          <w:color w:val="000000"/>
          <w:sz w:val="32"/>
          <w:szCs w:val="32"/>
          <w:lang w:eastAsia="zh-CN"/>
        </w:rPr>
        <w:t>采购单位</w:t>
      </w:r>
      <w:r>
        <w:rPr>
          <w:rFonts w:hint="eastAsia" w:ascii="方正仿宋_GBK" w:hAnsi="方正仿宋_GBK" w:eastAsia="方正仿宋_GBK" w:cs="方正仿宋_GBK"/>
          <w:color w:val="000000"/>
          <w:sz w:val="32"/>
          <w:szCs w:val="32"/>
        </w:rPr>
        <w:t>，以准备接货。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.产品在交付</w:t>
      </w:r>
      <w:r>
        <w:rPr>
          <w:rFonts w:hint="eastAsia" w:ascii="方正仿宋_GBK" w:hAnsi="方正仿宋_GBK" w:eastAsia="方正仿宋_GBK" w:cs="方正仿宋_GBK"/>
          <w:color w:val="000000"/>
          <w:sz w:val="32"/>
          <w:szCs w:val="32"/>
          <w:lang w:eastAsia="zh-CN"/>
        </w:rPr>
        <w:t>采购单位</w:t>
      </w:r>
      <w:r>
        <w:rPr>
          <w:rFonts w:hint="eastAsia" w:ascii="方正仿宋_GBK" w:hAnsi="方正仿宋_GBK" w:eastAsia="方正仿宋_GBK" w:cs="方正仿宋_GBK"/>
          <w:color w:val="000000"/>
          <w:sz w:val="32"/>
          <w:szCs w:val="32"/>
        </w:rPr>
        <w:t>且经</w:t>
      </w:r>
      <w:r>
        <w:rPr>
          <w:rFonts w:hint="eastAsia" w:ascii="方正仿宋_GBK" w:hAnsi="方正仿宋_GBK" w:eastAsia="方正仿宋_GBK" w:cs="方正仿宋_GBK"/>
          <w:color w:val="000000"/>
          <w:sz w:val="32"/>
          <w:szCs w:val="32"/>
          <w:lang w:eastAsia="zh-CN"/>
        </w:rPr>
        <w:t>采购单位</w:t>
      </w:r>
      <w:r>
        <w:rPr>
          <w:rFonts w:hint="eastAsia" w:ascii="方正仿宋_GBK" w:hAnsi="方正仿宋_GBK" w:eastAsia="方正仿宋_GBK" w:cs="方正仿宋_GBK"/>
          <w:color w:val="000000"/>
          <w:sz w:val="32"/>
          <w:szCs w:val="32"/>
        </w:rPr>
        <w:t>初验合格前发生的风险均由</w:t>
      </w:r>
      <w:r>
        <w:rPr>
          <w:rFonts w:hint="eastAsia" w:ascii="方正仿宋_GBK" w:hAnsi="方正仿宋_GBK" w:eastAsia="方正仿宋_GBK" w:cs="方正仿宋_GBK"/>
          <w:color w:val="000000"/>
          <w:sz w:val="32"/>
          <w:szCs w:val="32"/>
          <w:lang w:eastAsia="zh-CN"/>
        </w:rPr>
        <w:t>供货单位</w:t>
      </w:r>
      <w:r>
        <w:rPr>
          <w:rFonts w:hint="eastAsia" w:ascii="方正仿宋_GBK" w:hAnsi="方正仿宋_GBK" w:eastAsia="方正仿宋_GBK" w:cs="方正仿宋_GBK"/>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.产品在规定的交付期限内由</w:t>
      </w:r>
      <w:r>
        <w:rPr>
          <w:rFonts w:hint="eastAsia" w:ascii="方正仿宋_GBK" w:hAnsi="方正仿宋_GBK" w:eastAsia="方正仿宋_GBK" w:cs="方正仿宋_GBK"/>
          <w:color w:val="000000"/>
          <w:sz w:val="32"/>
          <w:szCs w:val="32"/>
          <w:lang w:eastAsia="zh-CN"/>
        </w:rPr>
        <w:t>供货单位</w:t>
      </w:r>
      <w:r>
        <w:rPr>
          <w:rFonts w:hint="eastAsia" w:ascii="方正仿宋_GBK" w:hAnsi="方正仿宋_GBK" w:eastAsia="方正仿宋_GBK" w:cs="方正仿宋_GBK"/>
          <w:color w:val="000000"/>
          <w:sz w:val="32"/>
          <w:szCs w:val="32"/>
        </w:rPr>
        <w:t>送达</w:t>
      </w:r>
      <w:r>
        <w:rPr>
          <w:rFonts w:hint="eastAsia" w:ascii="方正仿宋_GBK" w:hAnsi="方正仿宋_GBK" w:eastAsia="方正仿宋_GBK" w:cs="方正仿宋_GBK"/>
          <w:color w:val="000000"/>
          <w:sz w:val="32"/>
          <w:szCs w:val="32"/>
          <w:lang w:eastAsia="zh-CN"/>
        </w:rPr>
        <w:t>采购单位</w:t>
      </w:r>
      <w:r>
        <w:rPr>
          <w:rFonts w:hint="eastAsia" w:ascii="方正仿宋_GBK" w:hAnsi="方正仿宋_GBK" w:eastAsia="方正仿宋_GBK" w:cs="方正仿宋_GBK"/>
          <w:color w:val="000000"/>
          <w:sz w:val="32"/>
          <w:szCs w:val="32"/>
        </w:rPr>
        <w:t>指定的地点，并领取</w:t>
      </w:r>
      <w:r>
        <w:rPr>
          <w:rFonts w:hint="eastAsia" w:ascii="方正仿宋_GBK" w:hAnsi="方正仿宋_GBK" w:eastAsia="方正仿宋_GBK" w:cs="方正仿宋_GBK"/>
          <w:color w:val="000000"/>
          <w:sz w:val="32"/>
          <w:szCs w:val="32"/>
          <w:lang w:eastAsia="zh-CN"/>
        </w:rPr>
        <w:t>采购单位</w:t>
      </w:r>
      <w:r>
        <w:rPr>
          <w:rFonts w:hint="eastAsia" w:ascii="方正仿宋_GBK" w:hAnsi="方正仿宋_GBK" w:eastAsia="方正仿宋_GBK" w:cs="方正仿宋_GBK"/>
          <w:color w:val="000000"/>
          <w:sz w:val="32"/>
          <w:szCs w:val="32"/>
        </w:rPr>
        <w:t>核发的验收单视为交付，</w:t>
      </w:r>
      <w:r>
        <w:rPr>
          <w:rFonts w:hint="eastAsia" w:ascii="方正仿宋_GBK" w:hAnsi="方正仿宋_GBK" w:eastAsia="方正仿宋_GBK" w:cs="方正仿宋_GBK"/>
          <w:color w:val="000000"/>
          <w:sz w:val="32"/>
          <w:szCs w:val="32"/>
          <w:lang w:eastAsia="zh-CN"/>
        </w:rPr>
        <w:t>供货单位</w:t>
      </w:r>
      <w:r>
        <w:rPr>
          <w:rFonts w:hint="eastAsia" w:ascii="方正仿宋_GBK" w:hAnsi="方正仿宋_GBK" w:eastAsia="方正仿宋_GBK" w:cs="方正仿宋_GBK"/>
          <w:color w:val="000000"/>
          <w:sz w:val="32"/>
          <w:szCs w:val="32"/>
        </w:rPr>
        <w:t>同时需通知</w:t>
      </w:r>
      <w:r>
        <w:rPr>
          <w:rFonts w:hint="eastAsia" w:ascii="方正仿宋_GBK" w:hAnsi="方正仿宋_GBK" w:eastAsia="方正仿宋_GBK" w:cs="方正仿宋_GBK"/>
          <w:color w:val="000000"/>
          <w:sz w:val="32"/>
          <w:szCs w:val="32"/>
          <w:lang w:eastAsia="zh-CN"/>
        </w:rPr>
        <w:t>采购单位</w:t>
      </w:r>
      <w:r>
        <w:rPr>
          <w:rFonts w:hint="eastAsia" w:ascii="方正仿宋_GBK" w:hAnsi="方正仿宋_GBK" w:eastAsia="方正仿宋_GBK" w:cs="方正仿宋_GBK"/>
          <w:color w:val="000000"/>
          <w:sz w:val="32"/>
          <w:szCs w:val="32"/>
        </w:rPr>
        <w:t>产品已送达。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二</w:t>
      </w:r>
      <w:r>
        <w:rPr>
          <w:rFonts w:hint="eastAsia" w:ascii="方正楷体_GBK" w:hAnsi="方正楷体_GBK" w:eastAsia="方正楷体_GBK" w:cs="方正楷体_GBK"/>
          <w:color w:val="000000"/>
          <w:sz w:val="32"/>
          <w:szCs w:val="32"/>
          <w:lang w:eastAsia="zh-CN"/>
        </w:rPr>
        <w:t>）交货期及交货地点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交货期：签订合同后，采购单位将印制样本电子版发至供货单位，供货单位收到印制样本后，将印制清样3日内送到采购单位，经采购单位对印制清样验收合格后，供货单位须在20个自然日内印制完成，并送货到指定地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2.交货地址：乌鲁木齐市经济技术开发区阳澄湖路225号。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（三）付款方式</w:t>
      </w:r>
    </w:p>
    <w:p>
      <w:pPr>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货物验收合格且验收达标(以自治区福彩中心合同履约验收单为准)后，采购单位在15个工作日内一次性支付100%。在采购单位付款前，供货单位应向采购单位开具等额有效的发票，否则采购单位有权拒绝支付相应款项且不视为采购单位违约。</w:t>
      </w:r>
    </w:p>
    <w:p>
      <w:pPr>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（四）验收工作</w:t>
      </w:r>
    </w:p>
    <w:p>
      <w:pPr>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1.初验内容及达标标准：入库前，甲方对投注单数量、外观、规格尺寸、包装、技术参数(产品说明书)符合采购需求要求，一致性达到100%方能入库。</w:t>
      </w:r>
    </w:p>
    <w:p>
      <w:pPr>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终验内容及达标标准：采取双方现场抽检的方式。由采购单位安排抽检人员对供货单位所供货物按箱随机抽样，按箱抽检比例不少于5%，每箱投注单的抽样比例不少于2‰。印制标准规格及适用机型通过性测试达到100%即为验收合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（五）违约责任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1.双方应按照本合同约定，严格履行各自义务，任何一方违约，都应承担违约责任，给对方造成损失的，应赔偿对方损失。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2.合作期间，任何一方中途退出合作，需提前书面通知对方。经双方协商一致后方可解除本合同。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3.合同履行期内，如供货单位提供的产品与合同标准不相符合的，供货单位在收到采购单位整改通知后3日内未整改达到合同要求的，采购单位有权解除合同并要求供货单位按合同总金额的10%支付违约金。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4.供货单位提供的产品验收后在使用过程中，如发生产品质量问题，采购单位有权要求退货、解除合同、全额退款，并要求供货单位承担合同总价10%的违约金。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5.供货单位未能按时交付物品的，每逾期一日，应按合同总额的5‰支付采购单位违约金；逾期15日以上的，采购单位有权解除合同，供货单位承担合同总价10%的违约金。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6.违约方除承担违约责任外守约方因维护合法权益所支</w:t>
      </w:r>
      <w:bookmarkStart w:id="0" w:name="_GoBack"/>
      <w:bookmarkEnd w:id="0"/>
      <w:r>
        <w:rPr>
          <w:rFonts w:hint="eastAsia" w:ascii="方正仿宋_GBK" w:hAnsi="方正仿宋_GBK" w:eastAsia="方正仿宋_GBK" w:cs="方正仿宋_GBK"/>
          <w:color w:val="000000"/>
          <w:sz w:val="32"/>
          <w:szCs w:val="32"/>
          <w:lang w:val="en-US" w:eastAsia="zh-CN"/>
        </w:rPr>
        <w:t>出的维权费用包括但不限于律师费、诉讼费、保全费、保险费、邮寄费、交通费等一切维权合理支出均由违约方承担。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7.因国家政策变化、实施环境变化、重大技术变化、预算项目调整等情形时，双方应及时以书面形式通知对方，并根据具体的变化情况，协商解决办法。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8.供货单位不按规定签订或者履行合同、出现损害国家利益和社会公共利益情形的，供货单位必须承担由此造成的一切损失（包含但不限于人工成本、社会影响等），采购单位有权追诉供货单位一切法律责任。涉及违法犯罪的，依法移交司法机关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9.供货单位因履约验收不合格，在收到采购单位按照履约验收的整改意见后3日内未整改达到合同要求的，采购单位有权要求供货单位按合同总金额的10 %支付违约金。前述款项采购单位有权从应付供货单位款项中予以扣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10.供货单位怠于向采购单位支付违约金等的，采购单位有权从供货单位的履约保证金或应付供货单位款项中扣除相应金额的款项。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11.未经采购单位事先书面同意，供货单位不得将本合同项下的任何权利或义务转让给任何第三方。否则采购单位有权随时提前终止本合同，并要求供货单位承担合同总价款10%的违约金。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12.供货单位应根据合同约定将支付给采购单位的费用支付至采购单位提供的指定收款公账账户。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（六）合同要求</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i w:val="0"/>
          <w:iCs w:val="0"/>
          <w:color w:val="000000"/>
          <w:kern w:val="0"/>
          <w:sz w:val="32"/>
          <w:szCs w:val="32"/>
          <w:lang w:val="en-US" w:eastAsia="zh-CN" w:bidi="ar-SA"/>
        </w:rPr>
        <w:t>原则上，采购单位在招标相关文件中针对招标项目所提出的各项要求以及供货单位在投标相关文件中提供承诺的增值服务等内容（以下简称“上述内容”），在双方签订的采购合同中均应充分体现并全面履行。如受行业惯例、投标方内部规定或其它因素影响，上述内容无法写入合同的，投标方应在投标时明确告知，并承诺将上述内容作为双方拟签订合同的补充合同，且该补充合同的效力优先于原合同。</w:t>
      </w:r>
    </w:p>
    <w:p>
      <w:pPr>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lang w:val="en-US" w:eastAsia="zh-CN"/>
        </w:rPr>
      </w:pPr>
    </w:p>
    <w:p>
      <w:pPr>
        <w:pageBreakBefore w:val="0"/>
        <w:widowControl w:val="0"/>
        <w:kinsoku/>
        <w:wordWrap/>
        <w:overflowPunct/>
        <w:topLinePunct w:val="0"/>
        <w:bidi w:val="0"/>
        <w:snapToGrid/>
        <w:spacing w:line="560" w:lineRule="exact"/>
        <w:ind w:right="0" w:rightChars="0"/>
        <w:jc w:val="center"/>
        <w:textAlignment w:val="auto"/>
        <w:rPr>
          <w:rFonts w:hint="eastAsia" w:ascii="方正仿宋_GBK" w:hAnsi="方正仿宋_GBK" w:eastAsia="方正仿宋_GBK" w:cs="方正仿宋_GBK"/>
          <w:sz w:val="32"/>
          <w:szCs w:val="32"/>
          <w:lang w:val="en-US" w:eastAsia="zh-CN"/>
        </w:rPr>
      </w:pPr>
    </w:p>
    <w:p>
      <w:pPr>
        <w:pageBreakBefore w:val="0"/>
        <w:widowControl w:val="0"/>
        <w:kinsoku/>
        <w:wordWrap/>
        <w:overflowPunct/>
        <w:topLinePunct w:val="0"/>
        <w:bidi w:val="0"/>
        <w:snapToGrid/>
        <w:spacing w:line="560" w:lineRule="exact"/>
        <w:ind w:right="0" w:right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双色球投注单背面信息</w:t>
      </w:r>
    </w:p>
    <w:p>
      <w:pPr>
        <w:widowControl w:val="0"/>
        <w:numPr>
          <w:ilvl w:val="0"/>
          <w:numId w:val="0"/>
        </w:numPr>
        <w:jc w:val="center"/>
        <w:rPr>
          <w:rFonts w:hint="eastAsia"/>
          <w:b/>
          <w:bCs/>
          <w:color w:val="FF0000"/>
          <w:sz w:val="24"/>
          <w:szCs w:val="24"/>
          <w:lang w:val="en-US" w:eastAsia="zh-CN"/>
        </w:rPr>
      </w:pPr>
    </w:p>
    <w:p>
      <w:pPr>
        <w:widowControl w:val="0"/>
        <w:numPr>
          <w:ilvl w:val="0"/>
          <w:numId w:val="0"/>
        </w:numPr>
        <w:jc w:val="center"/>
        <w:rPr>
          <w:rFonts w:hint="eastAsia"/>
          <w:b/>
          <w:bCs/>
          <w:color w:val="FF0000"/>
          <w:sz w:val="24"/>
          <w:szCs w:val="24"/>
          <w:lang w:val="en-US" w:eastAsia="zh-CN"/>
        </w:rPr>
      </w:pPr>
    </w:p>
    <w:p>
      <w:pPr>
        <w:widowControl w:val="0"/>
        <w:numPr>
          <w:ilvl w:val="0"/>
          <w:numId w:val="0"/>
        </w:numPr>
        <w:jc w:val="center"/>
        <w:rPr>
          <w:rFonts w:hint="eastAsia"/>
          <w:b/>
          <w:bCs/>
          <w:color w:val="FF0000"/>
          <w:sz w:val="24"/>
          <w:szCs w:val="24"/>
          <w:lang w:val="en-US" w:eastAsia="zh-CN"/>
        </w:rPr>
      </w:pPr>
    </w:p>
    <w:p>
      <w:pPr>
        <w:widowControl w:val="0"/>
        <w:numPr>
          <w:ilvl w:val="0"/>
          <w:numId w:val="0"/>
        </w:numPr>
        <w:jc w:val="center"/>
        <w:rPr>
          <w:rFonts w:hint="eastAsia"/>
          <w:b/>
          <w:bCs/>
          <w:color w:val="FF0000"/>
          <w:sz w:val="24"/>
          <w:szCs w:val="24"/>
          <w:lang w:val="en-US" w:eastAsia="zh-CN"/>
        </w:rPr>
      </w:pPr>
      <w:r>
        <w:rPr>
          <w:rFonts w:hint="eastAsia"/>
          <w:b/>
          <w:bCs/>
          <w:color w:val="FF0000"/>
          <w:sz w:val="24"/>
          <w:szCs w:val="24"/>
          <w:lang w:val="en-US" w:eastAsia="zh-CN"/>
        </w:rPr>
        <w:t>中国福利彩票</w:t>
      </w:r>
    </w:p>
    <w:p>
      <w:pPr>
        <w:widowControl w:val="0"/>
        <w:numPr>
          <w:ilvl w:val="0"/>
          <w:numId w:val="0"/>
        </w:numPr>
        <w:jc w:val="center"/>
        <w:rPr>
          <w:rFonts w:hint="eastAsia"/>
          <w:b/>
          <w:bCs/>
          <w:color w:val="FF0000"/>
          <w:sz w:val="24"/>
          <w:szCs w:val="24"/>
          <w:lang w:val="en-US" w:eastAsia="zh-CN"/>
        </w:rPr>
      </w:pPr>
      <w:r>
        <w:rPr>
          <w:rFonts w:hint="eastAsia"/>
          <w:b/>
          <w:bCs/>
          <w:color w:val="FF0000"/>
          <w:sz w:val="24"/>
          <w:szCs w:val="24"/>
          <w:lang w:val="en-US" w:eastAsia="zh-CN"/>
        </w:rPr>
        <w:t>双色球游戏投注单使用说明</w:t>
      </w:r>
    </w:p>
    <w:p>
      <w:pPr>
        <w:widowControl w:val="0"/>
        <w:numPr>
          <w:ilvl w:val="0"/>
          <w:numId w:val="0"/>
        </w:numPr>
        <w:jc w:val="both"/>
        <w:rPr>
          <w:rFonts w:hint="eastAsia"/>
          <w:color w:val="FF000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color w:val="FF0000"/>
          <w:lang w:val="en-US" w:eastAsia="zh-CN"/>
        </w:rPr>
      </w:pPr>
      <w:r>
        <w:rPr>
          <w:rFonts w:hint="eastAsia"/>
          <w:color w:val="FF0000"/>
          <w:lang w:val="en-US" w:eastAsia="zh-CN"/>
        </w:rPr>
        <w:t>投注单正确的填涂方法为：画“|”，不正确的填涂方法为：画“</w:t>
      </w:r>
      <w:r>
        <w:rPr>
          <w:rFonts w:hint="eastAsia" w:ascii="宋体" w:hAnsi="宋体" w:eastAsia="宋体" w:cs="宋体"/>
          <w:color w:val="FF0000"/>
          <w:lang w:val="en-US" w:eastAsia="zh-CN"/>
        </w:rPr>
        <w:t>●</w:t>
      </w:r>
      <w:r>
        <w:rPr>
          <w:rFonts w:hint="eastAsia"/>
          <w:color w:val="FF0000"/>
          <w:lang w:val="en-US" w:eastAsia="zh-CN"/>
        </w:rPr>
        <w:t>”“\”“</w:t>
      </w:r>
      <w:r>
        <w:rPr>
          <w:rFonts w:hint="eastAsia" w:ascii="宋体" w:hAnsi="宋体" w:eastAsia="宋体" w:cs="宋体"/>
          <w:color w:val="FF0000"/>
          <w:lang w:val="en-US" w:eastAsia="zh-CN"/>
        </w:rPr>
        <w:t>○</w:t>
      </w:r>
      <w:r>
        <w:rPr>
          <w:rFonts w:hint="eastAsia"/>
          <w:color w:val="FF0000"/>
          <w:lang w:val="en-US" w:eastAsia="zh-CN"/>
        </w:rPr>
        <w:t>”“</w:t>
      </w:r>
      <w:r>
        <w:rPr>
          <w:rFonts w:hint="default" w:ascii="Arial" w:hAnsi="Arial" w:cs="Arial"/>
          <w:color w:val="FF0000"/>
          <w:lang w:val="en-US" w:eastAsia="zh-CN"/>
        </w:rPr>
        <w:t>×</w:t>
      </w:r>
      <w:r>
        <w:rPr>
          <w:rFonts w:hint="eastAsia"/>
          <w:color w:val="FF0000"/>
          <w:lang w:val="en-US" w:eastAsia="zh-CN"/>
        </w:rPr>
        <w:t>”“</w:t>
      </w:r>
      <w:r>
        <w:rPr>
          <w:rFonts w:hint="default" w:ascii="Arial" w:hAnsi="Arial" w:cs="Arial"/>
          <w:color w:val="FF0000"/>
          <w:lang w:val="en-US" w:eastAsia="zh-CN"/>
        </w:rPr>
        <w:t>√</w:t>
      </w:r>
      <w:r>
        <w:rPr>
          <w:rFonts w:hint="eastAsia"/>
          <w:color w:val="FF0000"/>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color w:val="FF0000"/>
          <w:lang w:val="en-US" w:eastAsia="zh-CN"/>
        </w:rPr>
      </w:pPr>
      <w:r>
        <w:rPr>
          <w:rFonts w:hint="eastAsia"/>
          <w:color w:val="FF0000"/>
          <w:lang w:val="en-US" w:eastAsia="zh-CN"/>
        </w:rPr>
        <w:t>每张投注单共5个投注区，从左至右分别是第一至第五投注区。每区包含红区33个填图框和蓝区16个填图框。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color w:val="FF0000"/>
          <w:lang w:val="en-US" w:eastAsia="zh-CN"/>
        </w:rPr>
      </w:pPr>
      <w:r>
        <w:rPr>
          <w:rFonts w:hint="eastAsia"/>
          <w:color w:val="FF0000"/>
          <w:lang w:val="en-US" w:eastAsia="zh-CN"/>
        </w:rPr>
        <w:t>单式投注：在红区选择6个号码并填涂，在蓝区选择1个号码并填涂。每区只能填写1注号码，一张投注单最多可填5注。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color w:val="FF0000"/>
          <w:highlight w:val="none"/>
          <w:lang w:val="en-US" w:eastAsia="zh-CN"/>
        </w:rPr>
      </w:pPr>
      <w:r>
        <w:rPr>
          <w:rFonts w:hint="eastAsia"/>
          <w:color w:val="FF0000"/>
          <w:lang w:val="en-US" w:eastAsia="zh-CN"/>
        </w:rPr>
        <w:t>复式投注：在第一投注区的红区至少选择6个号码，蓝区至少选择1个号码，且红蓝两区号码数量之和大于等于8个，并将其填涂；同时填涂第一投注区下端的</w:t>
      </w:r>
      <w:r>
        <w:rPr>
          <w:rFonts w:hint="eastAsia"/>
          <w:b/>
          <w:bCs/>
          <w:color w:val="FF0000"/>
          <w:bdr w:val="single" w:color="FF0000" w:sz="4" w:space="0"/>
          <w:lang w:val="en-US" w:eastAsia="zh-CN"/>
        </w:rPr>
        <w:t>复</w:t>
      </w:r>
      <w:r>
        <w:rPr>
          <w:rFonts w:hint="eastAsia"/>
          <w:color w:val="FF0000"/>
          <w:highlight w:val="none"/>
          <w:lang w:val="en-US" w:eastAsia="zh-CN"/>
        </w:rPr>
        <w:t>。当红区选择的号码数量大于6个时填涂红区下端的</w:t>
      </w:r>
      <w:r>
        <w:rPr>
          <w:rFonts w:hint="eastAsia"/>
          <w:b/>
          <w:bCs/>
          <w:color w:val="FF0000"/>
          <w:bdr w:val="single" w:color="FF0000" w:sz="4" w:space="0"/>
          <w:lang w:val="en-US" w:eastAsia="zh-CN"/>
        </w:rPr>
        <w:t>复</w:t>
      </w:r>
      <w:r>
        <w:rPr>
          <w:rFonts w:hint="eastAsia"/>
          <w:color w:val="FF0000"/>
          <w:highlight w:val="none"/>
          <w:lang w:val="en-US" w:eastAsia="zh-CN"/>
        </w:rPr>
        <w:t>，当蓝区选择的号码数量大于等于2个时填涂蓝区下端的</w:t>
      </w:r>
      <w:r>
        <w:rPr>
          <w:rFonts w:hint="eastAsia"/>
          <w:b/>
          <w:bCs/>
          <w:color w:val="FF0000"/>
          <w:bdr w:val="single" w:color="FF0000" w:sz="4" w:space="0"/>
          <w:lang w:val="en-US" w:eastAsia="zh-CN"/>
        </w:rPr>
        <w:t>复</w:t>
      </w:r>
      <w:r>
        <w:rPr>
          <w:rFonts w:hint="eastAsia"/>
          <w:color w:val="FF0000"/>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color w:val="FF0000"/>
          <w:highlight w:val="none"/>
          <w:lang w:val="en-US" w:eastAsia="zh-CN"/>
        </w:rPr>
      </w:pPr>
      <w:r>
        <w:rPr>
          <w:rFonts w:hint="eastAsia"/>
          <w:color w:val="FF0000"/>
          <w:highlight w:val="none"/>
          <w:lang w:val="en-US" w:eastAsia="zh-CN"/>
        </w:rPr>
        <w:t>胆拖投注：在第二投注区的红区填涂1-5个号码，同时填涂下端的</w:t>
      </w:r>
      <w:r>
        <w:rPr>
          <w:rFonts w:hint="eastAsia"/>
          <w:b/>
          <w:bCs/>
          <w:color w:val="FF0000"/>
          <w:bdr w:val="single" w:color="FF0000" w:sz="4" w:space="0"/>
          <w:lang w:val="en-US" w:eastAsia="zh-CN"/>
        </w:rPr>
        <w:t>胆</w:t>
      </w:r>
      <w:r>
        <w:rPr>
          <w:rFonts w:hint="eastAsia"/>
          <w:color w:val="FF0000"/>
          <w:highlight w:val="none"/>
          <w:lang w:val="en-US" w:eastAsia="zh-CN"/>
        </w:rPr>
        <w:t>，在第三投注区的红区填涂剩余的号码，同时填涂下端的</w:t>
      </w:r>
      <w:r>
        <w:rPr>
          <w:rFonts w:hint="eastAsia"/>
          <w:b/>
          <w:bCs/>
          <w:color w:val="FF0000"/>
          <w:bdr w:val="single" w:color="FF0000" w:sz="4" w:space="0"/>
          <w:lang w:val="en-US" w:eastAsia="zh-CN"/>
        </w:rPr>
        <w:t>拖</w:t>
      </w:r>
      <w:r>
        <w:rPr>
          <w:rFonts w:hint="eastAsia"/>
          <w:color w:val="FF0000"/>
          <w:highlight w:val="none"/>
          <w:lang w:val="en-US" w:eastAsia="zh-CN"/>
        </w:rPr>
        <w:t>。注意：胆码和拖码不能重复。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color w:val="FF0000"/>
          <w:highlight w:val="none"/>
          <w:lang w:val="en-US" w:eastAsia="zh-CN"/>
        </w:rPr>
      </w:pPr>
      <w:r>
        <w:rPr>
          <w:rFonts w:hint="eastAsia"/>
          <w:color w:val="FF0000"/>
          <w:highlight w:val="none"/>
          <w:lang w:val="en-US" w:eastAsia="zh-CN"/>
        </w:rPr>
        <w:t>多倍投注：填写完投注号码后将投注单右端要选择的倍数框和“倍”字样填涂。每张投注单最多只能投注99倍（可将投注单右侧标识的不同倍数标准根据需要相加即可）。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color w:val="FF0000"/>
          <w:lang w:val="en-US" w:eastAsia="zh-CN"/>
        </w:rPr>
      </w:pPr>
      <w:r>
        <w:rPr>
          <w:rFonts w:hint="eastAsia"/>
          <w:color w:val="FF0000"/>
          <w:lang w:val="en-US" w:eastAsia="zh-CN"/>
        </w:rPr>
        <w:t>投注号码的作废：由于某种原因填错号码时可以将投注区下端的“废”填涂，这样该注号码投注无效。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color w:val="FF0000"/>
          <w:lang w:val="en-US" w:eastAsia="zh-CN"/>
        </w:rPr>
      </w:pPr>
      <w:r>
        <w:rPr>
          <w:rFonts w:hint="eastAsia"/>
          <w:color w:val="FF0000"/>
          <w:lang w:val="en-US" w:eastAsia="zh-CN"/>
        </w:rPr>
        <w:t>兑奖期限为开奖之日起60个自然日内。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color w:val="FF0000"/>
          <w:lang w:val="en-US" w:eastAsia="zh-CN"/>
        </w:rPr>
      </w:pPr>
      <w:r>
        <w:rPr>
          <w:rFonts w:hint="eastAsia"/>
          <w:color w:val="FF0000"/>
          <w:lang w:val="en-US" w:eastAsia="zh-CN"/>
        </w:rPr>
        <w:t>9.热线咨询电话：0991-3075655。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color w:val="FF000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rPr>
      </w:pPr>
      <w:r>
        <w:rPr>
          <w:rFonts w:hint="eastAsia"/>
          <w:color w:val="FF0000"/>
          <w:lang w:val="en-US" w:eastAsia="zh-CN"/>
        </w:rPr>
        <w:t>新疆维吾尔自治区福利彩票发行中心</w:t>
      </w:r>
      <w:r>
        <w:rPr>
          <w:rFonts w:hint="eastAsia" w:ascii="仿宋" w:hAnsi="仿宋" w:eastAsia="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lang w:val="en-US" w:eastAsia="zh-CN"/>
        </w:rPr>
      </w:pPr>
    </w:p>
    <w:p>
      <w:pPr>
        <w:autoSpaceDE w:val="0"/>
        <w:autoSpaceDN w:val="0"/>
        <w:adjustRightInd w:val="0"/>
        <w:spacing w:line="360" w:lineRule="auto"/>
        <w:rPr>
          <w:rFonts w:ascii="宋体" w:hAnsi="宋体"/>
          <w:b/>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4377795">
    <w:nsid w:val="620336C3"/>
    <w:multiLevelType w:val="singleLevel"/>
    <w:tmpl w:val="620336C3"/>
    <w:lvl w:ilvl="0" w:tentative="1">
      <w:start w:val="1"/>
      <w:numFmt w:val="chineseCounting"/>
      <w:suff w:val="nothing"/>
      <w:lvlText w:val="%1、"/>
      <w:lvlJc w:val="left"/>
    </w:lvl>
  </w:abstractNum>
  <w:abstractNum w:abstractNumId="1585108210">
    <w:nsid w:val="5E7AD4F2"/>
    <w:multiLevelType w:val="singleLevel"/>
    <w:tmpl w:val="5E7AD4F2"/>
    <w:lvl w:ilvl="0" w:tentative="1">
      <w:start w:val="1"/>
      <w:numFmt w:val="decimal"/>
      <w:suff w:val="nothing"/>
      <w:lvlText w:val="%1."/>
      <w:lvlJc w:val="left"/>
    </w:lvl>
  </w:abstractNum>
  <w:num w:numId="1">
    <w:abstractNumId w:val="1644377795"/>
  </w:num>
  <w:num w:numId="2">
    <w:abstractNumId w:val="15851082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8B"/>
    <w:rsid w:val="0007445E"/>
    <w:rsid w:val="000D7E38"/>
    <w:rsid w:val="0010468B"/>
    <w:rsid w:val="00105C6B"/>
    <w:rsid w:val="001C52C5"/>
    <w:rsid w:val="001E20D9"/>
    <w:rsid w:val="002413F5"/>
    <w:rsid w:val="00276B55"/>
    <w:rsid w:val="002C424F"/>
    <w:rsid w:val="002D4620"/>
    <w:rsid w:val="003012D7"/>
    <w:rsid w:val="00360287"/>
    <w:rsid w:val="003C27F1"/>
    <w:rsid w:val="00455AB0"/>
    <w:rsid w:val="00543BEE"/>
    <w:rsid w:val="0056281B"/>
    <w:rsid w:val="00633FF2"/>
    <w:rsid w:val="006F4982"/>
    <w:rsid w:val="008D7672"/>
    <w:rsid w:val="00903F82"/>
    <w:rsid w:val="00925F3E"/>
    <w:rsid w:val="00965EDF"/>
    <w:rsid w:val="00986F73"/>
    <w:rsid w:val="00A10D64"/>
    <w:rsid w:val="00AB436E"/>
    <w:rsid w:val="00AE25CC"/>
    <w:rsid w:val="00AF5386"/>
    <w:rsid w:val="00B44D84"/>
    <w:rsid w:val="00BB41EC"/>
    <w:rsid w:val="00BC168D"/>
    <w:rsid w:val="00C153E0"/>
    <w:rsid w:val="00C3789B"/>
    <w:rsid w:val="00CC11D1"/>
    <w:rsid w:val="00CC1BA6"/>
    <w:rsid w:val="00CC75F0"/>
    <w:rsid w:val="00D01EC7"/>
    <w:rsid w:val="00DC0F27"/>
    <w:rsid w:val="00DF29B4"/>
    <w:rsid w:val="00DF7F2E"/>
    <w:rsid w:val="00E8110C"/>
    <w:rsid w:val="00F9782A"/>
    <w:rsid w:val="00FE0DF7"/>
    <w:rsid w:val="00FE4958"/>
    <w:rsid w:val="00FF6F13"/>
    <w:rsid w:val="04831DF5"/>
    <w:rsid w:val="04E66286"/>
    <w:rsid w:val="050B2FD3"/>
    <w:rsid w:val="06091ED6"/>
    <w:rsid w:val="085C2446"/>
    <w:rsid w:val="08903B99"/>
    <w:rsid w:val="089349F7"/>
    <w:rsid w:val="0997694A"/>
    <w:rsid w:val="10942FBF"/>
    <w:rsid w:val="10FF77BF"/>
    <w:rsid w:val="11663318"/>
    <w:rsid w:val="124B0112"/>
    <w:rsid w:val="142A5125"/>
    <w:rsid w:val="14FF6402"/>
    <w:rsid w:val="161426C7"/>
    <w:rsid w:val="16936818"/>
    <w:rsid w:val="18A62A00"/>
    <w:rsid w:val="18D23837"/>
    <w:rsid w:val="1A626877"/>
    <w:rsid w:val="1E19756E"/>
    <w:rsid w:val="1E307194"/>
    <w:rsid w:val="215F4DCD"/>
    <w:rsid w:val="220757A7"/>
    <w:rsid w:val="22467649"/>
    <w:rsid w:val="23AC2413"/>
    <w:rsid w:val="2535617E"/>
    <w:rsid w:val="26850942"/>
    <w:rsid w:val="2B3E27FF"/>
    <w:rsid w:val="2BE04587"/>
    <w:rsid w:val="2E4E3407"/>
    <w:rsid w:val="2EFE7D27"/>
    <w:rsid w:val="30F2145C"/>
    <w:rsid w:val="38203D22"/>
    <w:rsid w:val="3CE04670"/>
    <w:rsid w:val="3EDC31B1"/>
    <w:rsid w:val="402C3DD7"/>
    <w:rsid w:val="459C79C1"/>
    <w:rsid w:val="46012F69"/>
    <w:rsid w:val="49FC6FF1"/>
    <w:rsid w:val="4CC0557B"/>
    <w:rsid w:val="4CFE5060"/>
    <w:rsid w:val="4F47041D"/>
    <w:rsid w:val="50E97291"/>
    <w:rsid w:val="56553E33"/>
    <w:rsid w:val="56FF0A48"/>
    <w:rsid w:val="57222A55"/>
    <w:rsid w:val="58D802CE"/>
    <w:rsid w:val="5A226FEB"/>
    <w:rsid w:val="5B88343B"/>
    <w:rsid w:val="5F042CE8"/>
    <w:rsid w:val="5F3C34CB"/>
    <w:rsid w:val="62700E0F"/>
    <w:rsid w:val="630E1F93"/>
    <w:rsid w:val="63577E08"/>
    <w:rsid w:val="663F0B50"/>
    <w:rsid w:val="6670389E"/>
    <w:rsid w:val="68814582"/>
    <w:rsid w:val="6AAD3B56"/>
    <w:rsid w:val="6D480215"/>
    <w:rsid w:val="6D7256A0"/>
    <w:rsid w:val="73563E5F"/>
    <w:rsid w:val="77F67FDD"/>
    <w:rsid w:val="79027215"/>
    <w:rsid w:val="7BE63AD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4"/>
    <w:basedOn w:val="1"/>
    <w:next w:val="1"/>
    <w:link w:val="15"/>
    <w:qFormat/>
    <w:uiPriority w:val="99"/>
    <w:pPr>
      <w:keepNext/>
      <w:keepLines/>
      <w:spacing w:before="280" w:after="290" w:line="376" w:lineRule="auto"/>
      <w:outlineLvl w:val="3"/>
    </w:pPr>
    <w:rPr>
      <w:rFonts w:ascii="Arial" w:hAnsi="Arial" w:eastAsia="黑体" w:cs="Arial"/>
      <w:b/>
      <w:bCs/>
      <w:sz w:val="28"/>
      <w:szCs w:val="28"/>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20"/>
    <w:qFormat/>
    <w:uiPriority w:val="0"/>
    <w:pPr>
      <w:ind w:firstLine="420" w:firstLineChars="200"/>
    </w:pPr>
    <w:rPr>
      <w:szCs w:val="20"/>
    </w:rPr>
  </w:style>
  <w:style w:type="paragraph" w:styleId="5">
    <w:name w:val="Body Text"/>
    <w:basedOn w:val="1"/>
    <w:link w:val="16"/>
    <w:qFormat/>
    <w:uiPriority w:val="99"/>
    <w:pPr>
      <w:spacing w:after="120"/>
    </w:pPr>
  </w:style>
  <w:style w:type="paragraph" w:styleId="6">
    <w:name w:val="Body Text Indent"/>
    <w:basedOn w:val="1"/>
    <w:link w:val="22"/>
    <w:qFormat/>
    <w:uiPriority w:val="99"/>
    <w:pPr>
      <w:spacing w:after="120"/>
      <w:ind w:left="420" w:leftChars="200"/>
    </w:pPr>
  </w:style>
  <w:style w:type="paragraph" w:styleId="7">
    <w:name w:val="Plain Text"/>
    <w:basedOn w:val="1"/>
    <w:link w:val="18"/>
    <w:qFormat/>
    <w:uiPriority w:val="99"/>
    <w:rPr>
      <w:rFonts w:ascii="宋体" w:hAnsi="Courier New" w:cs="宋体"/>
    </w:rPr>
  </w:style>
  <w:style w:type="paragraph" w:styleId="8">
    <w:name w:val="Date"/>
    <w:basedOn w:val="1"/>
    <w:next w:val="1"/>
    <w:link w:val="17"/>
    <w:qFormat/>
    <w:uiPriority w:val="0"/>
    <w:pPr>
      <w:ind w:left="100" w:leftChars="2500"/>
    </w:p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jc w:val="left"/>
    </w:pPr>
    <w:rPr>
      <w:rFonts w:ascii="Calibri" w:hAnsi="Calibri"/>
      <w:kern w:val="0"/>
      <w:sz w:val="24"/>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5">
    <w:name w:val="标题 4 字符"/>
    <w:basedOn w:val="12"/>
    <w:link w:val="3"/>
    <w:qFormat/>
    <w:uiPriority w:val="9"/>
    <w:rPr>
      <w:rFonts w:ascii="Arial" w:hAnsi="Arial" w:eastAsia="黑体" w:cs="Arial"/>
      <w:b/>
      <w:bCs/>
      <w:sz w:val="28"/>
      <w:szCs w:val="28"/>
    </w:rPr>
  </w:style>
  <w:style w:type="character" w:customStyle="1" w:styleId="16">
    <w:name w:val="正文文本 字符"/>
    <w:basedOn w:val="12"/>
    <w:link w:val="5"/>
    <w:qFormat/>
    <w:uiPriority w:val="99"/>
    <w:rPr>
      <w:rFonts w:ascii="Times New Roman" w:hAnsi="Times New Roman" w:eastAsia="宋体" w:cs="Times New Roman"/>
      <w:szCs w:val="21"/>
    </w:rPr>
  </w:style>
  <w:style w:type="character" w:customStyle="1" w:styleId="17">
    <w:name w:val="日期 字符"/>
    <w:basedOn w:val="12"/>
    <w:link w:val="8"/>
    <w:qFormat/>
    <w:uiPriority w:val="0"/>
    <w:rPr>
      <w:rFonts w:ascii="Times New Roman" w:hAnsi="Times New Roman" w:eastAsia="宋体" w:cs="Times New Roman"/>
      <w:szCs w:val="21"/>
    </w:rPr>
  </w:style>
  <w:style w:type="character" w:customStyle="1" w:styleId="18">
    <w:name w:val="纯文本 字符"/>
    <w:basedOn w:val="12"/>
    <w:link w:val="7"/>
    <w:qFormat/>
    <w:uiPriority w:val="99"/>
    <w:rPr>
      <w:rFonts w:ascii="宋体" w:hAnsi="Courier New" w:eastAsia="宋体" w:cs="宋体"/>
      <w:szCs w:val="21"/>
    </w:rPr>
  </w:style>
  <w:style w:type="paragraph" w:customStyle="1" w:styleId="19">
    <w:name w:val="样式1"/>
    <w:basedOn w:val="1"/>
    <w:qFormat/>
    <w:uiPriority w:val="99"/>
    <w:pPr>
      <w:widowControl/>
      <w:spacing w:line="360" w:lineRule="auto"/>
      <w:ind w:firstLine="480" w:firstLineChars="200"/>
    </w:pPr>
    <w:rPr>
      <w:rFonts w:ascii="宋体" w:hAnsi="宋体" w:cs="宋体"/>
      <w:kern w:val="24"/>
      <w:sz w:val="24"/>
      <w:szCs w:val="24"/>
    </w:rPr>
  </w:style>
  <w:style w:type="character" w:customStyle="1" w:styleId="20">
    <w:name w:val="正文缩进 字符"/>
    <w:link w:val="4"/>
    <w:qFormat/>
    <w:uiPriority w:val="0"/>
    <w:rPr>
      <w:rFonts w:ascii="Times New Roman" w:hAnsi="Times New Roman" w:eastAsia="宋体" w:cs="Times New Roman"/>
      <w:szCs w:val="20"/>
    </w:rPr>
  </w:style>
  <w:style w:type="paragraph" w:customStyle="1" w:styleId="21">
    <w:name w:val="List Paragraph"/>
    <w:basedOn w:val="1"/>
    <w:qFormat/>
    <w:uiPriority w:val="34"/>
    <w:pPr>
      <w:ind w:firstLine="420" w:firstLineChars="200"/>
    </w:pPr>
  </w:style>
  <w:style w:type="character" w:customStyle="1" w:styleId="22">
    <w:name w:val="正文文本缩进 字符"/>
    <w:basedOn w:val="12"/>
    <w:link w:val="6"/>
    <w:qFormat/>
    <w:uiPriority w:val="99"/>
    <w:rPr>
      <w:rFonts w:ascii="Times New Roman" w:hAnsi="Times New Roman" w:eastAsia="宋体" w:cs="Times New Roman"/>
      <w:szCs w:val="21"/>
    </w:rPr>
  </w:style>
  <w:style w:type="character" w:customStyle="1" w:styleId="23">
    <w:name w:val="fontstyle01"/>
    <w:basedOn w:val="12"/>
    <w:qFormat/>
    <w:uiPriority w:val="0"/>
    <w:rPr>
      <w:rFonts w:hint="eastAsia" w:ascii="宋体" w:hAnsi="宋体" w:eastAsia="宋体"/>
      <w:color w:val="000000"/>
      <w:sz w:val="22"/>
      <w:szCs w:val="22"/>
    </w:rPr>
  </w:style>
  <w:style w:type="paragraph" w:customStyle="1" w:styleId="24">
    <w:name w:val="列出段落1"/>
    <w:basedOn w:val="1"/>
    <w:qFormat/>
    <w:uiPriority w:val="0"/>
    <w:pPr>
      <w:ind w:firstLine="420" w:firstLineChars="200"/>
    </w:pPr>
    <w:rPr>
      <w:szCs w:val="24"/>
    </w:rPr>
  </w:style>
  <w:style w:type="character" w:customStyle="1" w:styleId="25">
    <w:name w:val="页眉 字符"/>
    <w:basedOn w:val="12"/>
    <w:link w:val="10"/>
    <w:qFormat/>
    <w:uiPriority w:val="99"/>
    <w:rPr>
      <w:rFonts w:ascii="Times New Roman" w:hAnsi="Times New Roman" w:eastAsia="宋体" w:cs="Times New Roman"/>
      <w:sz w:val="18"/>
      <w:szCs w:val="18"/>
    </w:rPr>
  </w:style>
  <w:style w:type="character" w:customStyle="1" w:styleId="26">
    <w:name w:val="页脚 字符"/>
    <w:basedOn w:val="12"/>
    <w:link w:val="9"/>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342</Characters>
  <Lines>2</Lines>
  <Paragraphs>1</Paragraphs>
  <ScaleCrop>false</ScaleCrop>
  <LinksUpToDate>false</LinksUpToDate>
  <CharactersWithSpaces>401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2019-05-09T01:57:00Z</dcterms:created>
  <dc:creator>sgd</dc:creator>
  <cp:lastModifiedBy>马斯慧</cp:lastModifiedBy>
  <cp:lastPrinted>2022-02-09T04:12:00Z</cp:lastPrinted>
  <dcterms:modified xsi:type="dcterms:W3CDTF">2024-06-24T03:14:23Z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