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警营文化设计制作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采购需求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整体情况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一楼大厅公示栏：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制作面积15㎡，采用局部双层PVC、亚克力双色板、雕刻字、照片盒等进行制作。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（二）一楼走廊文化版面：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设计制作面积3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㎡，采用2厘米PVC、双色板、雕刻字、局部立体造型、照片盒等进行制作。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（三）二楼走廊文化版面：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设计制作面积4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㎡，采用局部双层PVC、双色板、雕刻字、照片盒等进行制作。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（四）三楼走廊文化版面（含党委会议室）：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设计制作面积50㎡，采用2厘米PVC、双色板、雕刻字、局部立体造型、照片盒等进行制作。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（五）荣誉墙：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设计制作面积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35㎡，采用PVC、亚克力、雕刻字、木工造型进行制作，并加装灯光照明。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三楼会议室形象墙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设计制作面积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木龙骨打底、红色铝塑板、不锈钢边条、钛金水晶字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进行制作。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三楼大会议室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背景：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3块绢丝布背景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制作面积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5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设计、制作要求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供应商需根据主题、风格、尺寸等进行设计，制作设计图，并注明色彩搭配、制作材料等要素。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供应商应根据总队需求，对设计稿进行调整完善，确定后方可制作、施工。制作、施工过程中，如有局部内容、样式调整，应及时商议予以调整。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制作材料应符合环保、防火等要求，安装要确保牢固可靠，避免出现安全隐患。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制作安装产品质保2年。</w:t>
      </w:r>
    </w:p>
    <w:p>
      <w:pPr>
        <w:spacing w:line="600" w:lineRule="exact"/>
        <w:ind w:firstLine="645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三、竞价要求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在政采云平台发布竞价需求时，供应商须到实地查看测量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提供全套设计图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方可参与竞价。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供应商随报价单出具原材料检验报告并符合参数，无检测报告或不符合参数，有可能会被作为无效标处理，重新发起竞价流程。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报价含设计、制作、施工、税金等所有费用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主要制作材料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技术参数》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主要制作材料技术参数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</w:t>
            </w: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符合GB 8624-2012标准，燃烧性能符合标准中B2(C)级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亚克力</w:t>
            </w: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拉伸强度≥71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简支梁无缺口冲击强度≥18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维卡软脂温度≥101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总透光率≥92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铝板</w:t>
            </w: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符合GB/T 22412-2016标准要求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外观整洁  非装饰面无影响新产品使用的损伤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装饰面不准许：压痕、印痕、凹凸、鼓泡、划伤等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厚度≥0.12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表面铅笔硬度≥2HB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光泽度偏差≤10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柔韧性≤3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石膏板</w:t>
            </w: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外观质量：符合GB/T 9775-2008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尺寸偏差：长度：-6～0；宽度：-5～0；厚度：±0.5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对角线长度差：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板材应切割成矩形，两对角线长度差应不大于5mm。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面密度：≤9.5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抗冲击性：经冲击后，板材背面应无径向裂纹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绢丝布</w:t>
            </w: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PH值7.4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可分解致癌芳香胺染料：未检出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萃取重金属：未检出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致癌性染料：未检出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防水性能优、没有反射，喷绘图案清晰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质地细腻手感柔软、绘画精度高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不锈钢拉丝</w:t>
            </w: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符合GB/T 187505-2010标准要求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 ≤0.15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Si≤1.00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5.50≤Mn≤7.50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 ≤0.06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 ≤0.030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Cr≤16.00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Ni≥1.00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57A37"/>
    <w:rsid w:val="23BA3A5D"/>
    <w:rsid w:val="282D4452"/>
    <w:rsid w:val="2A257A37"/>
    <w:rsid w:val="476A096A"/>
    <w:rsid w:val="4C7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1001</Words>
  <Characters>1122</Characters>
  <Lines>0</Lines>
  <Paragraphs>0</Paragraphs>
  <TotalTime>10</TotalTime>
  <ScaleCrop>false</ScaleCrop>
  <LinksUpToDate>false</LinksUpToDate>
  <CharactersWithSpaces>1131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2024-09-13T10:34:00Z</dcterms:created>
  <dc:creator>刘文静</dc:creator>
  <cp:lastModifiedBy>刘文静</cp:lastModifiedBy>
  <cp:lastPrinted>2024-09-14T03:26:02Z</cp:lastPrinted>
  <dcterms:modified xsi:type="dcterms:W3CDTF">2024-09-14T05:09:42Z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EB06778BB67C4014B0E00B3FC70BFE22</vt:lpwstr>
  </property>
</Properties>
</file>