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480" w:lineRule="exact"/>
        <w:ind w:firstLine="482" w:firstLineChars="200"/>
        <w:jc w:val="both"/>
        <w:textAlignment w:val="auto"/>
        <w:rPr>
          <w:rFonts w:hint="default" w:ascii="Times New Roman" w:hAnsi="Times New Roman" w:eastAsia="宋体" w:cs="Times New Roman"/>
          <w:color w:val="auto"/>
          <w:sz w:val="24"/>
          <w:szCs w:val="24"/>
          <w:highlight w:val="none"/>
          <w:lang w:val="en-US" w:eastAsia="zh-CN"/>
        </w:rPr>
      </w:pPr>
      <w:r>
        <w:rPr>
          <w:rFonts w:hint="default" w:ascii="Times New Roman" w:hAnsi="Times New Roman" w:eastAsia="宋体" w:cs="Times New Roman"/>
          <w:b/>
          <w:bCs/>
          <w:color w:val="auto"/>
          <w:sz w:val="24"/>
          <w:szCs w:val="24"/>
          <w:highlight w:val="none"/>
          <w:lang w:val="en-US" w:eastAsia="zh-CN"/>
        </w:rPr>
        <w:t>项目总体要求</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jc w:val="both"/>
        <w:textAlignment w:val="auto"/>
        <w:rPr>
          <w:rStyle w:val="6"/>
          <w:rFonts w:hint="default" w:ascii="Times New Roman" w:hAnsi="Times New Roman" w:eastAsia="宋体" w:cs="Times New Roman"/>
          <w:b w:val="0"/>
          <w:bCs w:val="0"/>
          <w:color w:val="auto"/>
          <w:sz w:val="24"/>
          <w:szCs w:val="24"/>
          <w:highlight w:val="none"/>
          <w:lang w:val="en-US" w:eastAsia="zh-CN"/>
        </w:rPr>
      </w:pPr>
      <w:bookmarkStart w:id="0" w:name="_Toc18982"/>
      <w:r>
        <w:rPr>
          <w:rStyle w:val="6"/>
          <w:rFonts w:hint="default" w:ascii="Times New Roman" w:hAnsi="Times New Roman" w:eastAsia="宋体" w:cs="Times New Roman"/>
          <w:b w:val="0"/>
          <w:bCs w:val="0"/>
          <w:color w:val="auto"/>
          <w:sz w:val="24"/>
          <w:szCs w:val="24"/>
          <w:highlight w:val="none"/>
          <w:lang w:val="en-US" w:eastAsia="zh-CN"/>
        </w:rPr>
        <w:t>1、</w:t>
      </w:r>
      <w:bookmarkEnd w:id="0"/>
      <w:r>
        <w:rPr>
          <w:rFonts w:hint="default" w:ascii="Times New Roman" w:hAnsi="Times New Roman" w:eastAsia="宋体" w:cs="Times New Roman"/>
          <w:color w:val="auto"/>
          <w:sz w:val="24"/>
          <w:szCs w:val="24"/>
          <w:highlight w:val="none"/>
        </w:rPr>
        <w:t>运输过程不得对产品有任何损坏，交付验收的产品必须保质保量且符合</w:t>
      </w:r>
      <w:r>
        <w:rPr>
          <w:rFonts w:hint="default" w:ascii="Times New Roman" w:hAnsi="Times New Roman" w:eastAsia="宋体" w:cs="Times New Roman"/>
          <w:color w:val="auto"/>
          <w:sz w:val="24"/>
          <w:szCs w:val="24"/>
          <w:highlight w:val="none"/>
          <w:lang w:eastAsia="zh-CN"/>
        </w:rPr>
        <w:t>磋商</w:t>
      </w:r>
      <w:r>
        <w:rPr>
          <w:rFonts w:hint="default" w:ascii="Times New Roman" w:hAnsi="Times New Roman" w:eastAsia="宋体" w:cs="Times New Roman"/>
          <w:color w:val="auto"/>
          <w:sz w:val="24"/>
          <w:szCs w:val="24"/>
          <w:highlight w:val="none"/>
        </w:rPr>
        <w:t>时所提供的各项</w:t>
      </w:r>
      <w:r>
        <w:rPr>
          <w:rFonts w:hint="default" w:ascii="Times New Roman" w:hAnsi="Times New Roman" w:eastAsia="宋体" w:cs="Times New Roman"/>
          <w:color w:val="auto"/>
          <w:sz w:val="24"/>
          <w:szCs w:val="24"/>
          <w:highlight w:val="none"/>
          <w:lang w:eastAsia="zh-CN"/>
        </w:rPr>
        <w:t>规格尺寸</w:t>
      </w:r>
      <w:r>
        <w:rPr>
          <w:rFonts w:hint="default" w:ascii="Times New Roman" w:hAnsi="Times New Roman" w:eastAsia="宋体" w:cs="Times New Roman"/>
          <w:color w:val="auto"/>
          <w:sz w:val="24"/>
          <w:szCs w:val="24"/>
          <w:highlight w:val="none"/>
        </w:rPr>
        <w:t>参数</w:t>
      </w:r>
      <w:r>
        <w:rPr>
          <w:rFonts w:hint="default" w:ascii="Times New Roman" w:hAnsi="Times New Roman" w:eastAsia="宋体" w:cs="Times New Roman"/>
          <w:color w:val="auto"/>
          <w:sz w:val="24"/>
          <w:szCs w:val="24"/>
          <w:highlight w:val="none"/>
          <w:lang w:eastAsia="zh-CN"/>
        </w:rPr>
        <w:t>。</w:t>
      </w:r>
      <w:bookmarkStart w:id="1" w:name="_Toc1980"/>
    </w:p>
    <w:bookmarkEnd w:id="1"/>
    <w:p>
      <w:pPr>
        <w:keepNext w:val="0"/>
        <w:keepLines w:val="0"/>
        <w:pageBreakBefore w:val="0"/>
        <w:widowControl w:val="0"/>
        <w:kinsoku/>
        <w:wordWrap/>
        <w:overflowPunct/>
        <w:topLinePunct w:val="0"/>
        <w:autoSpaceDE/>
        <w:autoSpaceDN/>
        <w:bidi w:val="0"/>
        <w:adjustRightInd/>
        <w:snapToGrid/>
        <w:spacing w:line="480" w:lineRule="exact"/>
        <w:ind w:firstLine="480" w:firstLineChars="200"/>
        <w:jc w:val="both"/>
        <w:textAlignment w:val="auto"/>
        <w:rPr>
          <w:rStyle w:val="6"/>
          <w:rFonts w:hint="default" w:ascii="Times New Roman" w:hAnsi="Times New Roman" w:eastAsia="宋体" w:cs="Times New Roman"/>
          <w:b w:val="0"/>
          <w:bCs w:val="0"/>
          <w:color w:val="auto"/>
          <w:sz w:val="24"/>
          <w:szCs w:val="24"/>
          <w:highlight w:val="none"/>
          <w:lang w:val="en-US" w:eastAsia="zh-CN"/>
        </w:rPr>
      </w:pPr>
      <w:bookmarkStart w:id="2" w:name="_Toc26015"/>
      <w:r>
        <w:rPr>
          <w:rStyle w:val="6"/>
          <w:rFonts w:hint="default" w:ascii="Times New Roman" w:hAnsi="Times New Roman" w:eastAsia="宋体" w:cs="Times New Roman"/>
          <w:b w:val="0"/>
          <w:bCs w:val="0"/>
          <w:color w:val="auto"/>
          <w:sz w:val="24"/>
          <w:szCs w:val="24"/>
          <w:highlight w:val="none"/>
          <w:lang w:val="en-US" w:eastAsia="zh-CN"/>
        </w:rPr>
        <w:t>2、</w:t>
      </w:r>
      <w:bookmarkEnd w:id="2"/>
      <w:bookmarkStart w:id="3" w:name="_Toc28917"/>
      <w:r>
        <w:rPr>
          <w:rStyle w:val="6"/>
          <w:rFonts w:hint="default" w:ascii="Times New Roman" w:hAnsi="Times New Roman" w:eastAsia="宋体" w:cs="Times New Roman"/>
          <w:b w:val="0"/>
          <w:bCs w:val="0"/>
          <w:color w:val="auto"/>
          <w:sz w:val="24"/>
          <w:szCs w:val="24"/>
          <w:highlight w:val="none"/>
          <w:lang w:val="en-US" w:eastAsia="zh-CN"/>
        </w:rPr>
        <w:t>质量保证：</w:t>
      </w:r>
      <w:bookmarkStart w:id="21" w:name="_GoBack"/>
      <w:bookmarkEnd w:id="21"/>
    </w:p>
    <w:bookmarkEnd w:id="3"/>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both"/>
        <w:textAlignment w:val="auto"/>
        <w:rPr>
          <w:rStyle w:val="6"/>
          <w:rFonts w:hint="default" w:ascii="Times New Roman" w:hAnsi="Times New Roman" w:eastAsia="宋体" w:cs="Times New Roman"/>
          <w:b w:val="0"/>
          <w:bCs w:val="0"/>
          <w:color w:val="auto"/>
          <w:sz w:val="24"/>
          <w:szCs w:val="24"/>
          <w:highlight w:val="none"/>
          <w:lang w:val="en-US" w:eastAsia="zh-CN"/>
        </w:rPr>
      </w:pPr>
      <w:bookmarkStart w:id="4" w:name="_Toc25893"/>
      <w:r>
        <w:rPr>
          <w:rStyle w:val="6"/>
          <w:rFonts w:hint="default" w:ascii="Times New Roman" w:hAnsi="Times New Roman" w:eastAsia="宋体" w:cs="Times New Roman"/>
          <w:b w:val="0"/>
          <w:bCs w:val="0"/>
          <w:color w:val="auto"/>
          <w:sz w:val="24"/>
          <w:szCs w:val="24"/>
          <w:highlight w:val="none"/>
          <w:lang w:val="en-US" w:eastAsia="zh-CN"/>
        </w:rPr>
        <w:t>（1）成交供应商提供的设备材料应符合中华人民共和国国家标准或行业标准；如果中华人民共和国没有相关标准的，则采用货物来源适用的官方标准。这些标准必须是有关机构发布的最新版本的标准。</w:t>
      </w:r>
    </w:p>
    <w:bookmarkEnd w:id="4"/>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both"/>
        <w:textAlignment w:val="auto"/>
        <w:rPr>
          <w:rStyle w:val="6"/>
          <w:rFonts w:hint="default" w:ascii="Times New Roman" w:hAnsi="Times New Roman" w:eastAsia="宋体" w:cs="Times New Roman"/>
          <w:b w:val="0"/>
          <w:bCs w:val="0"/>
          <w:color w:val="auto"/>
          <w:sz w:val="24"/>
          <w:szCs w:val="24"/>
          <w:highlight w:val="none"/>
          <w:lang w:val="en-US" w:eastAsia="zh-CN"/>
        </w:rPr>
      </w:pPr>
      <w:bookmarkStart w:id="5" w:name="_Toc30321"/>
      <w:r>
        <w:rPr>
          <w:rStyle w:val="6"/>
          <w:rFonts w:hint="default" w:ascii="Times New Roman" w:hAnsi="Times New Roman" w:eastAsia="宋体" w:cs="Times New Roman"/>
          <w:b w:val="0"/>
          <w:bCs w:val="0"/>
          <w:color w:val="auto"/>
          <w:sz w:val="24"/>
          <w:szCs w:val="24"/>
          <w:highlight w:val="none"/>
          <w:lang w:val="en-US" w:eastAsia="zh-CN"/>
        </w:rPr>
        <w:t>（2）国内产品或合资厂的产品必须具备出厂合格证。</w:t>
      </w:r>
    </w:p>
    <w:bookmarkEnd w:id="5"/>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both"/>
        <w:textAlignment w:val="auto"/>
        <w:rPr>
          <w:rStyle w:val="6"/>
          <w:rFonts w:hint="default" w:ascii="Times New Roman" w:hAnsi="Times New Roman" w:eastAsia="宋体" w:cs="Times New Roman"/>
          <w:b w:val="0"/>
          <w:bCs w:val="0"/>
          <w:color w:val="auto"/>
          <w:sz w:val="24"/>
          <w:szCs w:val="24"/>
          <w:highlight w:val="none"/>
          <w:lang w:val="en-US" w:eastAsia="zh-CN"/>
        </w:rPr>
      </w:pPr>
      <w:bookmarkStart w:id="6" w:name="_Toc10153"/>
      <w:r>
        <w:rPr>
          <w:rStyle w:val="6"/>
          <w:rFonts w:hint="default" w:ascii="Times New Roman" w:hAnsi="Times New Roman" w:eastAsia="宋体" w:cs="Times New Roman"/>
          <w:b w:val="0"/>
          <w:bCs w:val="0"/>
          <w:color w:val="auto"/>
          <w:sz w:val="24"/>
          <w:szCs w:val="24"/>
          <w:highlight w:val="none"/>
          <w:lang w:val="en-US" w:eastAsia="zh-CN"/>
        </w:rPr>
        <w:t>（3）成交方提供的设备材料，其品牌、规格、型号须经采购人最终书面确认，并附有设备材料原厂合格证等有关资料给甲方。</w:t>
      </w:r>
    </w:p>
    <w:bookmarkEnd w:id="6"/>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both"/>
        <w:textAlignment w:val="auto"/>
        <w:rPr>
          <w:rStyle w:val="6"/>
          <w:rFonts w:hint="default" w:ascii="Times New Roman" w:hAnsi="Times New Roman" w:eastAsia="宋体" w:cs="Times New Roman"/>
          <w:b w:val="0"/>
          <w:bCs w:val="0"/>
          <w:color w:val="auto"/>
          <w:sz w:val="24"/>
          <w:szCs w:val="24"/>
          <w:highlight w:val="none"/>
          <w:lang w:val="en-US" w:eastAsia="zh-CN"/>
        </w:rPr>
      </w:pPr>
      <w:bookmarkStart w:id="7" w:name="_Toc6298"/>
      <w:r>
        <w:rPr>
          <w:rStyle w:val="6"/>
          <w:rFonts w:hint="default" w:ascii="Times New Roman" w:hAnsi="Times New Roman" w:eastAsia="宋体" w:cs="Times New Roman"/>
          <w:b w:val="0"/>
          <w:bCs w:val="0"/>
          <w:color w:val="auto"/>
          <w:sz w:val="24"/>
          <w:szCs w:val="24"/>
          <w:highlight w:val="none"/>
          <w:lang w:val="en-US" w:eastAsia="zh-CN"/>
        </w:rPr>
        <w:t>（4）成交方保证合同项下提供的货物不侵犯任何第三方的专利或商标或版权。否则，成交人须承担对第三方的专利或版权的侵权责任并承担因此而发生的所有费用。</w:t>
      </w:r>
    </w:p>
    <w:p>
      <w:pPr>
        <w:keepNext w:val="0"/>
        <w:keepLines w:val="0"/>
        <w:pageBreakBefore w:val="0"/>
        <w:widowControl w:val="0"/>
        <w:kinsoku/>
        <w:wordWrap/>
        <w:overflowPunct/>
        <w:topLinePunct w:val="0"/>
        <w:autoSpaceDE/>
        <w:autoSpaceDN/>
        <w:bidi w:val="0"/>
        <w:adjustRightInd/>
        <w:snapToGrid/>
        <w:spacing w:line="480" w:lineRule="exact"/>
        <w:ind w:firstLine="482" w:firstLineChars="200"/>
        <w:jc w:val="both"/>
        <w:textAlignment w:val="auto"/>
        <w:rPr>
          <w:rStyle w:val="6"/>
          <w:rFonts w:hint="eastAsia" w:ascii="Times New Roman" w:hAnsi="Times New Roman" w:eastAsia="宋体" w:cs="Times New Roman"/>
          <w:b/>
          <w:bCs/>
          <w:color w:val="auto"/>
          <w:sz w:val="24"/>
          <w:szCs w:val="24"/>
          <w:highlight w:val="yellow"/>
          <w:lang w:val="en-US" w:eastAsia="zh-CN"/>
        </w:rPr>
      </w:pPr>
      <w:r>
        <w:rPr>
          <w:rStyle w:val="6"/>
          <w:rFonts w:hint="eastAsia" w:ascii="Times New Roman" w:hAnsi="Times New Roman" w:eastAsia="宋体" w:cs="Times New Roman"/>
          <w:b/>
          <w:bCs/>
          <w:color w:val="auto"/>
          <w:sz w:val="24"/>
          <w:szCs w:val="24"/>
          <w:highlight w:val="yellow"/>
          <w:lang w:val="en-US" w:eastAsia="zh-CN"/>
        </w:rPr>
        <w:t>3、</w:t>
      </w:r>
      <w:r>
        <w:rPr>
          <w:rStyle w:val="6"/>
          <w:rFonts w:hint="eastAsia" w:cs="Times New Roman"/>
          <w:b/>
          <w:bCs/>
          <w:color w:val="auto"/>
          <w:sz w:val="24"/>
          <w:szCs w:val="24"/>
          <w:highlight w:val="yellow"/>
          <w:lang w:val="en-US" w:eastAsia="zh-CN"/>
        </w:rPr>
        <w:t>配送</w:t>
      </w:r>
      <w:r>
        <w:rPr>
          <w:rStyle w:val="6"/>
          <w:rFonts w:hint="eastAsia" w:ascii="Times New Roman" w:hAnsi="Times New Roman" w:eastAsia="宋体" w:cs="Times New Roman"/>
          <w:b/>
          <w:bCs/>
          <w:color w:val="auto"/>
          <w:sz w:val="24"/>
          <w:szCs w:val="24"/>
          <w:highlight w:val="yellow"/>
          <w:lang w:val="en-US" w:eastAsia="zh-CN"/>
        </w:rPr>
        <w:t>要求：按照采购方的要求4小时内送货上门，不得耽误采购方的维修时间。</w:t>
      </w:r>
    </w:p>
    <w:p>
      <w:pPr>
        <w:keepNext w:val="0"/>
        <w:keepLines w:val="0"/>
        <w:pageBreakBefore w:val="0"/>
        <w:widowControl w:val="0"/>
        <w:kinsoku/>
        <w:wordWrap/>
        <w:overflowPunct/>
        <w:topLinePunct w:val="0"/>
        <w:autoSpaceDE/>
        <w:autoSpaceDN/>
        <w:bidi w:val="0"/>
        <w:adjustRightInd/>
        <w:snapToGrid/>
        <w:spacing w:line="480" w:lineRule="exact"/>
        <w:ind w:firstLine="482" w:firstLineChars="200"/>
        <w:jc w:val="both"/>
        <w:textAlignment w:val="auto"/>
        <w:rPr>
          <w:rStyle w:val="6"/>
          <w:rFonts w:hint="default" w:ascii="Times New Roman" w:hAnsi="Times New Roman" w:eastAsia="宋体" w:cs="Times New Roman"/>
          <w:b/>
          <w:bCs/>
          <w:color w:val="auto"/>
          <w:sz w:val="24"/>
          <w:szCs w:val="24"/>
          <w:highlight w:val="yellow"/>
          <w:lang w:val="en-US" w:eastAsia="zh-CN"/>
        </w:rPr>
      </w:pPr>
      <w:r>
        <w:rPr>
          <w:rStyle w:val="6"/>
          <w:rFonts w:hint="eastAsia" w:ascii="Times New Roman" w:hAnsi="Times New Roman" w:eastAsia="宋体" w:cs="Times New Roman"/>
          <w:b/>
          <w:bCs/>
          <w:color w:val="auto"/>
          <w:sz w:val="24"/>
          <w:szCs w:val="24"/>
          <w:highlight w:val="yellow"/>
          <w:lang w:val="en-US" w:eastAsia="zh-CN"/>
        </w:rPr>
        <w:t>4、支付方式：</w:t>
      </w:r>
      <w:r>
        <w:rPr>
          <w:rStyle w:val="6"/>
          <w:rFonts w:hint="default" w:ascii="Times New Roman" w:hAnsi="Times New Roman" w:eastAsia="宋体" w:cs="Times New Roman"/>
          <w:b/>
          <w:bCs/>
          <w:color w:val="auto"/>
          <w:sz w:val="24"/>
          <w:szCs w:val="24"/>
          <w:highlight w:val="yellow"/>
          <w:lang w:val="en-US" w:eastAsia="zh-CN"/>
        </w:rPr>
        <w:t>每个月底按照当月实际发生金额付款。</w:t>
      </w:r>
    </w:p>
    <w:bookmarkEnd w:id="7"/>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both"/>
        <w:textAlignment w:val="auto"/>
        <w:rPr>
          <w:rStyle w:val="6"/>
          <w:rFonts w:hint="default" w:ascii="Times New Roman" w:hAnsi="Times New Roman" w:eastAsia="宋体" w:cs="Times New Roman"/>
          <w:b w:val="0"/>
          <w:bCs w:val="0"/>
          <w:color w:val="auto"/>
          <w:sz w:val="24"/>
          <w:szCs w:val="24"/>
          <w:highlight w:val="none"/>
          <w:lang w:val="en-US" w:eastAsia="zh-CN"/>
        </w:rPr>
      </w:pPr>
      <w:bookmarkStart w:id="8" w:name="_Toc23591"/>
      <w:r>
        <w:rPr>
          <w:rStyle w:val="6"/>
          <w:rFonts w:hint="eastAsia" w:ascii="Times New Roman" w:hAnsi="Times New Roman" w:eastAsia="宋体" w:cs="Times New Roman"/>
          <w:b w:val="0"/>
          <w:bCs w:val="0"/>
          <w:color w:val="auto"/>
          <w:sz w:val="24"/>
          <w:szCs w:val="24"/>
          <w:highlight w:val="none"/>
          <w:lang w:val="en-US" w:eastAsia="zh-CN"/>
        </w:rPr>
        <w:t>5、</w:t>
      </w:r>
      <w:r>
        <w:rPr>
          <w:rStyle w:val="6"/>
          <w:rFonts w:hint="default" w:ascii="Times New Roman" w:hAnsi="Times New Roman" w:eastAsia="宋体" w:cs="Times New Roman"/>
          <w:b w:val="0"/>
          <w:bCs w:val="0"/>
          <w:color w:val="auto"/>
          <w:sz w:val="24"/>
          <w:szCs w:val="24"/>
          <w:highlight w:val="none"/>
          <w:lang w:val="en-US" w:eastAsia="zh-CN"/>
        </w:rPr>
        <w:t>专用工器具及辅助材料：专用工器具及辅助材料由供应商根据工程现场实际免费提供，采购人用后退回。</w:t>
      </w:r>
    </w:p>
    <w:bookmarkEnd w:id="8"/>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both"/>
        <w:textAlignment w:val="auto"/>
        <w:rPr>
          <w:rStyle w:val="6"/>
          <w:rFonts w:hint="default" w:ascii="Times New Roman" w:hAnsi="Times New Roman" w:eastAsia="宋体" w:cs="Times New Roman"/>
          <w:b w:val="0"/>
          <w:bCs w:val="0"/>
          <w:color w:val="auto"/>
          <w:sz w:val="24"/>
          <w:szCs w:val="24"/>
          <w:highlight w:val="none"/>
          <w:lang w:val="en-US" w:eastAsia="zh-CN"/>
        </w:rPr>
      </w:pPr>
      <w:bookmarkStart w:id="9" w:name="_Toc8662"/>
      <w:r>
        <w:rPr>
          <w:rStyle w:val="6"/>
          <w:rFonts w:hint="eastAsia" w:ascii="Times New Roman" w:hAnsi="Times New Roman" w:eastAsia="宋体" w:cs="Times New Roman"/>
          <w:b w:val="0"/>
          <w:bCs w:val="0"/>
          <w:color w:val="auto"/>
          <w:sz w:val="24"/>
          <w:szCs w:val="24"/>
          <w:highlight w:val="none"/>
          <w:lang w:val="en-US" w:eastAsia="zh-CN"/>
        </w:rPr>
        <w:t>6、</w:t>
      </w:r>
      <w:r>
        <w:rPr>
          <w:rStyle w:val="6"/>
          <w:rFonts w:hint="default" w:ascii="Times New Roman" w:hAnsi="Times New Roman" w:eastAsia="宋体" w:cs="Times New Roman"/>
          <w:b w:val="0"/>
          <w:bCs w:val="0"/>
          <w:color w:val="auto"/>
          <w:sz w:val="24"/>
          <w:szCs w:val="24"/>
          <w:highlight w:val="none"/>
          <w:lang w:val="en-US" w:eastAsia="zh-CN"/>
        </w:rPr>
        <w:t>交货包装：</w:t>
      </w:r>
    </w:p>
    <w:bookmarkEnd w:id="9"/>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both"/>
        <w:textAlignment w:val="auto"/>
        <w:rPr>
          <w:rStyle w:val="6"/>
          <w:rFonts w:hint="default" w:ascii="Times New Roman" w:hAnsi="Times New Roman" w:eastAsia="宋体" w:cs="Times New Roman"/>
          <w:b w:val="0"/>
          <w:bCs w:val="0"/>
          <w:color w:val="auto"/>
          <w:sz w:val="24"/>
          <w:szCs w:val="24"/>
          <w:highlight w:val="none"/>
          <w:lang w:val="en-US" w:eastAsia="zh-CN"/>
        </w:rPr>
      </w:pPr>
      <w:bookmarkStart w:id="10" w:name="_Toc25976"/>
      <w:r>
        <w:rPr>
          <w:rStyle w:val="6"/>
          <w:rFonts w:hint="default" w:ascii="Times New Roman" w:hAnsi="Times New Roman" w:eastAsia="宋体" w:cs="Times New Roman"/>
          <w:b w:val="0"/>
          <w:bCs w:val="0"/>
          <w:color w:val="auto"/>
          <w:sz w:val="24"/>
          <w:szCs w:val="24"/>
          <w:highlight w:val="none"/>
          <w:lang w:val="en-US" w:eastAsia="zh-CN"/>
        </w:rPr>
        <w:t>（1）供应商的全部货物均应按标准保护措施进行包装，这类包装应适应于远距离运输、防潮、防震、防锈和提供防野蛮装卸，以确保货物安全无损运抵指定地点。由于包装不善所引起的货物锈蚀、损坏和损失均由成交供应商负责。</w:t>
      </w:r>
    </w:p>
    <w:bookmarkEnd w:id="10"/>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both"/>
        <w:textAlignment w:val="auto"/>
        <w:rPr>
          <w:rStyle w:val="6"/>
          <w:rFonts w:hint="default" w:ascii="Times New Roman" w:hAnsi="Times New Roman" w:eastAsia="宋体" w:cs="Times New Roman"/>
          <w:b w:val="0"/>
          <w:bCs w:val="0"/>
          <w:color w:val="auto"/>
          <w:sz w:val="24"/>
          <w:szCs w:val="24"/>
          <w:highlight w:val="none"/>
          <w:lang w:val="en-US" w:eastAsia="zh-CN"/>
        </w:rPr>
      </w:pPr>
      <w:bookmarkStart w:id="11" w:name="_Toc19317"/>
      <w:r>
        <w:rPr>
          <w:rStyle w:val="6"/>
          <w:rFonts w:hint="default" w:ascii="Times New Roman" w:hAnsi="Times New Roman" w:eastAsia="宋体" w:cs="Times New Roman"/>
          <w:b w:val="0"/>
          <w:bCs w:val="0"/>
          <w:color w:val="auto"/>
          <w:sz w:val="24"/>
          <w:szCs w:val="24"/>
          <w:highlight w:val="none"/>
          <w:lang w:val="en-US" w:eastAsia="zh-CN"/>
        </w:rPr>
        <w:t>（2）供应商交货时，须提供设备的全部资料，如产品合格证、送货单、使用说明书等。</w:t>
      </w:r>
    </w:p>
    <w:bookmarkEnd w:id="11"/>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both"/>
        <w:textAlignment w:val="auto"/>
        <w:rPr>
          <w:rStyle w:val="6"/>
          <w:rFonts w:hint="default" w:ascii="Times New Roman" w:hAnsi="Times New Roman" w:eastAsia="宋体" w:cs="Times New Roman"/>
          <w:b w:val="0"/>
          <w:bCs w:val="0"/>
          <w:color w:val="auto"/>
          <w:sz w:val="24"/>
          <w:szCs w:val="24"/>
          <w:highlight w:val="none"/>
          <w:lang w:val="en-US" w:eastAsia="zh-CN"/>
        </w:rPr>
      </w:pPr>
      <w:bookmarkStart w:id="12" w:name="_Toc18329"/>
      <w:r>
        <w:rPr>
          <w:rStyle w:val="6"/>
          <w:rFonts w:hint="eastAsia" w:ascii="Times New Roman" w:hAnsi="Times New Roman" w:eastAsia="宋体" w:cs="Times New Roman"/>
          <w:b w:val="0"/>
          <w:bCs w:val="0"/>
          <w:color w:val="auto"/>
          <w:sz w:val="24"/>
          <w:szCs w:val="24"/>
          <w:highlight w:val="none"/>
          <w:lang w:val="en-US" w:eastAsia="zh-CN"/>
        </w:rPr>
        <w:t>7、</w:t>
      </w:r>
      <w:r>
        <w:rPr>
          <w:rStyle w:val="6"/>
          <w:rFonts w:hint="default" w:ascii="Times New Roman" w:hAnsi="Times New Roman" w:eastAsia="宋体" w:cs="Times New Roman"/>
          <w:b w:val="0"/>
          <w:bCs w:val="0"/>
          <w:color w:val="auto"/>
          <w:sz w:val="24"/>
          <w:szCs w:val="24"/>
          <w:highlight w:val="none"/>
          <w:lang w:val="en-US" w:eastAsia="zh-CN"/>
        </w:rPr>
        <w:t>.安装、验收要求：</w:t>
      </w:r>
    </w:p>
    <w:bookmarkEnd w:id="12"/>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both"/>
        <w:textAlignment w:val="auto"/>
        <w:rPr>
          <w:rStyle w:val="6"/>
          <w:rFonts w:hint="default" w:ascii="Times New Roman" w:hAnsi="Times New Roman" w:eastAsia="宋体" w:cs="Times New Roman"/>
          <w:b w:val="0"/>
          <w:bCs w:val="0"/>
          <w:color w:val="auto"/>
          <w:sz w:val="24"/>
          <w:szCs w:val="24"/>
          <w:highlight w:val="none"/>
          <w:lang w:val="en-US" w:eastAsia="zh-CN"/>
        </w:rPr>
      </w:pPr>
      <w:bookmarkStart w:id="13" w:name="_Toc29537"/>
      <w:r>
        <w:rPr>
          <w:rStyle w:val="6"/>
          <w:rFonts w:hint="default" w:ascii="Times New Roman" w:hAnsi="Times New Roman" w:eastAsia="宋体" w:cs="Times New Roman"/>
          <w:b w:val="0"/>
          <w:bCs w:val="0"/>
          <w:color w:val="auto"/>
          <w:sz w:val="24"/>
          <w:szCs w:val="24"/>
          <w:highlight w:val="none"/>
          <w:lang w:val="en-US" w:eastAsia="zh-CN"/>
        </w:rPr>
        <w:t>（1）货物运抵采购人指定地点后，由采购人组织相关人员和成交供应商同时在场的情况下开箱清点货物，共同对货物的数量、型号、外观、包装质量、技术资料等进行验收，双方确认后开始组织安装、调试。</w:t>
      </w:r>
    </w:p>
    <w:bookmarkEnd w:id="13"/>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both"/>
        <w:textAlignment w:val="auto"/>
        <w:rPr>
          <w:rStyle w:val="6"/>
          <w:rFonts w:hint="default" w:ascii="Times New Roman" w:hAnsi="Times New Roman" w:eastAsia="宋体" w:cs="Times New Roman"/>
          <w:b w:val="0"/>
          <w:bCs w:val="0"/>
          <w:color w:val="auto"/>
          <w:sz w:val="24"/>
          <w:szCs w:val="24"/>
          <w:highlight w:val="none"/>
          <w:lang w:val="en-US" w:eastAsia="zh-CN"/>
        </w:rPr>
      </w:pPr>
      <w:bookmarkStart w:id="14" w:name="_Toc22997"/>
      <w:r>
        <w:rPr>
          <w:rStyle w:val="6"/>
          <w:rFonts w:hint="default" w:ascii="Times New Roman" w:hAnsi="Times New Roman" w:eastAsia="宋体" w:cs="Times New Roman"/>
          <w:b w:val="0"/>
          <w:bCs w:val="0"/>
          <w:color w:val="auto"/>
          <w:sz w:val="24"/>
          <w:szCs w:val="24"/>
          <w:highlight w:val="none"/>
          <w:lang w:val="en-US" w:eastAsia="zh-CN"/>
        </w:rPr>
        <w:t>（2）成交供应商须为验收提供必需的设备、工具及其他便利条件。</w:t>
      </w:r>
    </w:p>
    <w:bookmarkEnd w:id="14"/>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both"/>
        <w:textAlignment w:val="auto"/>
        <w:rPr>
          <w:rStyle w:val="6"/>
          <w:rFonts w:hint="default" w:ascii="Times New Roman" w:hAnsi="Times New Roman" w:eastAsia="宋体" w:cs="Times New Roman"/>
          <w:b w:val="0"/>
          <w:bCs w:val="0"/>
          <w:color w:val="auto"/>
          <w:sz w:val="24"/>
          <w:szCs w:val="24"/>
          <w:highlight w:val="none"/>
          <w:lang w:val="en-US" w:eastAsia="zh-CN"/>
        </w:rPr>
      </w:pPr>
      <w:bookmarkStart w:id="15" w:name="_Toc17794"/>
      <w:r>
        <w:rPr>
          <w:rStyle w:val="6"/>
          <w:rFonts w:hint="default" w:ascii="Times New Roman" w:hAnsi="Times New Roman" w:eastAsia="宋体" w:cs="Times New Roman"/>
          <w:b w:val="0"/>
          <w:bCs w:val="0"/>
          <w:color w:val="auto"/>
          <w:sz w:val="24"/>
          <w:szCs w:val="24"/>
          <w:highlight w:val="none"/>
          <w:lang w:val="en-US" w:eastAsia="zh-CN"/>
        </w:rPr>
        <w:t>（3）采购人将对成交供应商所供的每一批货物进行签收，签收内容包括所供货物的数量、质量、规格等。如成交供应商所供货物与磋商文件要求不符的，采购人有权拒收，因此产生的一切经济损失由成交供应商承担。采购人将对每一批货物在签收单进行签收，签收单将作为付款的依据之一。</w:t>
      </w:r>
    </w:p>
    <w:bookmarkEnd w:id="15"/>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both"/>
        <w:textAlignment w:val="auto"/>
        <w:rPr>
          <w:rStyle w:val="6"/>
          <w:rFonts w:hint="default" w:ascii="Times New Roman" w:hAnsi="Times New Roman" w:eastAsia="宋体" w:cs="Times New Roman"/>
          <w:b w:val="0"/>
          <w:bCs w:val="0"/>
          <w:color w:val="auto"/>
          <w:sz w:val="24"/>
          <w:szCs w:val="24"/>
          <w:highlight w:val="none"/>
          <w:lang w:val="en-US" w:eastAsia="zh-CN"/>
        </w:rPr>
      </w:pPr>
      <w:bookmarkStart w:id="16" w:name="_Toc20490"/>
      <w:r>
        <w:rPr>
          <w:rStyle w:val="6"/>
          <w:rFonts w:hint="default" w:ascii="Times New Roman" w:hAnsi="Times New Roman" w:eastAsia="宋体" w:cs="Times New Roman"/>
          <w:b w:val="0"/>
          <w:bCs w:val="0"/>
          <w:color w:val="auto"/>
          <w:sz w:val="24"/>
          <w:szCs w:val="24"/>
          <w:highlight w:val="none"/>
          <w:lang w:val="en-US" w:eastAsia="zh-CN"/>
        </w:rPr>
        <w:t>（4）成交供应商所提供货物及相关材料、服务质量、技术参数、性能指标以及安装质量等不符合合同规定标准的，采购人有权拒收；因此产生的一切经济损失由成交供应商承担。</w:t>
      </w:r>
    </w:p>
    <w:bookmarkEnd w:id="16"/>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both"/>
        <w:textAlignment w:val="auto"/>
        <w:rPr>
          <w:rStyle w:val="6"/>
          <w:rFonts w:hint="default" w:ascii="Times New Roman" w:hAnsi="Times New Roman" w:eastAsia="宋体" w:cs="Times New Roman"/>
          <w:b w:val="0"/>
          <w:bCs w:val="0"/>
          <w:color w:val="auto"/>
          <w:sz w:val="24"/>
          <w:szCs w:val="24"/>
          <w:highlight w:val="none"/>
          <w:lang w:val="en-US" w:eastAsia="zh-CN"/>
        </w:rPr>
      </w:pPr>
      <w:bookmarkStart w:id="17" w:name="_Toc1974"/>
      <w:r>
        <w:rPr>
          <w:rStyle w:val="6"/>
          <w:rFonts w:hint="default" w:ascii="Times New Roman" w:hAnsi="Times New Roman" w:eastAsia="宋体" w:cs="Times New Roman"/>
          <w:b w:val="0"/>
          <w:bCs w:val="0"/>
          <w:color w:val="auto"/>
          <w:sz w:val="24"/>
          <w:szCs w:val="24"/>
          <w:highlight w:val="none"/>
          <w:lang w:val="en-US" w:eastAsia="zh-CN"/>
        </w:rPr>
        <w:t>（5）按国家相关规定和磋商、响应文件要求进行验收。采购人有权选择抽样送相关检验机构检测代为验收或请相关专家进行验收，成交供应商对由于产品质量缺陷而发生的任何问题负责维修或更换，并承担由此引发的所有费用和损失。</w:t>
      </w:r>
    </w:p>
    <w:bookmarkEnd w:id="17"/>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both"/>
        <w:textAlignment w:val="auto"/>
        <w:rPr>
          <w:rStyle w:val="6"/>
          <w:rFonts w:hint="default" w:ascii="Times New Roman" w:hAnsi="Times New Roman" w:eastAsia="宋体" w:cs="Times New Roman"/>
          <w:b w:val="0"/>
          <w:bCs w:val="0"/>
          <w:color w:val="auto"/>
          <w:sz w:val="24"/>
          <w:szCs w:val="24"/>
          <w:highlight w:val="none"/>
          <w:lang w:val="en-US" w:eastAsia="zh-CN"/>
        </w:rPr>
      </w:pPr>
      <w:bookmarkStart w:id="18" w:name="_Toc13144"/>
      <w:r>
        <w:rPr>
          <w:rStyle w:val="6"/>
          <w:rFonts w:hint="eastAsia" w:ascii="Times New Roman" w:hAnsi="Times New Roman" w:eastAsia="宋体" w:cs="Times New Roman"/>
          <w:b w:val="0"/>
          <w:bCs w:val="0"/>
          <w:color w:val="auto"/>
          <w:sz w:val="24"/>
          <w:szCs w:val="24"/>
          <w:highlight w:val="none"/>
          <w:lang w:val="en-US" w:eastAsia="zh-CN"/>
        </w:rPr>
        <w:t>8、</w:t>
      </w:r>
      <w:r>
        <w:rPr>
          <w:rStyle w:val="6"/>
          <w:rFonts w:hint="default" w:ascii="Times New Roman" w:hAnsi="Times New Roman" w:eastAsia="宋体" w:cs="Times New Roman"/>
          <w:b w:val="0"/>
          <w:bCs w:val="0"/>
          <w:color w:val="auto"/>
          <w:sz w:val="24"/>
          <w:szCs w:val="24"/>
          <w:highlight w:val="none"/>
          <w:lang w:val="en-US" w:eastAsia="zh-CN"/>
        </w:rPr>
        <w:t>其他：</w:t>
      </w:r>
    </w:p>
    <w:bookmarkEnd w:id="18"/>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both"/>
        <w:textAlignment w:val="auto"/>
        <w:rPr>
          <w:rStyle w:val="6"/>
          <w:rFonts w:hint="default" w:ascii="Times New Roman" w:hAnsi="Times New Roman" w:eastAsia="宋体" w:cs="Times New Roman"/>
          <w:b w:val="0"/>
          <w:bCs w:val="0"/>
          <w:color w:val="auto"/>
          <w:sz w:val="24"/>
          <w:szCs w:val="24"/>
          <w:highlight w:val="yellow"/>
          <w:lang w:val="en-US" w:eastAsia="zh-CN"/>
        </w:rPr>
      </w:pPr>
      <w:bookmarkStart w:id="19" w:name="_Toc25822"/>
      <w:r>
        <w:rPr>
          <w:rStyle w:val="6"/>
          <w:rFonts w:hint="default" w:ascii="Times New Roman" w:hAnsi="Times New Roman" w:eastAsia="宋体" w:cs="Times New Roman"/>
          <w:b w:val="0"/>
          <w:bCs w:val="0"/>
          <w:color w:val="auto"/>
          <w:sz w:val="24"/>
          <w:szCs w:val="24"/>
          <w:highlight w:val="yellow"/>
          <w:lang w:val="en-US" w:eastAsia="zh-CN"/>
        </w:rPr>
        <w:t>（1）提供的货物（除技术参数另作规定外）均应符合现行国内和行业相关标准。</w:t>
      </w:r>
    </w:p>
    <w:bookmarkEnd w:id="19"/>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left"/>
        <w:textAlignment w:val="auto"/>
        <w:rPr>
          <w:rStyle w:val="6"/>
          <w:rFonts w:hint="default" w:ascii="Times New Roman" w:hAnsi="Times New Roman" w:eastAsia="宋体" w:cs="Times New Roman"/>
          <w:b w:val="0"/>
          <w:bCs w:val="0"/>
          <w:sz w:val="24"/>
          <w:szCs w:val="24"/>
          <w:highlight w:val="none"/>
          <w:lang w:val="en-US" w:eastAsia="zh-CN"/>
        </w:rPr>
      </w:pPr>
      <w:bookmarkStart w:id="20" w:name="_Toc461"/>
      <w:r>
        <w:rPr>
          <w:rStyle w:val="6"/>
          <w:rFonts w:hint="default" w:ascii="Times New Roman" w:hAnsi="Times New Roman" w:eastAsia="宋体" w:cs="Times New Roman"/>
          <w:b w:val="0"/>
          <w:bCs w:val="0"/>
          <w:color w:val="auto"/>
          <w:sz w:val="24"/>
          <w:szCs w:val="24"/>
          <w:highlight w:val="none"/>
          <w:lang w:val="en-US" w:eastAsia="zh-CN"/>
        </w:rPr>
        <w:t>（2）成交供应商在项目实施或服务过程中发生的人员、产品质量事故，或因成交企业管理不善等原因造成的人员伤亡等责任事故均由成交供应商负责，采购人不承担任何法律及经济责任。</w:t>
      </w:r>
    </w:p>
    <w:bookmarkEnd w:id="2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FmNTFmYWUxYzU2MTJjNDQ4MGFmM2YwOGFhZDlkMTEifQ=="/>
  </w:docVars>
  <w:rsids>
    <w:rsidRoot w:val="00000000"/>
    <w:rsid w:val="59705BF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6"/>
    <w:qFormat/>
    <w:uiPriority w:val="0"/>
    <w:pPr>
      <w:keepNext/>
      <w:keepLines/>
      <w:suppressAutoHyphens w:val="0"/>
      <w:spacing w:line="360" w:lineRule="auto"/>
      <w:jc w:val="center"/>
      <w:outlineLvl w:val="0"/>
    </w:pPr>
    <w:rPr>
      <w:rFonts w:ascii="Times New Roman" w:hAnsi="Times New Roman" w:eastAsia="宋体"/>
      <w:b/>
      <w:bCs/>
      <w:kern w:val="44"/>
      <w:sz w:val="32"/>
      <w:szCs w:val="44"/>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toc 1"/>
    <w:basedOn w:val="1"/>
    <w:next w:val="1"/>
    <w:qFormat/>
    <w:uiPriority w:val="0"/>
  </w:style>
  <w:style w:type="character" w:customStyle="1" w:styleId="6">
    <w:name w:val="标题 1 Char"/>
    <w:link w:val="3"/>
    <w:qFormat/>
    <w:uiPriority w:val="0"/>
    <w:rPr>
      <w:rFonts w:ascii="Times New Roman" w:hAnsi="Times New Roman" w:eastAsia="宋体"/>
      <w:b/>
      <w:bCs/>
      <w:kern w:val="44"/>
      <w:sz w:val="32"/>
      <w:szCs w:val="4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2025-04-01T08:04:17Z</dcterms:created>
  <dc:creator>Lenovo</dc:creator>
  <cp:lastModifiedBy>王江</cp:lastModifiedBy>
  <dcterms:modified xsi:type="dcterms:W3CDTF">2025-04-01T08:07:05Z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57F3634A080147C9966C786718CF8F40_12</vt:lpwstr>
  </property>
</Properties>
</file>