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C481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LED显示屏采购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及安装项目</w:t>
      </w:r>
    </w:p>
    <w:p w14:paraId="7246CB57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一、报价供应商资格条件：</w:t>
      </w:r>
    </w:p>
    <w:p w14:paraId="667184EE">
      <w:pPr>
        <w:pStyle w:val="5"/>
        <w:spacing w:before="0" w:beforeAutospacing="0" w:after="0" w:afterAutospacing="0" w:line="560" w:lineRule="atLeast"/>
        <w:ind w:firstLine="56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sz w:val="28"/>
          <w:szCs w:val="28"/>
        </w:rPr>
        <w:t>符合《中华人民共和国政府采购法》第二十二条资格条件：</w:t>
      </w:r>
    </w:p>
    <w:p w14:paraId="67D8204C">
      <w:pPr>
        <w:pStyle w:val="5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1.具有独立承担民事责任的能力；</w:t>
      </w:r>
    </w:p>
    <w:p w14:paraId="53665F48">
      <w:pPr>
        <w:pStyle w:val="5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2.具有良好的商业信誉和健全的财务会计制度；</w:t>
      </w:r>
    </w:p>
    <w:p w14:paraId="231D8473">
      <w:pPr>
        <w:pStyle w:val="5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3.具有履行合同所必需的设备和专业技术能力；</w:t>
      </w:r>
    </w:p>
    <w:p w14:paraId="55ABC33B">
      <w:pPr>
        <w:pStyle w:val="5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4.有依法缴纳税收和社会保障资金的良好记录；</w:t>
      </w:r>
    </w:p>
    <w:p w14:paraId="6E56716C">
      <w:pPr>
        <w:pStyle w:val="5"/>
        <w:spacing w:before="0" w:beforeAutospacing="0" w:after="0" w:afterAutospacing="0" w:line="560" w:lineRule="atLeast"/>
        <w:ind w:firstLine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5.参加政府采购活动前3年内，在经营活动中没有重大违法记录；</w:t>
      </w:r>
    </w:p>
    <w:p w14:paraId="68573A3F">
      <w:pPr>
        <w:pStyle w:val="5"/>
        <w:spacing w:before="0" w:beforeAutospacing="0" w:after="0" w:afterAutospacing="0" w:line="560" w:lineRule="atLeast"/>
        <w:ind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6.法律、行政法规规定的其他条件。</w:t>
      </w:r>
    </w:p>
    <w:p w14:paraId="4C20E341">
      <w:pPr>
        <w:pStyle w:val="5"/>
        <w:spacing w:before="0" w:beforeAutospacing="0" w:after="0" w:afterAutospacing="0" w:line="560" w:lineRule="atLeast"/>
        <w:ind w:firstLine="56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7.本项目不接受联合体投标。</w:t>
      </w:r>
    </w:p>
    <w:p w14:paraId="21489A5B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上述资格条件提供相关证明材料。报价供应商需提供会计师事务所出具的近3年审计报告（2021、2022、2023）；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供应商一年内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近三个月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不含报价当月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纳税和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缴纳社会保障金的证明材料。</w:t>
      </w:r>
    </w:p>
    <w:p w14:paraId="66D8FAE0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二、采购要求</w:t>
      </w:r>
    </w:p>
    <w:p w14:paraId="709A3615">
      <w:pPr>
        <w:pStyle w:val="5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具有国家或有关政府部门颁发的具有相关经营范围的营业执照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FCFC800">
      <w:pPr>
        <w:pStyle w:val="5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具有特种作业操作证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作业电工需具备电工</w:t>
      </w:r>
      <w:r>
        <w:rPr>
          <w:rFonts w:hint="eastAsia" w:cs="宋体"/>
          <w:sz w:val="28"/>
          <w:szCs w:val="28"/>
          <w:lang w:val="en-US" w:eastAsia="zh-CN"/>
        </w:rPr>
        <w:t>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证。</w:t>
      </w:r>
    </w:p>
    <w:p w14:paraId="2CF36871">
      <w:pPr>
        <w:pStyle w:val="5"/>
        <w:spacing w:before="0" w:beforeAutospacing="0" w:after="0" w:afterAutospacing="0" w:line="560" w:lineRule="atLeast"/>
        <w:ind w:left="560"/>
        <w:jc w:val="both"/>
        <w:rPr>
          <w:rFonts w:hint="eastAsia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本产品需要安装调试，</w:t>
      </w:r>
      <w:r>
        <w:rPr>
          <w:rFonts w:hint="eastAsia" w:cs="宋体"/>
          <w:sz w:val="28"/>
          <w:szCs w:val="28"/>
          <w:lang w:val="en-US" w:eastAsia="zh-CN"/>
        </w:rPr>
        <w:t>参与竞价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前与甲方联系勘察现场，报价时需提供现场勘验证明，未勘察或未上传勘察证明均视为无效</w:t>
      </w:r>
      <w:r>
        <w:rPr>
          <w:rFonts w:hint="eastAsia" w:cs="宋体"/>
          <w:sz w:val="28"/>
          <w:szCs w:val="28"/>
          <w:lang w:val="en-US" w:eastAsia="zh-CN"/>
        </w:rPr>
        <w:t>报价。</w:t>
      </w:r>
    </w:p>
    <w:p w14:paraId="723AE6E5">
      <w:pPr>
        <w:pStyle w:val="5"/>
        <w:spacing w:before="0" w:beforeAutospacing="0" w:after="0" w:afterAutospacing="0" w:line="560" w:lineRule="atLeast"/>
        <w:ind w:left="560"/>
        <w:jc w:val="both"/>
        <w:rPr>
          <w:rFonts w:hint="default" w:cs="宋体"/>
          <w:sz w:val="28"/>
          <w:szCs w:val="28"/>
          <w:highlight w:val="none"/>
          <w:lang w:val="en-US" w:eastAsia="zh-CN"/>
        </w:rPr>
      </w:pPr>
      <w:r>
        <w:rPr>
          <w:rFonts w:hint="default" w:cs="宋体"/>
          <w:sz w:val="28"/>
          <w:szCs w:val="28"/>
          <w:highlight w:val="none"/>
          <w:lang w:val="en-US" w:eastAsia="zh-CN"/>
        </w:rPr>
        <w:t>统一踏勘时间: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2024年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10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月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14</w:t>
      </w:r>
      <w:bookmarkStart w:id="0" w:name="_GoBack"/>
      <w:bookmarkEnd w:id="0"/>
      <w:r>
        <w:rPr>
          <w:rFonts w:hint="default" w:cs="宋体"/>
          <w:sz w:val="28"/>
          <w:szCs w:val="28"/>
          <w:highlight w:val="cyan"/>
          <w:lang w:val="en-US" w:eastAsia="zh-CN"/>
        </w:rPr>
        <w:t>日1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时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至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2024年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10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月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14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日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17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时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，踏勘联系人: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sz w:val="28"/>
          <w:szCs w:val="28"/>
          <w:highlight w:val="cyan"/>
          <w:u w:val="single"/>
          <w:lang w:val="en-US" w:eastAsia="zh-CN"/>
        </w:rPr>
        <w:t xml:space="preserve"> 珠丽德孜 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。电话:</w:t>
      </w:r>
      <w:r>
        <w:rPr>
          <w:rFonts w:hint="eastAsia" w:cs="宋体"/>
          <w:sz w:val="28"/>
          <w:szCs w:val="28"/>
          <w:highlight w:val="cyan"/>
          <w:u w:val="single"/>
          <w:lang w:val="en-US" w:eastAsia="zh-CN"/>
        </w:rPr>
        <w:t xml:space="preserve"> 18199608108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 xml:space="preserve"> 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；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非踏勘时间段不予接待。</w:t>
      </w:r>
    </w:p>
    <w:p w14:paraId="2B6D1C01">
      <w:pPr>
        <w:pStyle w:val="5"/>
        <w:spacing w:before="0" w:beforeAutospacing="0" w:after="0" w:afterAutospacing="0" w:line="560" w:lineRule="atLeast"/>
        <w:ind w:left="560"/>
        <w:jc w:val="both"/>
        <w:rPr>
          <w:rFonts w:hint="default" w:cs="宋体"/>
          <w:sz w:val="28"/>
          <w:szCs w:val="28"/>
          <w:lang w:val="en-US" w:eastAsia="zh-CN"/>
        </w:rPr>
      </w:pPr>
    </w:p>
    <w:p w14:paraId="41254067">
      <w:pPr>
        <w:pStyle w:val="5"/>
        <w:spacing w:before="0" w:beforeAutospacing="0" w:after="0" w:afterAutospacing="0" w:line="560" w:lineRule="atLeast"/>
        <w:ind w:left="560"/>
        <w:jc w:val="both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带“★”号条款为重要技术参数，</w:t>
      </w:r>
      <w:r>
        <w:rPr>
          <w:rFonts w:hint="eastAsia" w:cs="宋体"/>
          <w:sz w:val="28"/>
          <w:szCs w:val="28"/>
          <w:lang w:val="en-US" w:eastAsia="zh-CN"/>
        </w:rPr>
        <w:t>需提供相关证明材料。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若有部分“★”条款未响应或不满足，将对响应性评审产生影响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。产品未提供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“★”证明材料检测报告等，视为无效报价。</w:t>
      </w:r>
    </w:p>
    <w:p w14:paraId="23A8B409">
      <w:pPr>
        <w:pStyle w:val="5"/>
        <w:spacing w:before="0" w:beforeAutospacing="0" w:after="0" w:afterAutospacing="0" w:line="560" w:lineRule="atLeas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5.风险防控：确定供货方后，供货方需提供电子屏幕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样品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，由需方确定货物质量。后期使用时供货方需提供至少6个月的退换货期，48个月的免费维修期确保使用途中发现质量问题能够及时退换货物。</w:t>
      </w:r>
    </w:p>
    <w:p w14:paraId="7405E072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6、交货方式、时间及地点：自政采云平台交易达成之日起1日内送货上门，2日内安装调试完毕。</w:t>
      </w:r>
    </w:p>
    <w:p w14:paraId="068223E5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7、质保期：自验收合格后  2 年。</w:t>
      </w:r>
    </w:p>
    <w:p w14:paraId="18DF4388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8、生产、运输、安装、调试:由中标人负责承担，最终通过采购人及有关部门验收交付使用。</w:t>
      </w:r>
    </w:p>
    <w:p w14:paraId="356E3C48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9、售后服务要求：安装及验收完成后屏幕、电源、支架等所有货品及辅材，6个月内免费更换配件，48个月内免费维修配件。</w:t>
      </w:r>
    </w:p>
    <w:p w14:paraId="7B78BCFF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提供厂家授权售后服务承诺书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，能提供及时的维保服务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33873C69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11、意向品牌为：海康、高科、艾比森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这三个品牌的产品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4C4F3088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12、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为避免低价低质恶性竞争，需实事求是报价，如有违反市场价格规律恶意以低价谋取中标后，不能按照招标人实际需求提供合格服务或设备设施的，一律按无效标处理并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上报财政部门予以相应处罚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7B45AE2B">
      <w:pP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br w:type="page"/>
      </w:r>
    </w:p>
    <w:p w14:paraId="417CBF77">
      <w:pPr>
        <w:pStyle w:val="4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9AF650C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三、产品参数报价清单</w:t>
      </w:r>
    </w:p>
    <w:tbl>
      <w:tblPr>
        <w:tblStyle w:val="6"/>
        <w:tblW w:w="14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54"/>
        <w:gridCol w:w="4850"/>
        <w:gridCol w:w="1067"/>
        <w:gridCol w:w="1067"/>
        <w:gridCol w:w="793"/>
        <w:gridCol w:w="793"/>
        <w:gridCol w:w="1375"/>
        <w:gridCol w:w="1320"/>
        <w:gridCol w:w="765"/>
      </w:tblGrid>
      <w:tr w14:paraId="2080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7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产品清单</w:t>
            </w:r>
          </w:p>
        </w:tc>
      </w:tr>
      <w:tr w14:paraId="2E90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7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8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15D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C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1F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室内P1.25全彩模组          规格：320*160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★像素构成：表贴三合一10（1R1G1B）；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★点间距：≤1.25mm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★像素密度：640000点/㎡； 扫描方式：64扫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★模组分辨率：256*128；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★模组尺寸：320*160mm；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★光学性能：基色主波长误差为C 级 ΔλD≤5，视角（水平、垂直170°±5°；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★机械性能：平整度：≤0.1mm，箱体间缝隙≤0.1mm，像素中心距相对偏差&lt;3%；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★最大功耗：≤800W/㎡；平均功耗300W/㎡，睡眠模式功率密度≤150W/㎡；能源效率：≥2.4cd/W；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★光学特性：亮度均匀性≥98.5%，白场色坐标符合SJ/T 11141-2017 5.10.5规定，亮度鉴别等级：C 级以上，最大对比度：≥8000：1；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★色温：3000-21000可调；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★电性能：换帧频率：60Hz；刷新频率：≥3840Hz；彩色信号处理位数16bit；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★白平衡亮度：≥500cd/㎡；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★平均失效间隔工作时间：≥10000hrs；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★电源效率：效率＞90%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★对地漏电流：对地漏电流：I（漏）≤3.5mA/㎡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★人眼视觉舒适度 VICO 指数≤1。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★工作噪音声压级 处理距离 r=1.0 米，噪音声压级≤5dB。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★外壳防护等级：IP40。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★恒定湿热：在样品状态：通电工作，试验温度：85℃，相对湿度；85%，试验时间：168h等情况下，产品无异常，试后正常工作。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★工作环境：在温度： -10℃－40℃，湿度：10% - 90%RH情况下，产品无异常，试后正常工作。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动态节能：具备动态节能的功能。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自检技术：具备故障智能自诊断及排查的功能。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控制方式：计算机控制，逐点一一对应，视频同步，实时显示。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网络连接：”千兆以太网(RJ5 或光纤)。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信号输入方式：TCPIP协议，RS32/RS85。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信号源兼容格式：至少具备 DVI及 HDMI接口，其他视频信号源兼容格式接口根据用户需求确定(如VGASDISVideo)。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拖尾现象：不存在拖尾。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摩尔纹：不存在摩尔纹。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马赛克、死点：不存在马赛克、死点。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色差：相邻色块不应存在色差。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控制软件：具备显示屏配套专用软件。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支持操作系统：应支持Win0、Win1 等主流操作系统，同时可支持 WinXP、Win7、Win8 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（以上参数本项标有★的技术参数需提供由国家权威机构ILAC-MRA、CNAS、CMA认证并出具的检测报告复印件并加盖原厂公章复印件备查。)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9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B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A6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备用2张</w:t>
            </w:r>
          </w:p>
        </w:tc>
      </w:tr>
      <w:tr w14:paraId="6AFE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接收卡3208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1.无需转接板，单卡自带8个HUB320  26 P接口，更加稳定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2.单卡带载像素512*512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3.▲支持逐点亮色度校正，可以对每个灯点的亮度和色度进行校正，有效消除色差，使整屏的亮度和色度达到高度均匀一致，提高显示屏的画质（响应条件  需要提供第三方检测机构出具的CNAS、 CMA、ilac-MRA的检测报告 ，需加盖生产厂家公章）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4.快速亮暗线调节在调试软件上进行快速亮暗线调节，快速解决因箱体及模组拼接造成的显示屏亮暗线，调节过程中即时生效简单易用。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5.配合支持3D功能的独立主控，在软件或独立主控的操作面板上开启3D功能，并设置3D参数，使画面显示 3D效果。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6.可以将指定图片设置为显示屏的开机、网线断开或无视频源信号时的画面或者最后一帧画面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7.支持环路备份，接收卡与接收卡间通过主备线路连接成环路。线路某处出现故障时，屏体仍能正常显示。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8.支持程序备份，接收卡出厂时保存了两份应用程序，以防程序是新过程异常导致的接收卡死锁问题。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9.支持画面90°倍数旋转。画面以90°的倍数（0°/90°/180°/270°）进行旋转。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10.★通过软件调节，可以解决箱体或灯板之间，因拼接导致的亮暗线问题，支持灯板flash管理，校正系数双备份，更换灯板后，无需重新上传校正系数，屏体重新断上电即可使用对应灯板校正系数（响应条件  需要提供第三方检测机构出具的CNAS、 CMA、ilac-MRA的检测报告 ，需加盖生产厂家公章）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11.支持5pin 液晶模块，用于显示接收卡的温度、电压、单次运行时间和总运行时间。支持千兆网，可通过网线直接连接PC端进行调试和显示，无需发送卡；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12.RGB独立Gamma调节技术增加调节维度，通过对“红 Gamma”、“绿 Gamma”、“蓝 Gamma”分别进行调节，有效控制显示屏低灰不均匀、白平衡漂移等问题，使画面更加真实，提高色彩调节的灵活性，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可以监测自身的温度和电压，无需其他外设，在软件上可以查看接收卡的温度和电压，检测发送设备与接收卡间或接收卡与接收卡间的网络通讯质量，记录错误包数，协助排除网络通讯隐患，支持可以回读接收卡的固件程序并保存到本地，软件可以回读接收卡配置参数并保存到本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14.★通过主备冗余机制增加接收卡间网线级联的可靠性。主备级联线路中，当其中一条线路出现故障时，另一条线路会即时工作，保证显示屏正常工作（响应条件需要提供第三方检测机构出具的CNAS、 CMA、ilac-MRA的检测报告 ，需加盖生产厂家公章）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15.为保证产品的智能化，需提供智能LED显示屏运行状态监控系统和监控方法相关证书复印件，加盖生产厂家公章。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0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5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C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6C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C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5V200W开关电源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1、保护功能：输入欠压保护，过载保护，短路保护，过压保护。异常解除，自动恢复正常工作。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2、★输出功率：200W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3、额定输入电压：200-240Vac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4、输出电压：5V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5、输出电流：0-40V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6、稳压精度：±2%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7、纹波及噪音：200mV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8、输入电压范围：190-264Vac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9、★功率：88%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10、★工作温度.湿度：-30+60℃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11、储存温度：-40+80℃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12、工作相对湿度：10～50% RH,无冷凝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4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3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B1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备用2张</w:t>
            </w:r>
          </w:p>
        </w:tc>
      </w:tr>
      <w:tr w14:paraId="5D72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配套线材型材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F9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成品三芯线；用于电源与电源连接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接收卡长排线：16P排线；用于模组于接收卡信号连接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b w:val="0"/>
                <w:bCs w:val="0"/>
                <w:sz w:val="22"/>
                <w:szCs w:val="22"/>
                <w:lang w:val="en-US" w:eastAsia="zh-CN" w:bidi="ar"/>
              </w:rPr>
              <w:t>型材：100*50显示屏专用型材</w:t>
            </w:r>
            <w:r>
              <w:rPr>
                <w:rStyle w:val="9"/>
                <w:b w:val="0"/>
                <w:bCs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b w:val="0"/>
                <w:bCs w:val="0"/>
                <w:sz w:val="22"/>
                <w:szCs w:val="22"/>
                <w:lang w:val="en-US" w:eastAsia="zh-CN" w:bidi="ar"/>
              </w:rPr>
              <w:t>方管：国标40*40*3方管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1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6F9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6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20KW配电箱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3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20KW智能配电柜，满足过流、短路、断路、过压、欠压等保护措施，支持远程上电、分步上电的功能，具有状态自动检测与状态异常报警功能。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8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C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0B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C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48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3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1.支持常见的视频接口，包括2 路 HDMI1.4，1 路 DVI。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2.支持音频输入输出，支持HDMI伴随音频输入；支持3.5mm独立音频输入；支持3.5mm独立音频输出；支持通过多功能卡进行音频输出。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 3 个窗口。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4.支持 HDMI、DVI 输入分辨率自定义调节。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5.支持设备间备份，支持网口备份设置。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6.视频输出最大带载高达 650 万像素。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7.★支持一键将优先级最低的窗口全屏自动缩放，增强产品实用性能。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8.支持创建 10 个用户场景作为模板保存，方便使用。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9.▲产品本身集成视频处理器与发送卡于一体。（可提供《二合一嵌入式软件著作权证书》表明产品本身技术的优先性）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10.▲支持逐点亮色度校正技术，校正过程快速高效，支持直接现场校正；（提供逐点亮色度校正证书）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11.提供厂家3C认证证书。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12.提供LED显示屏控制软件和播放软件计算机软件著作权证书。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13.提供CNAS认证的第三方检测报告。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E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2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05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6BD1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功放、音响</w:t>
            </w:r>
          </w:p>
        </w:tc>
        <w:tc>
          <w:tcPr>
            <w:tcW w:w="48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463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功率:30W；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定压输入:70V-100V；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频响:130Hz-15KHz；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灵敏度:93±3dB；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外观尺寸:485*160*115mm；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安装形式:壁挂式室内音柱；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装饰材料:木质/布网；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重量KG:4kg；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喇叭尺寸:4"*3+1.5寸高音；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采用独特、高效率的D类放大电路，具有稳定高效节能、宽电压、噪声小等优势;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定压70V、100V输出及定阻4-16Ω输出;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3路辅助（AUX）线路输入，2路话筒（MIC）输入，1路辅助输出，可级联下一台后级功放;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话筒1有优先默音功能，2路话筒输入及3路辅助输入音量独立可调，同时具有总音量控制;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带有高低音EQ调节功能;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具有信号饱和失真、开关机防冲击保护及三级LED信号电平指示灯;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设有先进过载、过热、短路保护功能及LED警示灯;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线路设有压限功能，可预防功放输出过大从而保护扬声器;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采用智能温控低噪声风扇，可以让机器长期时间工作。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电源:AC～220V\50Hz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噪声比话筒:&gt;68dB线路：&gt;82dB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总谐波失真:&lt;0.1%at1KHz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频率响应:60Hz-18KHz（±2dB）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音调低音:±10dBat100Hz，高音：±10dBBat10KHz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话筒输入灵敏度&amp;阻抗：8mV\600Ω不平衡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线路输入灵敏度&amp;阻抗：250mV\10KΩ不平衡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线路输出灵敏度&amp;阻抗:1V\600Ω不平衡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默音调节:0～38dB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输出功率:120W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电源功耗:10～80W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尺寸(宽×深×高):480×430×90mm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净重:8.0kg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0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8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2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F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94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9AF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显示屏钢结构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0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3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D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36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7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主电缆线及主网线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据现场施工情况配备足够数量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4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9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64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ED9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B1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D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3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30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我方自备，无需报价</w:t>
            </w:r>
          </w:p>
        </w:tc>
      </w:tr>
      <w:tr w14:paraId="4FC4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安装+调试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01A97B">
      <w:pPr>
        <w:pStyle w:val="8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7A43586D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TJiMTE5MTAwZWJmMDg4YTExM2NiMjUzOTcyY2IifQ=="/>
  </w:docVars>
  <w:rsids>
    <w:rsidRoot w:val="10DF4FC1"/>
    <w:rsid w:val="06E415DA"/>
    <w:rsid w:val="10DF4FC1"/>
    <w:rsid w:val="1F7935DB"/>
    <w:rsid w:val="26C80881"/>
    <w:rsid w:val="2D104FC1"/>
    <w:rsid w:val="2EDA0CAC"/>
    <w:rsid w:val="3A8D72B7"/>
    <w:rsid w:val="45062140"/>
    <w:rsid w:val="48F549A5"/>
    <w:rsid w:val="538912C2"/>
    <w:rsid w:val="572B7017"/>
    <w:rsid w:val="57C2639A"/>
    <w:rsid w:val="59753262"/>
    <w:rsid w:val="6A4175F2"/>
    <w:rsid w:val="6AA90E8C"/>
    <w:rsid w:val="6C5E169B"/>
    <w:rsid w:val="713F5AC0"/>
    <w:rsid w:val="760522A8"/>
    <w:rsid w:val="7A68759F"/>
    <w:rsid w:val="7B7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3837</Words>
  <Characters>4540</Characters>
  <Lines>0</Lines>
  <Paragraphs>0</Paragraphs>
  <TotalTime>44</TotalTime>
  <ScaleCrop>false</ScaleCrop>
  <LinksUpToDate>false</LinksUpToDate>
  <CharactersWithSpaces>4635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2024-08-26T03:10:00Z</dcterms:created>
  <dc:creator>念你安好~</dc:creator>
  <cp:lastModifiedBy>财务科 李劭博</cp:lastModifiedBy>
  <dcterms:modified xsi:type="dcterms:W3CDTF">2024-10-11T09:47:01Z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4B0F7D35732842D6BB03F12114C3CB50_13</vt:lpwstr>
  </property>
</Properties>
</file>