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0"/>
        </w:numPr>
        <w:jc w:val="left"/>
        <w:rPr>
          <w:rFonts w:hint="eastAsia"/>
          <w:sz w:val="30"/>
          <w:szCs w:val="30"/>
        </w:rPr>
      </w:pPr>
      <w:r>
        <w:rPr>
          <w:rFonts w:hint="eastAsia"/>
          <w:b/>
          <w:bCs/>
          <w:sz w:val="30"/>
          <w:szCs w:val="30"/>
        </w:rPr>
        <w:t>项目名称</w:t>
      </w:r>
      <w:r>
        <w:rPr>
          <w:rFonts w:hint="eastAsia"/>
          <w:sz w:val="30"/>
          <w:szCs w:val="30"/>
        </w:rPr>
        <w:t>：</w:t>
      </w:r>
      <w:r>
        <w:rPr>
          <w:rFonts w:hint="eastAsia"/>
          <w:sz w:val="30"/>
          <w:szCs w:val="30"/>
          <w:lang w:val="en-US" w:eastAsia="zh-CN"/>
        </w:rPr>
        <w:t>自治区机关事务信息化平台房地产管理系统云服务器租赁服务项目采购需求</w:t>
      </w:r>
    </w:p>
    <w:p>
      <w:pPr>
        <w:rPr>
          <w:b/>
          <w:bCs/>
          <w:sz w:val="30"/>
          <w:szCs w:val="30"/>
        </w:rPr>
      </w:pPr>
      <w:r>
        <w:rPr>
          <w:rFonts w:hint="eastAsia"/>
          <w:b/>
          <w:bCs/>
          <w:sz w:val="30"/>
          <w:szCs w:val="30"/>
        </w:rPr>
        <w:t>2.项目单位：</w:t>
      </w:r>
      <w:r>
        <w:rPr>
          <w:rFonts w:hint="eastAsia"/>
          <w:sz w:val="30"/>
          <w:szCs w:val="30"/>
        </w:rPr>
        <w:t>新疆维吾尔自治区机关事务管理局</w:t>
      </w:r>
    </w:p>
    <w:p>
      <w:pPr>
        <w:rPr>
          <w:rFonts w:hint="eastAsia"/>
          <w:sz w:val="30"/>
          <w:szCs w:val="30"/>
          <w:highlight w:val="yellow"/>
          <w:lang w:val="en-US" w:eastAsia="zh-CN"/>
        </w:rPr>
      </w:pPr>
      <w:r>
        <w:rPr>
          <w:rFonts w:hint="eastAsia"/>
          <w:b/>
          <w:bCs/>
          <w:sz w:val="30"/>
          <w:szCs w:val="30"/>
        </w:rPr>
        <w:t>3.项目需求</w:t>
      </w:r>
      <w:r>
        <w:rPr>
          <w:rFonts w:hint="eastAsia"/>
          <w:sz w:val="30"/>
          <w:szCs w:val="30"/>
        </w:rPr>
        <w:t>：</w:t>
      </w:r>
      <w:r>
        <w:rPr>
          <w:rFonts w:hint="eastAsia"/>
          <w:sz w:val="30"/>
          <w:szCs w:val="30"/>
          <w:lang w:val="en-US" w:eastAsia="zh-CN"/>
        </w:rPr>
        <w:t>自治区机关事务信息化平台房地产管理系统云服务器租赁服务项目</w:t>
      </w:r>
      <w:bookmarkStart w:id="0" w:name="_GoBack"/>
      <w:bookmarkEnd w:id="0"/>
      <w:r>
        <w:rPr>
          <w:rFonts w:hint="eastAsia"/>
          <w:sz w:val="30"/>
          <w:szCs w:val="30"/>
        </w:rPr>
        <w:t>采用购买服务方式建设，</w:t>
      </w:r>
      <w:r>
        <w:rPr>
          <w:rFonts w:hint="eastAsia"/>
          <w:sz w:val="30"/>
          <w:szCs w:val="30"/>
          <w:lang w:val="en-US" w:eastAsia="zh-CN"/>
        </w:rPr>
        <w:t>房地产管理系统云服务器</w:t>
      </w:r>
      <w:r>
        <w:rPr>
          <w:rFonts w:hint="eastAsia"/>
          <w:sz w:val="30"/>
          <w:szCs w:val="30"/>
        </w:rPr>
        <w:t>为私有云性质，</w:t>
      </w:r>
      <w:r>
        <w:rPr>
          <w:rFonts w:hint="eastAsia"/>
          <w:sz w:val="30"/>
          <w:szCs w:val="30"/>
          <w:lang w:val="en-US" w:eastAsia="zh-CN"/>
        </w:rPr>
        <w:t>全部</w:t>
      </w:r>
      <w:r>
        <w:rPr>
          <w:rFonts w:hint="eastAsia"/>
          <w:sz w:val="30"/>
          <w:szCs w:val="30"/>
        </w:rPr>
        <w:t>由</w:t>
      </w:r>
      <w:r>
        <w:rPr>
          <w:rFonts w:hint="eastAsia"/>
          <w:sz w:val="30"/>
          <w:szCs w:val="30"/>
          <w:lang w:val="en-US" w:eastAsia="zh-CN"/>
        </w:rPr>
        <w:t>专</w:t>
      </w:r>
      <w:r>
        <w:rPr>
          <w:rFonts w:hint="eastAsia"/>
          <w:sz w:val="30"/>
          <w:szCs w:val="30"/>
        </w:rPr>
        <w:t>网区</w:t>
      </w:r>
      <w:r>
        <w:rPr>
          <w:rFonts w:hint="eastAsia"/>
          <w:sz w:val="30"/>
          <w:szCs w:val="30"/>
          <w:lang w:val="en-US" w:eastAsia="zh-CN"/>
        </w:rPr>
        <w:t>服务器</w:t>
      </w:r>
      <w:r>
        <w:rPr>
          <w:rFonts w:hint="eastAsia"/>
          <w:sz w:val="30"/>
          <w:szCs w:val="30"/>
        </w:rPr>
        <w:t>组成，本项目服务内容包含</w:t>
      </w:r>
      <w:r>
        <w:rPr>
          <w:rFonts w:hint="eastAsia"/>
          <w:sz w:val="30"/>
          <w:szCs w:val="30"/>
          <w:lang w:val="en-US" w:eastAsia="zh-CN"/>
        </w:rPr>
        <w:t>房地产管理系统云服务器专</w:t>
      </w:r>
      <w:r>
        <w:rPr>
          <w:rFonts w:hint="eastAsia"/>
          <w:sz w:val="30"/>
          <w:szCs w:val="30"/>
        </w:rPr>
        <w:t>网区承载服务、</w:t>
      </w:r>
      <w:r>
        <w:rPr>
          <w:rFonts w:hint="eastAsia"/>
          <w:sz w:val="30"/>
          <w:szCs w:val="30"/>
          <w:lang w:val="en-US" w:eastAsia="zh-CN"/>
        </w:rPr>
        <w:t>房地产管理系统云服务器</w:t>
      </w:r>
      <w:r>
        <w:rPr>
          <w:rFonts w:hint="eastAsia"/>
          <w:sz w:val="30"/>
          <w:szCs w:val="30"/>
        </w:rPr>
        <w:t>运维服务、</w:t>
      </w:r>
      <w:r>
        <w:rPr>
          <w:rFonts w:hint="eastAsia"/>
          <w:sz w:val="30"/>
          <w:szCs w:val="30"/>
          <w:lang w:val="en-US" w:eastAsia="zh-CN"/>
        </w:rPr>
        <w:t>房地产管理系统云服务器数据灾备服务、房地产管理系统云服务器</w:t>
      </w:r>
      <w:r>
        <w:rPr>
          <w:rFonts w:hint="eastAsia"/>
          <w:sz w:val="30"/>
          <w:szCs w:val="30"/>
        </w:rPr>
        <w:t>网络安全运维服务</w:t>
      </w:r>
      <w:r>
        <w:rPr>
          <w:rFonts w:hint="eastAsia"/>
          <w:sz w:val="30"/>
          <w:szCs w:val="30"/>
          <w:lang w:val="en-US" w:eastAsia="zh-CN"/>
        </w:rPr>
        <w:t>以</w:t>
      </w:r>
      <w:r>
        <w:rPr>
          <w:rFonts w:hint="eastAsia"/>
          <w:sz w:val="30"/>
          <w:szCs w:val="30"/>
        </w:rPr>
        <w:t>及与机关事务专属云互联网区数据对接服务。提供</w:t>
      </w:r>
      <w:r>
        <w:rPr>
          <w:rFonts w:hint="eastAsia"/>
          <w:color w:val="auto"/>
          <w:sz w:val="30"/>
          <w:szCs w:val="30"/>
          <w:lang w:val="en-US" w:eastAsia="zh-CN"/>
        </w:rPr>
        <w:t>400</w:t>
      </w:r>
      <w:r>
        <w:rPr>
          <w:rFonts w:hint="eastAsia"/>
          <w:sz w:val="30"/>
          <w:szCs w:val="30"/>
        </w:rPr>
        <w:t>核vCPU，</w:t>
      </w:r>
      <w:r>
        <w:rPr>
          <w:rFonts w:hint="eastAsia"/>
          <w:sz w:val="30"/>
          <w:szCs w:val="30"/>
          <w:lang w:val="en-US" w:eastAsia="zh-CN"/>
        </w:rPr>
        <w:t>800</w:t>
      </w:r>
      <w:r>
        <w:rPr>
          <w:rFonts w:hint="eastAsia"/>
          <w:sz w:val="30"/>
          <w:szCs w:val="30"/>
        </w:rPr>
        <w:t>G内存和</w:t>
      </w:r>
      <w:r>
        <w:rPr>
          <w:rFonts w:hint="eastAsia"/>
          <w:sz w:val="30"/>
          <w:szCs w:val="30"/>
          <w:lang w:val="en-US" w:eastAsia="zh-CN"/>
        </w:rPr>
        <w:t>250</w:t>
      </w:r>
      <w:r>
        <w:rPr>
          <w:rFonts w:hint="eastAsia"/>
          <w:sz w:val="30"/>
          <w:szCs w:val="30"/>
        </w:rPr>
        <w:t>T存储空间，提供</w:t>
      </w:r>
      <w:r>
        <w:rPr>
          <w:rFonts w:hint="eastAsia"/>
          <w:sz w:val="30"/>
          <w:szCs w:val="30"/>
          <w:lang w:val="en-US" w:eastAsia="zh-CN"/>
        </w:rPr>
        <w:t>云服务器</w:t>
      </w:r>
      <w:r>
        <w:rPr>
          <w:rFonts w:hint="eastAsia"/>
          <w:sz w:val="30"/>
          <w:szCs w:val="30"/>
        </w:rPr>
        <w:t>网络安全服务，提供数据备份服务，数据定期备份至异地数据中心，包含</w:t>
      </w:r>
      <w:r>
        <w:rPr>
          <w:rFonts w:hint="eastAsia"/>
          <w:sz w:val="30"/>
          <w:szCs w:val="30"/>
          <w:lang w:val="en-US" w:eastAsia="zh-CN"/>
        </w:rPr>
        <w:t>30</w:t>
      </w:r>
      <w:r>
        <w:rPr>
          <w:rFonts w:hint="eastAsia"/>
          <w:sz w:val="30"/>
          <w:szCs w:val="30"/>
        </w:rPr>
        <w:t>T可用备份空间以及</w:t>
      </w:r>
      <w:r>
        <w:rPr>
          <w:rFonts w:hint="eastAsia"/>
          <w:sz w:val="30"/>
          <w:szCs w:val="30"/>
          <w:lang w:val="en-US" w:eastAsia="zh-CN"/>
        </w:rPr>
        <w:t>100M</w:t>
      </w:r>
      <w:r>
        <w:rPr>
          <w:rFonts w:hint="eastAsia"/>
          <w:sz w:val="30"/>
          <w:szCs w:val="30"/>
        </w:rPr>
        <w:t>链路</w:t>
      </w:r>
      <w:r>
        <w:rPr>
          <w:rFonts w:hint="eastAsia"/>
          <w:sz w:val="30"/>
          <w:szCs w:val="30"/>
          <w:lang w:eastAsia="zh-CN"/>
        </w:rPr>
        <w:t>，</w:t>
      </w:r>
      <w:r>
        <w:rPr>
          <w:rFonts w:hint="eastAsia"/>
          <w:sz w:val="30"/>
          <w:szCs w:val="30"/>
        </w:rPr>
        <w:t>具备通过《信息安全技术网络安全等级保护基本要求》第三级安全保护标准测评和《信息安全技术信息系统密码应用基本要求》第三级标准测评；</w:t>
      </w:r>
      <w:r>
        <w:rPr>
          <w:rFonts w:hint="eastAsia"/>
          <w:sz w:val="30"/>
          <w:szCs w:val="30"/>
          <w:highlight w:val="yellow"/>
          <w:lang w:eastAsia="zh-CN"/>
        </w:rPr>
        <w:t>提供云</w:t>
      </w:r>
      <w:r>
        <w:rPr>
          <w:rFonts w:hint="eastAsia"/>
          <w:sz w:val="30"/>
          <w:szCs w:val="30"/>
          <w:highlight w:val="yellow"/>
          <w:lang w:val="en-US" w:eastAsia="zh-CN"/>
        </w:rPr>
        <w:t>服务器</w:t>
      </w:r>
      <w:r>
        <w:rPr>
          <w:rFonts w:hint="eastAsia"/>
          <w:sz w:val="30"/>
          <w:szCs w:val="30"/>
          <w:highlight w:val="yellow"/>
          <w:lang w:eastAsia="zh-CN"/>
        </w:rPr>
        <w:t>资源服务的供应商须</w:t>
      </w:r>
      <w:r>
        <w:rPr>
          <w:rFonts w:hint="eastAsia"/>
          <w:sz w:val="30"/>
          <w:szCs w:val="30"/>
          <w:highlight w:val="yellow"/>
          <w:lang w:val="en-US" w:eastAsia="zh-CN"/>
        </w:rPr>
        <w:t>按照中央网信办相关工作要求，通过云计算服务安全评估</w:t>
      </w:r>
      <w:r>
        <w:rPr>
          <w:rFonts w:hint="eastAsia"/>
          <w:sz w:val="30"/>
          <w:szCs w:val="30"/>
          <w:highlight w:val="yellow"/>
          <w:lang w:eastAsia="zh-CN"/>
        </w:rPr>
        <w:t>。</w:t>
      </w:r>
      <w:r>
        <w:rPr>
          <w:rFonts w:hint="eastAsia"/>
          <w:sz w:val="30"/>
          <w:szCs w:val="30"/>
          <w:highlight w:val="yellow"/>
          <w:lang w:val="en-US" w:eastAsia="zh-CN"/>
        </w:rPr>
        <w:t>提供的云服务器基础设施具有连续性，确保自治区机关事务局房地产管理系统现有业务不间断，安全有效运行。</w:t>
      </w:r>
    </w:p>
    <w:p>
      <w:pPr>
        <w:rPr>
          <w:rFonts w:hint="eastAsia"/>
          <w:sz w:val="30"/>
          <w:szCs w:val="30"/>
          <w:highlight w:val="none"/>
          <w:lang w:val="en-US" w:eastAsia="zh-CN"/>
        </w:rPr>
      </w:pPr>
      <w:r>
        <w:rPr>
          <w:rFonts w:hint="eastAsia"/>
          <w:sz w:val="30"/>
          <w:szCs w:val="30"/>
          <w:highlight w:val="none"/>
          <w:lang w:val="en-US" w:eastAsia="zh-CN"/>
        </w:rPr>
        <w:t xml:space="preserve">    根据财政部令《政府购买服务管理办法》中第二十四条，政府购买服务合同履行期一般不超过1年；在预算保障的前提下，对于购买内容相对固定、连续性强、经费来源稳定、价格变化幅度小的政府购买服务项目，可以签订履行期限不超过3年的政府购买服务合同。自治区机关事务管理局对中标方服务期内的服务内容和质量等进行评估。如符合条件，待一年服务期届满再续签两年。</w:t>
      </w:r>
    </w:p>
    <w:p>
      <w:pPr>
        <w:rPr>
          <w:rFonts w:hint="eastAsia"/>
          <w:sz w:val="30"/>
          <w:szCs w:val="30"/>
          <w:highlight w:val="none"/>
          <w:lang w:val="en-US" w:eastAsia="zh-CN"/>
        </w:rPr>
      </w:pPr>
      <w:r>
        <w:rPr>
          <w:rFonts w:hint="eastAsia"/>
          <w:sz w:val="30"/>
          <w:szCs w:val="30"/>
          <w:highlight w:val="none"/>
          <w:lang w:val="en-US" w:eastAsia="zh-CN"/>
        </w:rPr>
        <w:br w:type="page"/>
      </w:r>
    </w:p>
    <w:tbl>
      <w:tblPr>
        <w:tblStyle w:val="30"/>
        <w:tblW w:w="8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1234"/>
        <w:gridCol w:w="393"/>
        <w:gridCol w:w="1252"/>
        <w:gridCol w:w="1514"/>
        <w:gridCol w:w="311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7" w:type="dxa"/>
            <w:tcMar>
              <w:top w:w="0" w:type="dxa"/>
              <w:left w:w="108" w:type="dxa"/>
              <w:bottom w:w="0" w:type="dxa"/>
              <w:right w:w="108" w:type="dxa"/>
            </w:tcMar>
            <w:vAlign w:val="center"/>
          </w:tcPr>
          <w:p>
            <w:pPr>
              <w:spacing w:line="400" w:lineRule="exact"/>
              <w:jc w:val="center"/>
              <w:rPr>
                <w:szCs w:val="24"/>
              </w:rPr>
            </w:pPr>
            <w:r>
              <w:rPr>
                <w:rFonts w:hint="eastAsia"/>
                <w:szCs w:val="24"/>
              </w:rPr>
              <w:t>序号</w:t>
            </w:r>
          </w:p>
        </w:tc>
        <w:tc>
          <w:tcPr>
            <w:tcW w:w="1627" w:type="dxa"/>
            <w:gridSpan w:val="2"/>
            <w:tcMar>
              <w:top w:w="0" w:type="dxa"/>
              <w:left w:w="108" w:type="dxa"/>
              <w:bottom w:w="0" w:type="dxa"/>
              <w:right w:w="108" w:type="dxa"/>
            </w:tcMar>
            <w:vAlign w:val="center"/>
          </w:tcPr>
          <w:p>
            <w:pPr>
              <w:spacing w:line="400" w:lineRule="exact"/>
              <w:jc w:val="center"/>
              <w:rPr>
                <w:szCs w:val="24"/>
              </w:rPr>
            </w:pPr>
            <w:r>
              <w:rPr>
                <w:rFonts w:hint="eastAsia"/>
                <w:szCs w:val="24"/>
              </w:rPr>
              <w:t>名称</w:t>
            </w:r>
          </w:p>
        </w:tc>
        <w:tc>
          <w:tcPr>
            <w:tcW w:w="1252" w:type="dxa"/>
            <w:tcMar>
              <w:top w:w="0" w:type="dxa"/>
              <w:left w:w="108" w:type="dxa"/>
              <w:bottom w:w="0" w:type="dxa"/>
              <w:right w:w="108" w:type="dxa"/>
            </w:tcMar>
            <w:vAlign w:val="center"/>
          </w:tcPr>
          <w:p>
            <w:pPr>
              <w:spacing w:line="400" w:lineRule="exact"/>
              <w:jc w:val="center"/>
              <w:rPr>
                <w:szCs w:val="24"/>
              </w:rPr>
            </w:pPr>
            <w:r>
              <w:rPr>
                <w:rFonts w:hint="eastAsia"/>
                <w:szCs w:val="24"/>
              </w:rPr>
              <w:t>数量</w:t>
            </w:r>
          </w:p>
        </w:tc>
        <w:tc>
          <w:tcPr>
            <w:tcW w:w="1514" w:type="dxa"/>
            <w:tcMar>
              <w:top w:w="0" w:type="dxa"/>
              <w:left w:w="108" w:type="dxa"/>
              <w:bottom w:w="0" w:type="dxa"/>
              <w:right w:w="108" w:type="dxa"/>
            </w:tcMar>
            <w:vAlign w:val="center"/>
          </w:tcPr>
          <w:p>
            <w:pPr>
              <w:spacing w:line="400" w:lineRule="exact"/>
              <w:jc w:val="center"/>
              <w:rPr>
                <w:szCs w:val="24"/>
              </w:rPr>
            </w:pPr>
            <w:r>
              <w:rPr>
                <w:rFonts w:hint="eastAsia"/>
                <w:szCs w:val="24"/>
              </w:rPr>
              <w:t>单位</w:t>
            </w:r>
          </w:p>
        </w:tc>
        <w:tc>
          <w:tcPr>
            <w:tcW w:w="3117" w:type="dxa"/>
            <w:tcMar>
              <w:top w:w="0" w:type="dxa"/>
              <w:left w:w="108" w:type="dxa"/>
              <w:bottom w:w="0" w:type="dxa"/>
              <w:right w:w="108" w:type="dxa"/>
            </w:tcMar>
            <w:vAlign w:val="center"/>
          </w:tcPr>
          <w:p>
            <w:pPr>
              <w:spacing w:line="400" w:lineRule="exact"/>
              <w:jc w:val="center"/>
              <w:rPr>
                <w:szCs w:val="24"/>
              </w:rPr>
            </w:pPr>
            <w:r>
              <w:rPr>
                <w:rFonts w:hint="eastAsia"/>
                <w:szCs w:val="24"/>
              </w:rPr>
              <w:t>货物/服务</w:t>
            </w:r>
          </w:p>
        </w:tc>
        <w:tc>
          <w:tcPr>
            <w:tcW w:w="719" w:type="dxa"/>
            <w:tcMar>
              <w:top w:w="0" w:type="dxa"/>
              <w:left w:w="108" w:type="dxa"/>
              <w:bottom w:w="0" w:type="dxa"/>
              <w:right w:w="108" w:type="dxa"/>
            </w:tcMar>
            <w:vAlign w:val="center"/>
          </w:tcPr>
          <w:p>
            <w:pPr>
              <w:spacing w:line="400" w:lineRule="exact"/>
              <w:jc w:val="center"/>
              <w:rPr>
                <w:szCs w:val="24"/>
              </w:rPr>
            </w:pPr>
            <w:r>
              <w:rPr>
                <w:rFonts w:hint="eastAsia" w:ascii="宋体"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37" w:type="dxa"/>
            <w:tcMar>
              <w:top w:w="0" w:type="dxa"/>
              <w:left w:w="108" w:type="dxa"/>
              <w:bottom w:w="0" w:type="dxa"/>
              <w:right w:w="108" w:type="dxa"/>
            </w:tcMar>
            <w:vAlign w:val="center"/>
          </w:tcPr>
          <w:p>
            <w:pPr>
              <w:spacing w:line="400" w:lineRule="exact"/>
              <w:jc w:val="center"/>
              <w:rPr>
                <w:szCs w:val="24"/>
              </w:rPr>
            </w:pPr>
            <w:r>
              <w:rPr>
                <w:rFonts w:hint="eastAsia"/>
                <w:szCs w:val="24"/>
              </w:rPr>
              <w:t>1</w:t>
            </w:r>
          </w:p>
        </w:tc>
        <w:tc>
          <w:tcPr>
            <w:tcW w:w="1627" w:type="dxa"/>
            <w:gridSpan w:val="2"/>
            <w:tcMar>
              <w:top w:w="0" w:type="dxa"/>
              <w:left w:w="108" w:type="dxa"/>
              <w:bottom w:w="0" w:type="dxa"/>
              <w:right w:w="108" w:type="dxa"/>
            </w:tcMar>
            <w:vAlign w:val="center"/>
          </w:tcPr>
          <w:p>
            <w:pPr>
              <w:spacing w:line="400" w:lineRule="exact"/>
              <w:jc w:val="center"/>
              <w:rPr>
                <w:rFonts w:hint="eastAsia"/>
                <w:szCs w:val="24"/>
                <w:lang w:val="en-US" w:eastAsia="zh-CN"/>
              </w:rPr>
            </w:pPr>
            <w:r>
              <w:rPr>
                <w:rFonts w:hint="eastAsia"/>
                <w:szCs w:val="24"/>
              </w:rPr>
              <w:t>云</w:t>
            </w:r>
            <w:r>
              <w:rPr>
                <w:rFonts w:hint="eastAsia"/>
                <w:szCs w:val="24"/>
                <w:lang w:val="en-US" w:eastAsia="zh-CN"/>
              </w:rPr>
              <w:t>服务器</w:t>
            </w:r>
          </w:p>
          <w:p>
            <w:pPr>
              <w:spacing w:line="400" w:lineRule="exact"/>
              <w:jc w:val="center"/>
              <w:rPr>
                <w:szCs w:val="24"/>
              </w:rPr>
            </w:pPr>
            <w:r>
              <w:rPr>
                <w:rFonts w:hint="eastAsia"/>
                <w:szCs w:val="24"/>
                <w:lang w:val="en-US" w:eastAsia="zh-CN"/>
              </w:rPr>
              <w:t>资源</w:t>
            </w:r>
            <w:r>
              <w:rPr>
                <w:rFonts w:hint="eastAsia"/>
                <w:szCs w:val="24"/>
              </w:rPr>
              <w:t>服务</w:t>
            </w:r>
          </w:p>
        </w:tc>
        <w:tc>
          <w:tcPr>
            <w:tcW w:w="1252" w:type="dxa"/>
            <w:tcMar>
              <w:top w:w="0" w:type="dxa"/>
              <w:left w:w="108" w:type="dxa"/>
              <w:bottom w:w="0" w:type="dxa"/>
              <w:right w:w="108" w:type="dxa"/>
            </w:tcMar>
            <w:vAlign w:val="center"/>
          </w:tcPr>
          <w:p>
            <w:pPr>
              <w:spacing w:line="400" w:lineRule="exact"/>
              <w:jc w:val="center"/>
              <w:rPr>
                <w:szCs w:val="24"/>
              </w:rPr>
            </w:pPr>
            <w:r>
              <w:rPr>
                <w:rFonts w:hint="eastAsia"/>
                <w:szCs w:val="24"/>
              </w:rPr>
              <w:t>1</w:t>
            </w:r>
          </w:p>
        </w:tc>
        <w:tc>
          <w:tcPr>
            <w:tcW w:w="1514" w:type="dxa"/>
            <w:tcMar>
              <w:top w:w="0" w:type="dxa"/>
              <w:left w:w="108" w:type="dxa"/>
              <w:bottom w:w="0" w:type="dxa"/>
              <w:right w:w="108" w:type="dxa"/>
            </w:tcMar>
            <w:vAlign w:val="center"/>
          </w:tcPr>
          <w:p>
            <w:pPr>
              <w:spacing w:line="400" w:lineRule="exact"/>
              <w:jc w:val="center"/>
              <w:rPr>
                <w:szCs w:val="24"/>
              </w:rPr>
            </w:pPr>
            <w:r>
              <w:rPr>
                <w:rFonts w:hint="eastAsia"/>
                <w:szCs w:val="24"/>
              </w:rPr>
              <w:t>项</w:t>
            </w:r>
          </w:p>
        </w:tc>
        <w:tc>
          <w:tcPr>
            <w:tcW w:w="3117" w:type="dxa"/>
            <w:tcMar>
              <w:top w:w="0" w:type="dxa"/>
              <w:left w:w="108" w:type="dxa"/>
              <w:bottom w:w="0" w:type="dxa"/>
              <w:right w:w="108" w:type="dxa"/>
            </w:tcMar>
            <w:vAlign w:val="center"/>
          </w:tcPr>
          <w:p>
            <w:pPr>
              <w:spacing w:line="400" w:lineRule="exact"/>
              <w:rPr>
                <w:szCs w:val="24"/>
              </w:rPr>
            </w:pPr>
            <w:r>
              <w:rPr>
                <w:rFonts w:hint="eastAsia" w:ascii="宋体" w:hAnsi="宋体" w:cs="宋体"/>
                <w:szCs w:val="24"/>
              </w:rPr>
              <w:t>提供独立的专属云资源，C</w:t>
            </w:r>
            <w:r>
              <w:rPr>
                <w:rFonts w:ascii="宋体" w:hAnsi="宋体" w:cs="宋体"/>
                <w:szCs w:val="24"/>
              </w:rPr>
              <w:t xml:space="preserve">PU </w:t>
            </w:r>
            <w:r>
              <w:rPr>
                <w:rFonts w:hint="eastAsia" w:ascii="宋体" w:hAnsi="宋体" w:cs="宋体"/>
                <w:szCs w:val="24"/>
                <w:lang w:val="en-US" w:eastAsia="zh-CN"/>
              </w:rPr>
              <w:t>240</w:t>
            </w:r>
            <w:r>
              <w:rPr>
                <w:rFonts w:hint="eastAsia" w:ascii="宋体" w:hAnsi="宋体" w:cs="宋体"/>
                <w:szCs w:val="24"/>
              </w:rPr>
              <w:t>核，内存</w:t>
            </w:r>
            <w:r>
              <w:rPr>
                <w:rFonts w:hint="eastAsia" w:ascii="宋体" w:hAnsi="宋体" w:cs="宋体"/>
                <w:szCs w:val="24"/>
                <w:lang w:val="en-US" w:eastAsia="zh-CN"/>
              </w:rPr>
              <w:t>480</w:t>
            </w:r>
            <w:r>
              <w:rPr>
                <w:rFonts w:ascii="宋体" w:hAnsi="宋体" w:cs="宋体"/>
                <w:szCs w:val="24"/>
              </w:rPr>
              <w:t>G</w:t>
            </w:r>
            <w:r>
              <w:rPr>
                <w:rFonts w:hint="eastAsia" w:ascii="宋体" w:hAnsi="宋体" w:cs="宋体"/>
                <w:szCs w:val="24"/>
              </w:rPr>
              <w:t>，</w:t>
            </w:r>
            <w:r>
              <w:rPr>
                <w:rFonts w:hint="eastAsia" w:ascii="宋体" w:hAnsi="宋体" w:cs="宋体"/>
                <w:szCs w:val="24"/>
                <w:lang w:val="en-US" w:eastAsia="zh-CN"/>
              </w:rPr>
              <w:t>150</w:t>
            </w:r>
            <w:r>
              <w:rPr>
                <w:rFonts w:ascii="宋体" w:hAnsi="宋体" w:cs="宋体"/>
                <w:szCs w:val="24"/>
              </w:rPr>
              <w:t>T</w:t>
            </w:r>
            <w:r>
              <w:rPr>
                <w:rFonts w:hint="eastAsia" w:ascii="宋体" w:hAnsi="宋体" w:cs="宋体"/>
                <w:szCs w:val="24"/>
              </w:rPr>
              <w:t>存储空间，</w:t>
            </w:r>
            <w:r>
              <w:rPr>
                <w:rFonts w:hint="eastAsia"/>
                <w:szCs w:val="24"/>
              </w:rPr>
              <w:t>含</w:t>
            </w:r>
            <w:r>
              <w:rPr>
                <w:szCs w:val="24"/>
              </w:rPr>
              <w:t>机柜</w:t>
            </w:r>
            <w:r>
              <w:rPr>
                <w:rFonts w:hint="eastAsia" w:ascii="宋体" w:hAnsi="宋体" w:cs="宋体"/>
                <w:szCs w:val="24"/>
              </w:rPr>
              <w:t>、云安全</w:t>
            </w:r>
            <w:r>
              <w:rPr>
                <w:szCs w:val="24"/>
              </w:rPr>
              <w:t>等基础配套</w:t>
            </w:r>
            <w:r>
              <w:rPr>
                <w:rFonts w:hint="eastAsia" w:ascii="宋体" w:hAnsi="宋体" w:cs="宋体"/>
                <w:szCs w:val="24"/>
              </w:rPr>
              <w:t>。</w:t>
            </w:r>
          </w:p>
        </w:tc>
        <w:tc>
          <w:tcPr>
            <w:tcW w:w="719" w:type="dxa"/>
            <w:tcMar>
              <w:top w:w="0" w:type="dxa"/>
              <w:left w:w="108" w:type="dxa"/>
              <w:bottom w:w="0" w:type="dxa"/>
              <w:right w:w="108" w:type="dxa"/>
            </w:tcMar>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37" w:type="dxa"/>
            <w:tcMar>
              <w:top w:w="0" w:type="dxa"/>
              <w:left w:w="108" w:type="dxa"/>
              <w:bottom w:w="0" w:type="dxa"/>
              <w:right w:w="108" w:type="dxa"/>
            </w:tcMar>
            <w:vAlign w:val="center"/>
          </w:tcPr>
          <w:p>
            <w:pPr>
              <w:spacing w:line="400" w:lineRule="exact"/>
              <w:jc w:val="center"/>
              <w:rPr>
                <w:rFonts w:hint="eastAsia" w:eastAsia="宋体"/>
                <w:szCs w:val="24"/>
                <w:lang w:val="en-US" w:eastAsia="zh-CN"/>
              </w:rPr>
            </w:pPr>
            <w:r>
              <w:rPr>
                <w:rFonts w:hint="eastAsia"/>
                <w:szCs w:val="24"/>
                <w:lang w:val="en-US" w:eastAsia="zh-CN"/>
              </w:rPr>
              <w:t>2</w:t>
            </w:r>
          </w:p>
        </w:tc>
        <w:tc>
          <w:tcPr>
            <w:tcW w:w="1627" w:type="dxa"/>
            <w:gridSpan w:val="2"/>
            <w:tcMar>
              <w:top w:w="0" w:type="dxa"/>
              <w:left w:w="108" w:type="dxa"/>
              <w:bottom w:w="0" w:type="dxa"/>
              <w:right w:w="108" w:type="dxa"/>
            </w:tcMar>
            <w:vAlign w:val="center"/>
          </w:tcPr>
          <w:p>
            <w:pPr>
              <w:spacing w:line="400" w:lineRule="exact"/>
              <w:jc w:val="center"/>
              <w:rPr>
                <w:rFonts w:ascii="宋体" w:hAnsi="宋体" w:cs="宋体"/>
                <w:szCs w:val="24"/>
              </w:rPr>
            </w:pPr>
            <w:r>
              <w:rPr>
                <w:rFonts w:hint="eastAsia" w:ascii="宋体" w:hAnsi="宋体" w:cs="宋体"/>
                <w:szCs w:val="24"/>
              </w:rPr>
              <w:t>网络安全服务</w:t>
            </w:r>
          </w:p>
        </w:tc>
        <w:tc>
          <w:tcPr>
            <w:tcW w:w="1252" w:type="dxa"/>
            <w:tcMar>
              <w:top w:w="0" w:type="dxa"/>
              <w:left w:w="108" w:type="dxa"/>
              <w:bottom w:w="0" w:type="dxa"/>
              <w:right w:w="108" w:type="dxa"/>
            </w:tcMar>
            <w:vAlign w:val="center"/>
          </w:tcPr>
          <w:p>
            <w:pPr>
              <w:spacing w:line="400" w:lineRule="exact"/>
              <w:jc w:val="center"/>
              <w:rPr>
                <w:szCs w:val="24"/>
              </w:rPr>
            </w:pPr>
            <w:r>
              <w:rPr>
                <w:rFonts w:hint="eastAsia"/>
                <w:szCs w:val="24"/>
              </w:rPr>
              <w:t>1</w:t>
            </w:r>
          </w:p>
        </w:tc>
        <w:tc>
          <w:tcPr>
            <w:tcW w:w="1514" w:type="dxa"/>
            <w:tcMar>
              <w:top w:w="0" w:type="dxa"/>
              <w:left w:w="108" w:type="dxa"/>
              <w:bottom w:w="0" w:type="dxa"/>
              <w:right w:w="108" w:type="dxa"/>
            </w:tcMar>
            <w:vAlign w:val="center"/>
          </w:tcPr>
          <w:p>
            <w:pPr>
              <w:spacing w:line="400" w:lineRule="exact"/>
              <w:jc w:val="center"/>
              <w:rPr>
                <w:szCs w:val="24"/>
              </w:rPr>
            </w:pPr>
            <w:r>
              <w:rPr>
                <w:rFonts w:hint="eastAsia" w:ascii="宋体" w:hAnsi="宋体" w:cs="宋体"/>
                <w:szCs w:val="24"/>
              </w:rPr>
              <w:t>项</w:t>
            </w:r>
          </w:p>
        </w:tc>
        <w:tc>
          <w:tcPr>
            <w:tcW w:w="3117" w:type="dxa"/>
            <w:tcMar>
              <w:top w:w="0" w:type="dxa"/>
              <w:left w:w="108" w:type="dxa"/>
              <w:bottom w:w="0" w:type="dxa"/>
              <w:right w:w="108" w:type="dxa"/>
            </w:tcMar>
            <w:vAlign w:val="center"/>
          </w:tcPr>
          <w:p>
            <w:pPr>
              <w:spacing w:line="400" w:lineRule="exact"/>
              <w:rPr>
                <w:rFonts w:ascii="宋体" w:hAnsi="宋体" w:cs="宋体"/>
                <w:szCs w:val="24"/>
              </w:rPr>
            </w:pPr>
            <w:r>
              <w:rPr>
                <w:rFonts w:ascii="宋体" w:hAnsi="宋体" w:cs="宋体"/>
                <w:szCs w:val="24"/>
              </w:rPr>
              <w:t>提供防火墙、入侵防御、WAF产品服务</w:t>
            </w:r>
          </w:p>
        </w:tc>
        <w:tc>
          <w:tcPr>
            <w:tcW w:w="719" w:type="dxa"/>
            <w:tcMar>
              <w:top w:w="0" w:type="dxa"/>
              <w:left w:w="108" w:type="dxa"/>
              <w:bottom w:w="0" w:type="dxa"/>
              <w:right w:w="108" w:type="dxa"/>
            </w:tcMar>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37" w:type="dxa"/>
            <w:tcMar>
              <w:top w:w="0" w:type="dxa"/>
              <w:left w:w="108" w:type="dxa"/>
              <w:bottom w:w="0" w:type="dxa"/>
              <w:right w:w="108" w:type="dxa"/>
            </w:tcMar>
            <w:vAlign w:val="center"/>
          </w:tcPr>
          <w:p>
            <w:pPr>
              <w:spacing w:line="400" w:lineRule="exact"/>
              <w:jc w:val="center"/>
              <w:rPr>
                <w:rFonts w:hint="default" w:eastAsia="宋体"/>
                <w:szCs w:val="24"/>
                <w:lang w:val="en-US" w:eastAsia="zh-CN"/>
              </w:rPr>
            </w:pPr>
            <w:r>
              <w:rPr>
                <w:rFonts w:hint="eastAsia"/>
                <w:szCs w:val="24"/>
                <w:lang w:val="en-US" w:eastAsia="zh-CN"/>
              </w:rPr>
              <w:t>3</w:t>
            </w:r>
          </w:p>
        </w:tc>
        <w:tc>
          <w:tcPr>
            <w:tcW w:w="1627" w:type="dxa"/>
            <w:gridSpan w:val="2"/>
            <w:tcMar>
              <w:top w:w="0" w:type="dxa"/>
              <w:left w:w="108" w:type="dxa"/>
              <w:bottom w:w="0" w:type="dxa"/>
              <w:right w:w="108" w:type="dxa"/>
            </w:tcMar>
            <w:vAlign w:val="center"/>
          </w:tcPr>
          <w:p>
            <w:pPr>
              <w:spacing w:line="400" w:lineRule="exact"/>
              <w:jc w:val="center"/>
              <w:rPr>
                <w:rFonts w:hint="default" w:ascii="宋体" w:hAnsi="宋体" w:eastAsia="宋体" w:cs="宋体"/>
                <w:szCs w:val="24"/>
                <w:lang w:val="en-US" w:eastAsia="zh-CN"/>
              </w:rPr>
            </w:pPr>
            <w:r>
              <w:rPr>
                <w:rFonts w:hint="eastAsia" w:ascii="宋体" w:hAnsi="宋体" w:cs="宋体"/>
                <w:szCs w:val="24"/>
                <w:lang w:val="en-US" w:eastAsia="zh-CN"/>
              </w:rPr>
              <w:t>数据灾备服务</w:t>
            </w:r>
          </w:p>
        </w:tc>
        <w:tc>
          <w:tcPr>
            <w:tcW w:w="1252" w:type="dxa"/>
            <w:tcMar>
              <w:top w:w="0" w:type="dxa"/>
              <w:left w:w="108" w:type="dxa"/>
              <w:bottom w:w="0" w:type="dxa"/>
              <w:right w:w="108" w:type="dxa"/>
            </w:tcMar>
            <w:vAlign w:val="center"/>
          </w:tcPr>
          <w:p>
            <w:pPr>
              <w:spacing w:line="400" w:lineRule="exact"/>
              <w:jc w:val="center"/>
              <w:rPr>
                <w:rFonts w:hint="eastAsia" w:eastAsia="宋体"/>
                <w:szCs w:val="24"/>
                <w:lang w:val="en-US" w:eastAsia="zh-CN"/>
              </w:rPr>
            </w:pPr>
            <w:r>
              <w:rPr>
                <w:rFonts w:hint="eastAsia"/>
                <w:szCs w:val="24"/>
                <w:lang w:val="en-US" w:eastAsia="zh-CN"/>
              </w:rPr>
              <w:t>1</w:t>
            </w:r>
          </w:p>
        </w:tc>
        <w:tc>
          <w:tcPr>
            <w:tcW w:w="1514" w:type="dxa"/>
            <w:tcMar>
              <w:top w:w="0" w:type="dxa"/>
              <w:left w:w="108" w:type="dxa"/>
              <w:bottom w:w="0" w:type="dxa"/>
              <w:right w:w="108" w:type="dxa"/>
            </w:tcMar>
            <w:vAlign w:val="center"/>
          </w:tcPr>
          <w:p>
            <w:pPr>
              <w:spacing w:line="400" w:lineRule="exact"/>
              <w:jc w:val="center"/>
              <w:rPr>
                <w:rFonts w:hint="eastAsia" w:ascii="宋体" w:hAnsi="宋体" w:eastAsia="宋体" w:cs="宋体"/>
                <w:szCs w:val="24"/>
                <w:lang w:val="en-US" w:eastAsia="zh-CN"/>
              </w:rPr>
            </w:pPr>
            <w:r>
              <w:rPr>
                <w:rFonts w:hint="eastAsia" w:ascii="宋体" w:hAnsi="宋体" w:cs="宋体"/>
                <w:szCs w:val="24"/>
                <w:lang w:val="en-US" w:eastAsia="zh-CN"/>
              </w:rPr>
              <w:t>项</w:t>
            </w:r>
          </w:p>
        </w:tc>
        <w:tc>
          <w:tcPr>
            <w:tcW w:w="3117" w:type="dxa"/>
            <w:tcMar>
              <w:top w:w="0" w:type="dxa"/>
              <w:left w:w="108" w:type="dxa"/>
              <w:bottom w:w="0" w:type="dxa"/>
              <w:right w:w="108" w:type="dxa"/>
            </w:tcMar>
            <w:vAlign w:val="center"/>
          </w:tcPr>
          <w:p>
            <w:pPr>
              <w:spacing w:line="400" w:lineRule="exact"/>
              <w:rPr>
                <w:rFonts w:hint="eastAsia" w:ascii="宋体" w:hAnsi="宋体" w:eastAsia="宋体" w:cs="宋体"/>
                <w:szCs w:val="24"/>
                <w:lang w:eastAsia="zh-CN"/>
              </w:rPr>
            </w:pPr>
            <w:r>
              <w:rPr>
                <w:rFonts w:hint="eastAsia" w:ascii="宋体" w:hAnsi="宋体" w:cs="宋体"/>
                <w:szCs w:val="24"/>
              </w:rPr>
              <w:t>提供独立的专属云资源</w:t>
            </w:r>
            <w:r>
              <w:rPr>
                <w:rFonts w:hint="eastAsia" w:ascii="宋体" w:hAnsi="宋体" w:cs="宋体"/>
                <w:szCs w:val="24"/>
                <w:lang w:eastAsia="zh-CN"/>
              </w:rPr>
              <w:t>，</w:t>
            </w:r>
            <w:r>
              <w:rPr>
                <w:rFonts w:hint="eastAsia" w:ascii="宋体" w:hAnsi="宋体" w:cs="宋体"/>
                <w:szCs w:val="24"/>
              </w:rPr>
              <w:t xml:space="preserve">CPU </w:t>
            </w:r>
            <w:r>
              <w:rPr>
                <w:rFonts w:hint="eastAsia" w:ascii="宋体" w:hAnsi="宋体" w:cs="宋体"/>
                <w:szCs w:val="24"/>
                <w:lang w:val="en-US" w:eastAsia="zh-CN"/>
              </w:rPr>
              <w:t>160</w:t>
            </w:r>
            <w:r>
              <w:rPr>
                <w:rFonts w:hint="eastAsia" w:ascii="宋体" w:hAnsi="宋体" w:cs="宋体"/>
                <w:szCs w:val="24"/>
              </w:rPr>
              <w:t>核，内存</w:t>
            </w:r>
            <w:r>
              <w:rPr>
                <w:rFonts w:hint="eastAsia" w:ascii="宋体" w:hAnsi="宋体" w:cs="宋体"/>
                <w:szCs w:val="24"/>
                <w:lang w:val="en-US" w:eastAsia="zh-CN"/>
              </w:rPr>
              <w:t>320</w:t>
            </w:r>
            <w:r>
              <w:rPr>
                <w:rFonts w:hint="eastAsia" w:ascii="宋体" w:hAnsi="宋体" w:cs="宋体"/>
                <w:szCs w:val="24"/>
              </w:rPr>
              <w:t>G，</w:t>
            </w:r>
            <w:r>
              <w:rPr>
                <w:rFonts w:hint="eastAsia" w:ascii="宋体" w:hAnsi="宋体" w:cs="宋体"/>
                <w:szCs w:val="24"/>
                <w:lang w:val="en-US" w:eastAsia="zh-CN"/>
              </w:rPr>
              <w:t>100</w:t>
            </w:r>
            <w:r>
              <w:rPr>
                <w:rFonts w:hint="eastAsia" w:ascii="宋体" w:hAnsi="宋体" w:cs="宋体"/>
                <w:szCs w:val="24"/>
              </w:rPr>
              <w:t>T存储空间，含机柜、云安全等基础配套</w:t>
            </w:r>
            <w:r>
              <w:rPr>
                <w:rFonts w:hint="eastAsia" w:ascii="宋体" w:hAnsi="宋体" w:cs="宋体"/>
                <w:szCs w:val="24"/>
                <w:lang w:eastAsia="zh-CN"/>
              </w:rPr>
              <w:t>；</w:t>
            </w:r>
            <w:r>
              <w:rPr>
                <w:rFonts w:hint="eastAsia" w:ascii="宋体" w:hAnsi="宋体" w:cs="宋体"/>
                <w:szCs w:val="24"/>
              </w:rPr>
              <w:t>提供数据备份服务，数据定期备份至异地数据中心，包含</w:t>
            </w:r>
            <w:r>
              <w:rPr>
                <w:rFonts w:hint="eastAsia" w:ascii="宋体" w:hAnsi="宋体" w:cs="宋体"/>
                <w:szCs w:val="24"/>
                <w:lang w:val="en-US" w:eastAsia="zh-CN"/>
              </w:rPr>
              <w:t>30</w:t>
            </w:r>
            <w:r>
              <w:rPr>
                <w:rFonts w:hint="eastAsia" w:ascii="宋体" w:hAnsi="宋体" w:cs="宋体"/>
                <w:szCs w:val="24"/>
              </w:rPr>
              <w:t>T可用备份空间以及配套软硬件</w:t>
            </w:r>
            <w:r>
              <w:rPr>
                <w:rFonts w:hint="eastAsia" w:ascii="宋体" w:hAnsi="宋体" w:cs="宋体"/>
                <w:szCs w:val="24"/>
                <w:lang w:eastAsia="zh-CN"/>
              </w:rPr>
              <w:t>、</w:t>
            </w:r>
            <w:r>
              <w:rPr>
                <w:rFonts w:hint="eastAsia" w:ascii="宋体" w:hAnsi="宋体" w:cs="宋体"/>
                <w:szCs w:val="24"/>
                <w:lang w:val="en-US" w:eastAsia="zh-CN"/>
              </w:rPr>
              <w:t>100M</w:t>
            </w:r>
            <w:r>
              <w:rPr>
                <w:rFonts w:hint="eastAsia" w:ascii="宋体" w:hAnsi="宋体" w:cs="宋体"/>
                <w:szCs w:val="24"/>
              </w:rPr>
              <w:t>链路</w:t>
            </w:r>
            <w:r>
              <w:rPr>
                <w:rFonts w:hint="eastAsia" w:ascii="宋体" w:hAnsi="宋体" w:cs="宋体"/>
                <w:szCs w:val="24"/>
                <w:lang w:eastAsia="zh-CN"/>
              </w:rPr>
              <w:t>。</w:t>
            </w:r>
          </w:p>
        </w:tc>
        <w:tc>
          <w:tcPr>
            <w:tcW w:w="719" w:type="dxa"/>
            <w:tcMar>
              <w:top w:w="0" w:type="dxa"/>
              <w:left w:w="108" w:type="dxa"/>
              <w:bottom w:w="0" w:type="dxa"/>
              <w:right w:w="108" w:type="dxa"/>
            </w:tcMar>
            <w:vAlign w:val="center"/>
          </w:tcPr>
          <w:p>
            <w:pPr>
              <w:spacing w:line="4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71" w:type="dxa"/>
            <w:gridSpan w:val="2"/>
            <w:tcMar>
              <w:top w:w="0" w:type="dxa"/>
              <w:left w:w="108" w:type="dxa"/>
              <w:bottom w:w="0" w:type="dxa"/>
              <w:right w:w="108" w:type="dxa"/>
            </w:tcMar>
            <w:vAlign w:val="center"/>
          </w:tcPr>
          <w:p>
            <w:pPr>
              <w:spacing w:line="400" w:lineRule="exact"/>
              <w:jc w:val="center"/>
              <w:rPr>
                <w:szCs w:val="24"/>
              </w:rPr>
            </w:pPr>
            <w:r>
              <w:rPr>
                <w:rFonts w:hint="eastAsia"/>
                <w:szCs w:val="24"/>
              </w:rPr>
              <w:t>工期要求</w:t>
            </w:r>
          </w:p>
        </w:tc>
        <w:tc>
          <w:tcPr>
            <w:tcW w:w="6995" w:type="dxa"/>
            <w:gridSpan w:val="5"/>
            <w:tcMar>
              <w:top w:w="0" w:type="dxa"/>
              <w:left w:w="108" w:type="dxa"/>
              <w:bottom w:w="0" w:type="dxa"/>
              <w:right w:w="108" w:type="dxa"/>
            </w:tcMar>
            <w:vAlign w:val="center"/>
          </w:tcPr>
          <w:p>
            <w:pPr>
              <w:spacing w:line="400" w:lineRule="exact"/>
              <w:rPr>
                <w:szCs w:val="24"/>
              </w:rPr>
            </w:pPr>
            <w:r>
              <w:rPr>
                <w:szCs w:val="24"/>
              </w:rPr>
              <w:t>服务</w:t>
            </w:r>
            <w:r>
              <w:rPr>
                <w:rFonts w:hint="eastAsia"/>
                <w:szCs w:val="24"/>
              </w:rPr>
              <w:t>自合同签订之日3个日历日内完成项目交付。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71" w:type="dxa"/>
            <w:gridSpan w:val="2"/>
            <w:tcMar>
              <w:top w:w="0" w:type="dxa"/>
              <w:left w:w="108" w:type="dxa"/>
              <w:bottom w:w="0" w:type="dxa"/>
              <w:right w:w="108" w:type="dxa"/>
            </w:tcMar>
            <w:vAlign w:val="center"/>
          </w:tcPr>
          <w:p>
            <w:pPr>
              <w:spacing w:line="400" w:lineRule="exact"/>
              <w:jc w:val="center"/>
              <w:rPr>
                <w:szCs w:val="24"/>
              </w:rPr>
            </w:pPr>
            <w:r>
              <w:rPr>
                <w:rFonts w:hint="eastAsia"/>
                <w:szCs w:val="24"/>
              </w:rPr>
              <w:t>总预算</w:t>
            </w:r>
          </w:p>
        </w:tc>
        <w:tc>
          <w:tcPr>
            <w:tcW w:w="6995" w:type="dxa"/>
            <w:gridSpan w:val="5"/>
            <w:tcMar>
              <w:top w:w="0" w:type="dxa"/>
              <w:left w:w="108" w:type="dxa"/>
              <w:bottom w:w="0" w:type="dxa"/>
              <w:right w:w="108" w:type="dxa"/>
            </w:tcMar>
            <w:vAlign w:val="center"/>
          </w:tcPr>
          <w:p>
            <w:pPr>
              <w:spacing w:line="40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71" w:type="dxa"/>
            <w:gridSpan w:val="2"/>
            <w:tcMar>
              <w:top w:w="0" w:type="dxa"/>
              <w:left w:w="108" w:type="dxa"/>
              <w:bottom w:w="0" w:type="dxa"/>
              <w:right w:w="108" w:type="dxa"/>
            </w:tcMar>
            <w:vAlign w:val="center"/>
          </w:tcPr>
          <w:p>
            <w:pPr>
              <w:spacing w:line="400" w:lineRule="exact"/>
              <w:jc w:val="center"/>
              <w:rPr>
                <w:szCs w:val="24"/>
              </w:rPr>
            </w:pPr>
            <w:r>
              <w:rPr>
                <w:rFonts w:hint="eastAsia"/>
                <w:szCs w:val="24"/>
              </w:rPr>
              <w:t>备注</w:t>
            </w:r>
          </w:p>
        </w:tc>
        <w:tc>
          <w:tcPr>
            <w:tcW w:w="6995" w:type="dxa"/>
            <w:gridSpan w:val="5"/>
            <w:tcMar>
              <w:top w:w="0" w:type="dxa"/>
              <w:left w:w="108" w:type="dxa"/>
              <w:bottom w:w="0" w:type="dxa"/>
              <w:right w:w="108" w:type="dxa"/>
            </w:tcMar>
            <w:vAlign w:val="center"/>
          </w:tcPr>
          <w:p>
            <w:pPr>
              <w:spacing w:line="400" w:lineRule="exact"/>
              <w:rPr>
                <w:szCs w:val="24"/>
              </w:rPr>
            </w:pPr>
          </w:p>
        </w:tc>
      </w:tr>
    </w:tbl>
    <w:p>
      <w:pPr>
        <w:pStyle w:val="6"/>
      </w:pPr>
    </w:p>
    <w:p>
      <w:pPr>
        <w:rPr>
          <w:b/>
          <w:bCs/>
          <w:sz w:val="30"/>
          <w:szCs w:val="30"/>
        </w:rPr>
      </w:pPr>
      <w:r>
        <w:rPr>
          <w:b/>
          <w:bCs/>
          <w:sz w:val="30"/>
          <w:szCs w:val="30"/>
        </w:rPr>
        <w:t>4</w:t>
      </w:r>
      <w:r>
        <w:rPr>
          <w:rFonts w:hint="eastAsia"/>
          <w:b/>
          <w:bCs/>
          <w:sz w:val="30"/>
          <w:szCs w:val="30"/>
        </w:rPr>
        <w:t>.项目要求：</w:t>
      </w:r>
    </w:p>
    <w:p>
      <w:pPr>
        <w:keepNext/>
        <w:keepLines/>
        <w:spacing w:before="280" w:after="290" w:line="377" w:lineRule="auto"/>
        <w:outlineLvl w:val="4"/>
        <w:rPr>
          <w:b/>
          <w:bCs/>
          <w:szCs w:val="24"/>
        </w:rPr>
      </w:pPr>
      <w:r>
        <w:rPr>
          <w:rFonts w:hint="eastAsia"/>
          <w:b/>
          <w:bCs/>
          <w:szCs w:val="24"/>
        </w:rPr>
        <w:t>云</w:t>
      </w:r>
      <w:r>
        <w:rPr>
          <w:rFonts w:hint="eastAsia"/>
          <w:b/>
          <w:bCs/>
          <w:szCs w:val="24"/>
          <w:lang w:val="en-US" w:eastAsia="zh-CN"/>
        </w:rPr>
        <w:t>服务器</w:t>
      </w:r>
      <w:r>
        <w:rPr>
          <w:rFonts w:hint="eastAsia"/>
          <w:b/>
          <w:bCs/>
          <w:szCs w:val="24"/>
        </w:rPr>
        <w:t>资源服务要求</w:t>
      </w:r>
    </w:p>
    <w:tbl>
      <w:tblPr>
        <w:tblStyle w:val="3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087"/>
        <w:gridCol w:w="2340"/>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3" w:type="dxa"/>
            <w:vAlign w:val="center"/>
          </w:tcPr>
          <w:p>
            <w:pPr>
              <w:jc w:val="center"/>
              <w:rPr>
                <w:rFonts w:ascii="宋体" w:hAnsi="宋体"/>
                <w:b/>
                <w:bCs/>
                <w:szCs w:val="24"/>
              </w:rPr>
            </w:pPr>
            <w:r>
              <w:rPr>
                <w:rFonts w:hint="eastAsia" w:ascii="宋体" w:hAnsi="宋体"/>
                <w:b/>
                <w:bCs/>
                <w:szCs w:val="24"/>
              </w:rPr>
              <w:t>项目</w:t>
            </w:r>
          </w:p>
        </w:tc>
        <w:tc>
          <w:tcPr>
            <w:tcW w:w="7704" w:type="dxa"/>
            <w:gridSpan w:val="3"/>
            <w:vAlign w:val="center"/>
          </w:tcPr>
          <w:p>
            <w:pPr>
              <w:jc w:val="center"/>
              <w:rPr>
                <w:rFonts w:ascii="宋体" w:hAnsi="宋体"/>
                <w:b/>
                <w:bCs/>
                <w:szCs w:val="24"/>
              </w:rPr>
            </w:pPr>
            <w:r>
              <w:rPr>
                <w:rFonts w:hint="eastAsia" w:ascii="宋体" w:hAnsi="宋体"/>
                <w:b/>
                <w:bCs/>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23" w:type="dxa"/>
            <w:vMerge w:val="restart"/>
            <w:vAlign w:val="center"/>
          </w:tcPr>
          <w:p>
            <w:pPr>
              <w:jc w:val="center"/>
              <w:rPr>
                <w:rFonts w:ascii="宋体" w:hAnsi="宋体"/>
                <w:szCs w:val="24"/>
              </w:rPr>
            </w:pPr>
            <w:r>
              <w:rPr>
                <w:rFonts w:hint="eastAsia" w:ascii="宋体" w:hAnsi="宋体" w:cs="宋体"/>
                <w:szCs w:val="24"/>
              </w:rPr>
              <w:t>★资源要求</w:t>
            </w:r>
          </w:p>
        </w:tc>
        <w:tc>
          <w:tcPr>
            <w:tcW w:w="2087" w:type="dxa"/>
            <w:vAlign w:val="center"/>
          </w:tcPr>
          <w:p>
            <w:pPr>
              <w:jc w:val="center"/>
              <w:rPr>
                <w:rFonts w:ascii="宋体" w:hAnsi="宋体"/>
                <w:szCs w:val="24"/>
              </w:rPr>
            </w:pPr>
            <w:r>
              <w:rPr>
                <w:rFonts w:ascii="宋体" w:hAnsi="宋体"/>
                <w:szCs w:val="24"/>
              </w:rPr>
              <w:t>CPU</w:t>
            </w:r>
            <w:r>
              <w:rPr>
                <w:rFonts w:hint="eastAsia" w:ascii="宋体" w:hAnsi="宋体" w:cs="宋体"/>
                <w:szCs w:val="24"/>
              </w:rPr>
              <w:t>（核）</w:t>
            </w:r>
          </w:p>
        </w:tc>
        <w:tc>
          <w:tcPr>
            <w:tcW w:w="2340" w:type="dxa"/>
            <w:vAlign w:val="center"/>
          </w:tcPr>
          <w:p>
            <w:pPr>
              <w:jc w:val="center"/>
              <w:rPr>
                <w:rFonts w:ascii="宋体" w:hAnsi="宋体"/>
                <w:szCs w:val="24"/>
              </w:rPr>
            </w:pPr>
            <w:r>
              <w:rPr>
                <w:rFonts w:hint="eastAsia" w:ascii="宋体" w:hAnsi="宋体" w:cs="宋体"/>
                <w:szCs w:val="24"/>
              </w:rPr>
              <w:t>内存（</w:t>
            </w:r>
            <w:r>
              <w:rPr>
                <w:rFonts w:ascii="宋体" w:hAnsi="宋体"/>
                <w:szCs w:val="24"/>
              </w:rPr>
              <w:t>GB</w:t>
            </w:r>
            <w:r>
              <w:rPr>
                <w:rFonts w:hint="eastAsia" w:ascii="宋体" w:hAnsi="宋体" w:cs="宋体"/>
                <w:szCs w:val="24"/>
              </w:rPr>
              <w:t>）</w:t>
            </w:r>
          </w:p>
        </w:tc>
        <w:tc>
          <w:tcPr>
            <w:tcW w:w="3277" w:type="dxa"/>
            <w:vAlign w:val="center"/>
          </w:tcPr>
          <w:p>
            <w:pPr>
              <w:jc w:val="center"/>
              <w:rPr>
                <w:rFonts w:ascii="宋体" w:hAnsi="宋体"/>
                <w:szCs w:val="24"/>
              </w:rPr>
            </w:pPr>
            <w:r>
              <w:rPr>
                <w:rFonts w:hint="eastAsia" w:ascii="宋体" w:hAnsi="宋体" w:cs="宋体"/>
                <w:szCs w:val="24"/>
              </w:rPr>
              <w:t>存储空间（</w:t>
            </w:r>
            <w:r>
              <w:rPr>
                <w:rFonts w:hint="eastAsia" w:ascii="宋体" w:hAnsi="宋体"/>
                <w:szCs w:val="24"/>
              </w:rPr>
              <w:t>T</w:t>
            </w:r>
            <w:r>
              <w:rPr>
                <w:rFonts w:ascii="宋体" w:hAnsi="宋体"/>
                <w:szCs w:val="24"/>
              </w:rPr>
              <w:t>B</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vAlign w:val="center"/>
          </w:tcPr>
          <w:p>
            <w:pPr>
              <w:rPr>
                <w:rFonts w:ascii="宋体" w:hAnsi="宋体"/>
                <w:szCs w:val="24"/>
              </w:rPr>
            </w:pPr>
          </w:p>
        </w:tc>
        <w:tc>
          <w:tcPr>
            <w:tcW w:w="2087"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240</w:t>
            </w:r>
          </w:p>
        </w:tc>
        <w:tc>
          <w:tcPr>
            <w:tcW w:w="2340"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480</w:t>
            </w:r>
          </w:p>
        </w:tc>
        <w:tc>
          <w:tcPr>
            <w:tcW w:w="3277" w:type="dxa"/>
            <w:vAlign w:val="center"/>
          </w:tcPr>
          <w:p>
            <w:pPr>
              <w:jc w:val="center"/>
              <w:rPr>
                <w:rFonts w:hint="default" w:ascii="宋体" w:hAnsi="宋体"/>
                <w:szCs w:val="24"/>
                <w:lang w:val="en-US"/>
              </w:rPr>
            </w:pPr>
            <w:r>
              <w:rPr>
                <w:rFonts w:hint="eastAsia" w:ascii="宋体" w:hAnsi="宋体" w:cs="宋体"/>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23" w:type="dxa"/>
            <w:vAlign w:val="center"/>
          </w:tcPr>
          <w:p>
            <w:pPr>
              <w:jc w:val="center"/>
              <w:rPr>
                <w:rFonts w:ascii="宋体" w:hAnsi="宋体" w:cs="宋体"/>
                <w:szCs w:val="24"/>
              </w:rPr>
            </w:pPr>
          </w:p>
        </w:tc>
        <w:tc>
          <w:tcPr>
            <w:tcW w:w="7704" w:type="dxa"/>
            <w:gridSpan w:val="3"/>
            <w:vAlign w:val="center"/>
          </w:tcPr>
          <w:p>
            <w:pPr>
              <w:rPr>
                <w:rFonts w:ascii="宋体" w:hAnsi="宋体" w:cs="宋体"/>
                <w:szCs w:val="24"/>
              </w:rPr>
            </w:pPr>
            <w:r>
              <w:rPr>
                <w:rFonts w:hint="eastAsia" w:ascii="宋体" w:hAnsi="宋体" w:cs="宋体"/>
                <w:szCs w:val="24"/>
              </w:rPr>
              <w:t>★投标人提供的云</w:t>
            </w:r>
            <w:r>
              <w:rPr>
                <w:rFonts w:hint="eastAsia" w:ascii="宋体" w:hAnsi="宋体" w:cs="宋体"/>
                <w:szCs w:val="24"/>
                <w:lang w:val="en-US" w:eastAsia="zh-CN"/>
              </w:rPr>
              <w:t>服务器</w:t>
            </w:r>
            <w:r>
              <w:rPr>
                <w:rFonts w:hint="eastAsia" w:ascii="宋体" w:hAnsi="宋体" w:cs="宋体"/>
                <w:szCs w:val="24"/>
              </w:rPr>
              <w:t>资源，招标人享有独立使用权，独立的网络，不接受公有云模式；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23" w:type="dxa"/>
            <w:vMerge w:val="restart"/>
            <w:vAlign w:val="center"/>
          </w:tcPr>
          <w:p>
            <w:pPr>
              <w:jc w:val="center"/>
              <w:rPr>
                <w:rFonts w:ascii="宋体" w:hAnsi="宋体"/>
                <w:szCs w:val="24"/>
              </w:rPr>
            </w:pPr>
            <w:r>
              <w:rPr>
                <w:rFonts w:hint="eastAsia" w:ascii="宋体" w:hAnsi="宋体" w:cs="宋体"/>
                <w:szCs w:val="24"/>
              </w:rPr>
              <w:t>基本要求</w:t>
            </w:r>
          </w:p>
        </w:tc>
        <w:tc>
          <w:tcPr>
            <w:tcW w:w="7704" w:type="dxa"/>
            <w:gridSpan w:val="3"/>
            <w:vAlign w:val="center"/>
          </w:tcPr>
          <w:p>
            <w:pPr>
              <w:rPr>
                <w:rFonts w:ascii="宋体" w:hAnsi="宋体"/>
                <w:szCs w:val="24"/>
              </w:rPr>
            </w:pPr>
            <w:r>
              <w:rPr>
                <w:rFonts w:hint="eastAsia" w:ascii="宋体" w:hAnsi="宋体" w:cs="宋体"/>
                <w:szCs w:val="24"/>
              </w:rPr>
              <w:t>虚拟机可以实现物理机的全部功能，如具有自己的资源（内存、</w:t>
            </w:r>
            <w:r>
              <w:rPr>
                <w:rFonts w:hint="eastAsia" w:ascii="宋体" w:hAnsi="宋体"/>
                <w:szCs w:val="24"/>
              </w:rPr>
              <w:t>CPU</w:t>
            </w:r>
            <w:r>
              <w:rPr>
                <w:rFonts w:hint="eastAsia" w:ascii="宋体" w:hAnsi="宋体" w:cs="宋体"/>
                <w:szCs w:val="24"/>
              </w:rPr>
              <w:t>、网卡、存储），可以指定单独的</w:t>
            </w:r>
            <w:r>
              <w:rPr>
                <w:rFonts w:hint="eastAsia" w:ascii="宋体" w:hAnsi="宋体"/>
                <w:szCs w:val="24"/>
              </w:rPr>
              <w:t>IP</w:t>
            </w:r>
            <w:r>
              <w:rPr>
                <w:rFonts w:hint="eastAsia" w:ascii="宋体" w:hAnsi="宋体" w:cs="宋体"/>
                <w:szCs w:val="24"/>
              </w:rPr>
              <w:t>地址、</w:t>
            </w:r>
            <w:r>
              <w:rPr>
                <w:rFonts w:hint="eastAsia" w:ascii="宋体" w:hAnsi="宋体"/>
                <w:szCs w:val="24"/>
              </w:rPr>
              <w:t>MAC</w:t>
            </w:r>
            <w:r>
              <w:rPr>
                <w:rFonts w:hint="eastAsia" w:ascii="宋体" w:hAnsi="宋体" w:cs="宋体"/>
                <w:szCs w:val="24"/>
              </w:rPr>
              <w:t>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虚拟机之间可以做到隔离保护，其中每一个虚拟机发生故障都不会影响同一个物理机上的其它虚拟机运行，每个虚拟机上的用户权限只限于本虚拟机之内，以保障系统平台的安全性。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提供统一的虚拟机管理界面，在同一界面上提供虚拟机启动、暂停、恢复、休眠、重启、安全关闭、关闭电源、克隆、迁移、</w:t>
            </w:r>
            <w:r>
              <w:rPr>
                <w:rFonts w:hint="eastAsia" w:ascii="宋体" w:hAnsi="宋体" w:cs="宋体"/>
                <w:szCs w:val="24"/>
                <w:highlight w:val="none"/>
              </w:rPr>
              <w:t>备份</w:t>
            </w:r>
            <w:r>
              <w:rPr>
                <w:rFonts w:hint="eastAsia" w:ascii="宋体" w:hAnsi="宋体" w:cs="宋体"/>
                <w:szCs w:val="24"/>
              </w:rPr>
              <w:t>、快照、克隆为模板、修改等生命周期管理功能。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23" w:type="dxa"/>
            <w:vMerge w:val="continue"/>
            <w:vAlign w:val="center"/>
          </w:tcPr>
          <w:p>
            <w:pPr>
              <w:jc w:val="cente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支持虚拟机规格的在线和离线调整，包括</w:t>
            </w:r>
            <w:r>
              <w:rPr>
                <w:rFonts w:hint="eastAsia" w:ascii="宋体" w:hAnsi="宋体"/>
                <w:szCs w:val="24"/>
              </w:rPr>
              <w:t>CPU</w:t>
            </w:r>
            <w:r>
              <w:rPr>
                <w:rFonts w:hint="eastAsia" w:ascii="宋体" w:hAnsi="宋体" w:cs="宋体"/>
                <w:szCs w:val="24"/>
              </w:rPr>
              <w:t>、内存、硬盘、网卡等资源，当虚拟机操作系统本身的前提下，热添加的</w:t>
            </w:r>
            <w:r>
              <w:rPr>
                <w:rFonts w:hint="eastAsia" w:ascii="宋体" w:hAnsi="宋体"/>
                <w:szCs w:val="24"/>
              </w:rPr>
              <w:t>CPU/</w:t>
            </w:r>
            <w:r>
              <w:rPr>
                <w:rFonts w:hint="eastAsia" w:ascii="宋体" w:hAnsi="宋体" w:cs="宋体"/>
                <w:szCs w:val="24"/>
              </w:rPr>
              <w:t>内存可以即时生效。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23" w:type="dxa"/>
            <w:vMerge w:val="restart"/>
            <w:vAlign w:val="center"/>
          </w:tcPr>
          <w:p>
            <w:pPr>
              <w:jc w:val="center"/>
              <w:rPr>
                <w:rFonts w:ascii="宋体" w:hAnsi="宋体"/>
                <w:szCs w:val="24"/>
              </w:rPr>
            </w:pPr>
            <w:r>
              <w:rPr>
                <w:rFonts w:hint="eastAsia" w:ascii="宋体" w:hAnsi="宋体" w:cs="宋体"/>
                <w:szCs w:val="24"/>
              </w:rPr>
              <w:t>资源管理能力</w:t>
            </w:r>
          </w:p>
        </w:tc>
        <w:tc>
          <w:tcPr>
            <w:tcW w:w="7704" w:type="dxa"/>
            <w:gridSpan w:val="3"/>
            <w:vAlign w:val="center"/>
          </w:tcPr>
          <w:p>
            <w:pPr>
              <w:rPr>
                <w:rFonts w:ascii="宋体" w:hAnsi="宋体"/>
                <w:szCs w:val="24"/>
              </w:rPr>
            </w:pPr>
            <w:r>
              <w:rPr>
                <w:rFonts w:hint="eastAsia" w:ascii="宋体" w:hAnsi="宋体" w:cs="宋体"/>
                <w:szCs w:val="24"/>
              </w:rPr>
              <w:t>支持批量修改虚拟机的配置参数，包括：</w:t>
            </w:r>
            <w:r>
              <w:rPr>
                <w:rFonts w:hint="eastAsia" w:ascii="宋体" w:hAnsi="宋体"/>
                <w:szCs w:val="24"/>
              </w:rPr>
              <w:t>CPU</w:t>
            </w:r>
            <w:r>
              <w:rPr>
                <w:rFonts w:hint="eastAsia" w:ascii="宋体" w:hAnsi="宋体" w:cs="宋体"/>
                <w:szCs w:val="24"/>
              </w:rPr>
              <w:t>调度优先级、</w:t>
            </w:r>
            <w:r>
              <w:rPr>
                <w:rFonts w:hint="eastAsia" w:ascii="宋体" w:hAnsi="宋体"/>
                <w:szCs w:val="24"/>
              </w:rPr>
              <w:t>CPU</w:t>
            </w:r>
            <w:r>
              <w:rPr>
                <w:rFonts w:hint="eastAsia" w:ascii="宋体" w:hAnsi="宋体" w:cs="宋体"/>
                <w:szCs w:val="24"/>
              </w:rPr>
              <w:t>个数、内存大小、</w:t>
            </w:r>
            <w:r>
              <w:rPr>
                <w:rFonts w:hint="eastAsia" w:ascii="宋体" w:hAnsi="宋体"/>
                <w:szCs w:val="24"/>
              </w:rPr>
              <w:t>I/O</w:t>
            </w:r>
            <w:r>
              <w:rPr>
                <w:rFonts w:hint="eastAsia" w:ascii="宋体" w:hAnsi="宋体" w:cs="宋体"/>
                <w:szCs w:val="24"/>
              </w:rPr>
              <w:t>优先级、启动优先级、是否自动迁移、</w:t>
            </w:r>
            <w:r>
              <w:rPr>
                <w:rFonts w:hint="eastAsia" w:ascii="宋体" w:hAnsi="宋体"/>
                <w:szCs w:val="24"/>
              </w:rPr>
              <w:t>tools</w:t>
            </w:r>
            <w:r>
              <w:rPr>
                <w:rFonts w:hint="eastAsia" w:ascii="宋体" w:hAnsi="宋体" w:cs="宋体"/>
                <w:szCs w:val="24"/>
              </w:rPr>
              <w:t>自动升级等，提供产品截图证明。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支持集群动态资源调度功能，可基于主机的</w:t>
            </w:r>
            <w:r>
              <w:rPr>
                <w:rFonts w:hint="eastAsia" w:ascii="宋体" w:hAnsi="宋体"/>
                <w:szCs w:val="24"/>
              </w:rPr>
              <w:t>CPU</w:t>
            </w:r>
            <w:r>
              <w:rPr>
                <w:rFonts w:hint="eastAsia" w:ascii="宋体" w:hAnsi="宋体" w:cs="宋体"/>
                <w:szCs w:val="24"/>
              </w:rPr>
              <w:t>、内存、网络流量、连接数、磁盘</w:t>
            </w:r>
            <w:r>
              <w:rPr>
                <w:rFonts w:hint="eastAsia" w:ascii="宋体" w:hAnsi="宋体"/>
                <w:szCs w:val="24"/>
              </w:rPr>
              <w:t>IO</w:t>
            </w:r>
            <w:r>
              <w:rPr>
                <w:rFonts w:hint="eastAsia" w:ascii="宋体" w:hAnsi="宋体" w:cs="宋体"/>
                <w:szCs w:val="24"/>
              </w:rPr>
              <w:t>、存储容量等资源利用率对虚拟机进行动态资源调度，实现全自动化的资源分配和负载平衡功能，主动确保云环境的服务水平，提供产品截图证明。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支持配合负载均衡设备根据业务的负载情况实现业务系统虚拟机的动态扩展和回收，能够根据虚拟机</w:t>
            </w:r>
            <w:r>
              <w:rPr>
                <w:rFonts w:hint="eastAsia" w:ascii="宋体" w:hAnsi="宋体"/>
                <w:szCs w:val="24"/>
              </w:rPr>
              <w:t>CPU</w:t>
            </w:r>
            <w:r>
              <w:rPr>
                <w:rFonts w:hint="eastAsia" w:ascii="宋体" w:hAnsi="宋体" w:cs="宋体"/>
                <w:szCs w:val="24"/>
              </w:rPr>
              <w:t>、内存、连接数、存储容量、磁盘</w:t>
            </w:r>
            <w:r>
              <w:rPr>
                <w:rFonts w:hint="eastAsia" w:ascii="宋体" w:hAnsi="宋体"/>
                <w:szCs w:val="24"/>
              </w:rPr>
              <w:t>IO</w:t>
            </w:r>
            <w:r>
              <w:rPr>
                <w:rFonts w:hint="eastAsia" w:ascii="宋体" w:hAnsi="宋体" w:cs="宋体"/>
                <w:szCs w:val="24"/>
              </w:rPr>
              <w:t>等参数动态的克隆虚拟机或删除虚拟机，满足业务突发流量响应需求，实现资源的随需而动，提升资源利用率，节约投资，提供产品截图和至少</w:t>
            </w:r>
            <w:r>
              <w:rPr>
                <w:rFonts w:hint="eastAsia" w:ascii="宋体" w:hAnsi="宋体"/>
                <w:szCs w:val="24"/>
              </w:rPr>
              <w:t>3</w:t>
            </w:r>
            <w:r>
              <w:rPr>
                <w:rFonts w:hint="eastAsia" w:ascii="宋体" w:hAnsi="宋体" w:cs="宋体"/>
                <w:szCs w:val="24"/>
              </w:rPr>
              <w:t>份用户使用证明。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23" w:type="dxa"/>
            <w:vMerge w:val="continue"/>
            <w:vAlign w:val="center"/>
          </w:tcPr>
          <w:p>
            <w:pPr>
              <w:jc w:val="cente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支持当虚拟机的</w:t>
            </w:r>
            <w:r>
              <w:rPr>
                <w:rFonts w:hint="eastAsia" w:ascii="宋体" w:hAnsi="宋体"/>
                <w:szCs w:val="24"/>
              </w:rPr>
              <w:t>CPU</w:t>
            </w:r>
            <w:r>
              <w:rPr>
                <w:rFonts w:hint="eastAsia" w:ascii="宋体" w:hAnsi="宋体" w:cs="宋体"/>
                <w:szCs w:val="24"/>
              </w:rPr>
              <w:t>、内存利用率超过设置的阈值时，在虚拟机操作系统本身支持资源热添加的前提下，系统将自动为该虚拟机增加相应的</w:t>
            </w:r>
            <w:r>
              <w:rPr>
                <w:rFonts w:hint="eastAsia" w:ascii="宋体" w:hAnsi="宋体"/>
                <w:szCs w:val="24"/>
              </w:rPr>
              <w:t>CPU</w:t>
            </w:r>
            <w:r>
              <w:rPr>
                <w:rFonts w:hint="eastAsia" w:ascii="宋体" w:hAnsi="宋体" w:cs="宋体"/>
                <w:szCs w:val="24"/>
              </w:rPr>
              <w:t>和内存资源，无需人工干预。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23" w:type="dxa"/>
            <w:vMerge w:val="restart"/>
            <w:vAlign w:val="center"/>
          </w:tcPr>
          <w:p>
            <w:pPr>
              <w:jc w:val="center"/>
              <w:rPr>
                <w:rFonts w:ascii="宋体" w:hAnsi="宋体"/>
                <w:szCs w:val="24"/>
              </w:rPr>
            </w:pPr>
            <w:r>
              <w:rPr>
                <w:rFonts w:hint="eastAsia" w:ascii="宋体" w:hAnsi="宋体" w:cs="宋体"/>
                <w:szCs w:val="24"/>
              </w:rPr>
              <w:t>数据安全</w:t>
            </w:r>
          </w:p>
        </w:tc>
        <w:tc>
          <w:tcPr>
            <w:tcW w:w="7704" w:type="dxa"/>
            <w:gridSpan w:val="3"/>
            <w:vAlign w:val="center"/>
          </w:tcPr>
          <w:p>
            <w:pPr>
              <w:rPr>
                <w:rFonts w:ascii="宋体" w:hAnsi="宋体"/>
                <w:szCs w:val="24"/>
              </w:rPr>
            </w:pPr>
            <w:r>
              <w:rPr>
                <w:rFonts w:hint="eastAsia" w:ascii="宋体" w:hAnsi="宋体" w:cs="宋体"/>
                <w:szCs w:val="24"/>
              </w:rPr>
              <w:t>提供虚拟机快照功能，支持设置手工和定时快照将虚拟机磁盘文件和内存状态信息保存到镜像文件中。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提供虚拟机回收站功能，统一管理被删除的虚拟机，防止因虚拟机误删除导致数据丢失，支持设置回收站文件保存周期，超期的文件将被自动删除，支持批量销毁或还原虚拟机。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支持虚拟机迁移历史记录功能，记录中包含迁移的操作员、迁移方式、源主机、目的主机、开始时间、迁移耗时等信息，便于对虚拟机的迁移路径进行回溯。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423" w:type="dxa"/>
            <w:vMerge w:val="restart"/>
            <w:vAlign w:val="center"/>
          </w:tcPr>
          <w:p>
            <w:pPr>
              <w:jc w:val="center"/>
              <w:rPr>
                <w:rFonts w:ascii="宋体" w:hAnsi="宋体"/>
                <w:szCs w:val="24"/>
              </w:rPr>
            </w:pPr>
            <w:r>
              <w:rPr>
                <w:rFonts w:hint="eastAsia" w:ascii="宋体" w:hAnsi="宋体" w:cs="宋体"/>
                <w:szCs w:val="24"/>
              </w:rPr>
              <w:t>运维能力</w:t>
            </w:r>
          </w:p>
        </w:tc>
        <w:tc>
          <w:tcPr>
            <w:tcW w:w="7704" w:type="dxa"/>
            <w:gridSpan w:val="3"/>
            <w:vAlign w:val="center"/>
          </w:tcPr>
          <w:p>
            <w:pPr>
              <w:rPr>
                <w:rFonts w:ascii="宋体" w:hAnsi="宋体"/>
                <w:szCs w:val="24"/>
              </w:rPr>
            </w:pPr>
            <w:r>
              <w:rPr>
                <w:rFonts w:hint="eastAsia" w:ascii="宋体" w:hAnsi="宋体" w:cs="宋体"/>
                <w:szCs w:val="24"/>
              </w:rPr>
              <w:t>支持使用一键鼠标按钮分析虚拟机、主机历史资源使用情况，提供规划决策数据支撑。提供产品功能截图。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支持使用一键鼠标按钮分析后端存储上的无效镜像文件，并提供一键清理和释放存储空间能力，提升资源利用率，保障投资。要求提供</w:t>
            </w:r>
            <w:r>
              <w:rPr>
                <w:rFonts w:hint="eastAsia" w:ascii="宋体" w:hAnsi="宋体"/>
                <w:szCs w:val="24"/>
              </w:rPr>
              <w:t>CNAS</w:t>
            </w:r>
            <w:r>
              <w:rPr>
                <w:rFonts w:hint="eastAsia" w:ascii="宋体" w:hAnsi="宋体" w:cs="宋体"/>
                <w:szCs w:val="24"/>
              </w:rPr>
              <w:t>认可的检测机构出具的检测报告检测结果及检测结果截图页并有制造商盖章作为证明材料，未提供视为不满足。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支持使用一键鼠标按钮快速查看、启动、删除、批量启动和批量删除长时间未使用且处于关闭状态的虚拟机，进行资源利用率统计，降低运维工作量与难度，保障投资。要求提供</w:t>
            </w:r>
            <w:r>
              <w:rPr>
                <w:rFonts w:hint="eastAsia" w:ascii="宋体" w:hAnsi="宋体"/>
                <w:szCs w:val="24"/>
              </w:rPr>
              <w:t>CNAS</w:t>
            </w:r>
            <w:r>
              <w:rPr>
                <w:rFonts w:hint="eastAsia" w:ascii="宋体" w:hAnsi="宋体" w:cs="宋体"/>
                <w:szCs w:val="24"/>
              </w:rPr>
              <w:t>认可的检测机构出具的检测报告检测结果并有制造商盖章作为证明材料，未提供视为不满足。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支持一键切换大屏展示功能，直观展示虚拟化资源池的健康度、告警、资源使用情况等虚拟化环境，同时支持展示内容用户自定义，方便用户日常监控。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23" w:type="dxa"/>
            <w:vMerge w:val="restart"/>
            <w:vAlign w:val="center"/>
          </w:tcPr>
          <w:p>
            <w:pPr>
              <w:jc w:val="center"/>
              <w:rPr>
                <w:rFonts w:ascii="宋体" w:hAnsi="宋体"/>
                <w:szCs w:val="24"/>
              </w:rPr>
            </w:pPr>
            <w:r>
              <w:rPr>
                <w:rFonts w:hint="eastAsia" w:ascii="宋体" w:hAnsi="宋体" w:cs="宋体"/>
                <w:szCs w:val="24"/>
              </w:rPr>
              <w:t>防病毒能力</w:t>
            </w:r>
          </w:p>
        </w:tc>
        <w:tc>
          <w:tcPr>
            <w:tcW w:w="7704" w:type="dxa"/>
            <w:gridSpan w:val="3"/>
            <w:vAlign w:val="center"/>
          </w:tcPr>
          <w:p>
            <w:pPr>
              <w:rPr>
                <w:rFonts w:ascii="宋体" w:hAnsi="宋体"/>
                <w:szCs w:val="24"/>
              </w:rPr>
            </w:pPr>
            <w:r>
              <w:rPr>
                <w:rFonts w:hint="eastAsia" w:ascii="宋体" w:hAnsi="宋体" w:cs="宋体"/>
                <w:szCs w:val="24"/>
              </w:rPr>
              <w:t>支持虚拟化内核集成虚拟化安全防护功能模块为虚拟机提供防护，无需单独占用虚拟机资源安装安全防护功能模块，只需在虚拟化环境底层安装安全防护功能模块，不需要在每台虚拟机上安装，对每个虚拟机没有资源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23" w:type="dxa"/>
            <w:vMerge w:val="continue"/>
            <w:vAlign w:val="center"/>
          </w:tcPr>
          <w:p>
            <w:pPr>
              <w:rPr>
                <w:rFonts w:ascii="宋体" w:hAnsi="宋体"/>
                <w:szCs w:val="24"/>
              </w:rPr>
            </w:pPr>
          </w:p>
        </w:tc>
        <w:tc>
          <w:tcPr>
            <w:tcW w:w="7704" w:type="dxa"/>
            <w:gridSpan w:val="3"/>
            <w:vAlign w:val="center"/>
          </w:tcPr>
          <w:p>
            <w:pPr>
              <w:rPr>
                <w:rFonts w:ascii="宋体" w:hAnsi="宋体"/>
                <w:szCs w:val="24"/>
              </w:rPr>
            </w:pPr>
            <w:r>
              <w:rPr>
                <w:rFonts w:hint="eastAsia" w:ascii="宋体" w:hAnsi="宋体" w:cs="宋体"/>
                <w:szCs w:val="24"/>
              </w:rPr>
              <w:t>支持主流</w:t>
            </w:r>
            <w:r>
              <w:rPr>
                <w:rFonts w:hint="eastAsia" w:ascii="宋体" w:hAnsi="宋体"/>
                <w:szCs w:val="24"/>
              </w:rPr>
              <w:t>Windows</w:t>
            </w:r>
            <w:r>
              <w:rPr>
                <w:rFonts w:hint="eastAsia" w:ascii="宋体" w:hAnsi="宋体" w:cs="宋体"/>
                <w:szCs w:val="24"/>
              </w:rPr>
              <w:t>和</w:t>
            </w:r>
            <w:r>
              <w:rPr>
                <w:rFonts w:hint="eastAsia" w:ascii="宋体" w:hAnsi="宋体"/>
                <w:szCs w:val="24"/>
              </w:rPr>
              <w:t>Linux</w:t>
            </w:r>
            <w:r>
              <w:rPr>
                <w:rFonts w:hint="eastAsia" w:ascii="宋体" w:hAnsi="宋体" w:cs="宋体"/>
                <w:szCs w:val="24"/>
              </w:rPr>
              <w:t>操作系统无代理底层防病毒能力，不需要在虚拟服务器或虚拟桌面中部署安全防护代理。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3" w:type="dxa"/>
            <w:vAlign w:val="center"/>
          </w:tcPr>
          <w:p>
            <w:pPr>
              <w:jc w:val="center"/>
              <w:rPr>
                <w:rFonts w:ascii="宋体" w:hAnsi="宋体"/>
                <w:szCs w:val="24"/>
              </w:rPr>
            </w:pPr>
            <w:r>
              <w:rPr>
                <w:rFonts w:hint="eastAsia" w:ascii="宋体" w:hAnsi="宋体" w:cs="宋体"/>
                <w:szCs w:val="24"/>
              </w:rPr>
              <w:t>杀毒授权</w:t>
            </w:r>
          </w:p>
        </w:tc>
        <w:tc>
          <w:tcPr>
            <w:tcW w:w="7704" w:type="dxa"/>
            <w:gridSpan w:val="3"/>
            <w:vAlign w:val="center"/>
          </w:tcPr>
          <w:p>
            <w:pPr>
              <w:rPr>
                <w:rFonts w:ascii="宋体" w:hAnsi="宋体"/>
                <w:szCs w:val="24"/>
              </w:rPr>
            </w:pPr>
            <w:r>
              <w:rPr>
                <w:rFonts w:hint="eastAsia" w:ascii="宋体" w:hAnsi="宋体" w:cs="宋体"/>
                <w:szCs w:val="24"/>
              </w:rPr>
              <w:t>配置杀毒</w:t>
            </w:r>
            <w:r>
              <w:rPr>
                <w:rFonts w:hint="eastAsia" w:ascii="宋体" w:hAnsi="宋体"/>
                <w:szCs w:val="24"/>
              </w:rPr>
              <w:t>AV</w:t>
            </w:r>
            <w:r>
              <w:rPr>
                <w:rFonts w:hint="eastAsia" w:ascii="宋体" w:hAnsi="宋体" w:cs="宋体"/>
                <w:szCs w:val="24"/>
              </w:rPr>
              <w:t>和</w:t>
            </w:r>
            <w:r>
              <w:rPr>
                <w:rFonts w:hint="eastAsia" w:ascii="宋体" w:hAnsi="宋体"/>
                <w:szCs w:val="24"/>
              </w:rPr>
              <w:t>DPI</w:t>
            </w:r>
            <w:r>
              <w:rPr>
                <w:rFonts w:hint="eastAsia" w:ascii="宋体" w:hAnsi="宋体" w:cs="宋体"/>
                <w:szCs w:val="24"/>
              </w:rPr>
              <w:t>授权，配置不限主机数量授权。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3" w:type="dxa"/>
            <w:vAlign w:val="center"/>
          </w:tcPr>
          <w:p>
            <w:pPr>
              <w:jc w:val="center"/>
              <w:rPr>
                <w:rFonts w:ascii="宋体" w:hAnsi="宋体" w:cs="宋体"/>
                <w:szCs w:val="24"/>
              </w:rPr>
            </w:pPr>
            <w:r>
              <w:rPr>
                <w:rFonts w:hint="eastAsia" w:ascii="宋体" w:hAnsi="宋体" w:cs="宋体"/>
                <w:szCs w:val="24"/>
              </w:rPr>
              <w:t>信息安全技术网络安全等级保护</w:t>
            </w:r>
          </w:p>
        </w:tc>
        <w:tc>
          <w:tcPr>
            <w:tcW w:w="7704" w:type="dxa"/>
            <w:gridSpan w:val="3"/>
            <w:vAlign w:val="center"/>
          </w:tcPr>
          <w:p>
            <w:pPr>
              <w:rPr>
                <w:rFonts w:ascii="宋体" w:hAnsi="宋体" w:cs="宋体"/>
                <w:szCs w:val="24"/>
              </w:rPr>
            </w:pPr>
            <w:r>
              <w:rPr>
                <w:rFonts w:hint="eastAsia" w:ascii="宋体" w:hAnsi="宋体" w:cs="宋体"/>
                <w:szCs w:val="24"/>
              </w:rPr>
              <w:t>投标人所提供的云平台需要满足《信息安全技术网络安全等级保护基本要求》第三级安全保护标准，等保测评得分需在8</w:t>
            </w:r>
            <w:r>
              <w:rPr>
                <w:rFonts w:ascii="宋体" w:hAnsi="宋体" w:cs="宋体"/>
                <w:szCs w:val="24"/>
              </w:rPr>
              <w:t>5</w:t>
            </w:r>
            <w:r>
              <w:rPr>
                <w:rFonts w:hint="eastAsia" w:ascii="宋体" w:hAnsi="宋体" w:cs="宋体"/>
                <w:szCs w:val="24"/>
              </w:rPr>
              <w:t>分及以上并提供测评报告。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3" w:type="dxa"/>
            <w:vAlign w:val="center"/>
          </w:tcPr>
          <w:p>
            <w:pPr>
              <w:jc w:val="center"/>
              <w:rPr>
                <w:rFonts w:ascii="宋体" w:hAnsi="宋体" w:cs="宋体"/>
                <w:szCs w:val="24"/>
              </w:rPr>
            </w:pPr>
            <w:r>
              <w:rPr>
                <w:rFonts w:hint="eastAsia" w:ascii="宋体" w:hAnsi="宋体" w:cs="宋体"/>
                <w:szCs w:val="24"/>
              </w:rPr>
              <w:t>商用密码应用安全性评估</w:t>
            </w:r>
          </w:p>
        </w:tc>
        <w:tc>
          <w:tcPr>
            <w:tcW w:w="7704" w:type="dxa"/>
            <w:gridSpan w:val="3"/>
            <w:vAlign w:val="center"/>
          </w:tcPr>
          <w:p>
            <w:pPr>
              <w:rPr>
                <w:rFonts w:ascii="宋体" w:hAnsi="宋体" w:cs="宋体"/>
                <w:szCs w:val="24"/>
              </w:rPr>
            </w:pPr>
            <w:r>
              <w:rPr>
                <w:rFonts w:hint="eastAsia" w:ascii="宋体" w:hAnsi="宋体" w:cs="宋体"/>
                <w:szCs w:val="24"/>
              </w:rPr>
              <w:t>投标人所提供的云平台在通过《信息安全技术 网络安全等级保护基本要求》第三级安全保护标准评测后，需要通过商用密码应用安全性评估，密码测评得分需到70分及以上并提供测评报告。</w:t>
            </w:r>
          </w:p>
        </w:tc>
      </w:tr>
    </w:tbl>
    <w:p>
      <w:pPr>
        <w:keepNext/>
        <w:keepLines/>
        <w:spacing w:before="280" w:after="290" w:line="377" w:lineRule="auto"/>
        <w:outlineLvl w:val="4"/>
        <w:rPr>
          <w:b/>
          <w:bCs/>
          <w:szCs w:val="24"/>
        </w:rPr>
      </w:pPr>
      <w:r>
        <w:rPr>
          <w:rFonts w:hint="eastAsia"/>
          <w:b/>
          <w:bCs/>
          <w:szCs w:val="24"/>
        </w:rPr>
        <w:t>云安全管理平台要求</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Align w:val="center"/>
          </w:tcPr>
          <w:p>
            <w:pPr>
              <w:jc w:val="center"/>
              <w:rPr>
                <w:rFonts w:ascii="宋体" w:hAnsi="宋体"/>
                <w:b/>
                <w:bCs/>
                <w:szCs w:val="24"/>
              </w:rPr>
            </w:pPr>
            <w:r>
              <w:rPr>
                <w:rFonts w:hint="eastAsia" w:ascii="宋体" w:hAnsi="宋体" w:cs="宋体"/>
                <w:b/>
                <w:bCs/>
                <w:szCs w:val="24"/>
              </w:rPr>
              <w:t>指标项</w:t>
            </w:r>
          </w:p>
        </w:tc>
        <w:tc>
          <w:tcPr>
            <w:tcW w:w="7707" w:type="dxa"/>
            <w:vAlign w:val="center"/>
          </w:tcPr>
          <w:p>
            <w:pPr>
              <w:jc w:val="center"/>
              <w:rPr>
                <w:rFonts w:ascii="宋体" w:hAnsi="宋体"/>
                <w:b/>
                <w:bCs/>
                <w:szCs w:val="24"/>
              </w:rPr>
            </w:pPr>
            <w:r>
              <w:rPr>
                <w:rFonts w:hint="eastAsia" w:ascii="宋体" w:hAnsi="宋体" w:cs="宋体"/>
                <w:b/>
                <w:bCs/>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Align w:val="center"/>
          </w:tcPr>
          <w:p>
            <w:pPr>
              <w:rPr>
                <w:rFonts w:ascii="宋体" w:hAnsi="宋体" w:cs="宋体"/>
                <w:szCs w:val="24"/>
              </w:rPr>
            </w:pPr>
            <w:r>
              <w:rPr>
                <w:rFonts w:hint="eastAsia" w:ascii="宋体" w:hAnsi="宋体" w:cs="宋体"/>
                <w:szCs w:val="24"/>
              </w:rPr>
              <w:t>基本要求</w:t>
            </w:r>
          </w:p>
        </w:tc>
        <w:tc>
          <w:tcPr>
            <w:tcW w:w="7707" w:type="dxa"/>
            <w:vAlign w:val="center"/>
          </w:tcPr>
          <w:p>
            <w:pPr>
              <w:rPr>
                <w:rFonts w:ascii="宋体" w:hAnsi="宋体" w:cs="宋体"/>
                <w:szCs w:val="24"/>
              </w:rPr>
            </w:pPr>
            <w:r>
              <w:rPr>
                <w:rFonts w:hint="eastAsia" w:ascii="宋体" w:hAnsi="宋体" w:cs="宋体"/>
                <w:szCs w:val="24"/>
              </w:rPr>
              <w:t>★投标人所提供的云安全管理平台需要与招标人互联网区实现共管共用，且不额外收取费用，提供承诺。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restart"/>
            <w:vAlign w:val="center"/>
          </w:tcPr>
          <w:p>
            <w:pPr>
              <w:rPr>
                <w:rFonts w:ascii="宋体" w:hAnsi="宋体" w:cs="宋体"/>
                <w:szCs w:val="24"/>
              </w:rPr>
            </w:pPr>
            <w:r>
              <w:rPr>
                <w:rFonts w:hint="eastAsia" w:ascii="宋体" w:hAnsi="宋体" w:cs="宋体"/>
                <w:szCs w:val="24"/>
              </w:rPr>
              <w:t>功能要求</w:t>
            </w:r>
          </w:p>
        </w:tc>
        <w:tc>
          <w:tcPr>
            <w:tcW w:w="7707" w:type="dxa"/>
            <w:vAlign w:val="center"/>
          </w:tcPr>
          <w:p>
            <w:pPr>
              <w:rPr>
                <w:rFonts w:ascii="宋体" w:hAnsi="宋体" w:cs="宋体"/>
                <w:szCs w:val="24"/>
              </w:rPr>
            </w:pPr>
            <w:r>
              <w:rPr>
                <w:rFonts w:hint="eastAsia" w:ascii="宋体" w:hAnsi="宋体" w:cs="宋体"/>
                <w:szCs w:val="24"/>
              </w:rPr>
              <w:t>★产品具备综合日志审计功能、漏洞扫描功能、运维审计、数据库审计、终端杀毒功能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"RANGE!_可统一在管理平台进行版本升级、授权激活、账户密码配置等" </w:instrText>
            </w:r>
            <w:r>
              <w:fldChar w:fldCharType="separate"/>
            </w:r>
            <w:r>
              <w:rPr>
                <w:rFonts w:hint="eastAsia" w:ascii="宋体" w:hAnsi="宋体" w:cs="宋体"/>
                <w:szCs w:val="24"/>
              </w:rPr>
              <w:t>★可统一在管理平台进行版本升级、授权激活、账户密码配置等（需提供截图证明）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"RANGE!_可统一在管理平台展示CPU、内存、磁盘的资源使用情况，统计展示一天、一" </w:instrText>
            </w:r>
            <w:r>
              <w:fldChar w:fldCharType="separate"/>
            </w:r>
            <w:r>
              <w:rPr>
                <w:rFonts w:hint="eastAsia" w:ascii="宋体" w:hAnsi="宋体" w:cs="宋体"/>
                <w:szCs w:val="24"/>
              </w:rPr>
              <w:t>★可统一在管理平台展示CPU、内存、磁盘的资源使用情况，统计展示一天、一周、30天内设备告警情况，并对重要告警信息进行展示（需提供截图证明）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"RANGE!_可统一在管理平台对漏扫、日志审计、运维审计、数据库审计、终端杀毒等各个" </w:instrText>
            </w:r>
            <w:r>
              <w:fldChar w:fldCharType="separate"/>
            </w:r>
            <w:r>
              <w:rPr>
                <w:rFonts w:hint="eastAsia" w:ascii="宋体" w:hAnsi="宋体" w:cs="宋体"/>
                <w:szCs w:val="24"/>
              </w:rPr>
              <w:t>★可统一在管理平台对各个组件的运维数据进行集中统计展示（需提供截图证明）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"RANGE!_可在管理平台进行漏扫、日志审计、运维审计、数据库审计、终端杀毒等各个组" </w:instrText>
            </w:r>
            <w:r>
              <w:fldChar w:fldCharType="separate"/>
            </w:r>
            <w:r>
              <w:rPr>
                <w:rFonts w:hint="eastAsia" w:ascii="宋体" w:hAnsi="宋体" w:cs="宋体"/>
                <w:szCs w:val="24"/>
              </w:rPr>
              <w:t>★可在管理平台进行各个组件的基础安全业务策略配置的免跳转下发（需提供截图证明）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"RANGE!_具备脆弱性大屏展示功能，直观展示内网各类设备漏洞情况" </w:instrText>
            </w:r>
            <w:r>
              <w:fldChar w:fldCharType="separate"/>
            </w:r>
            <w:r>
              <w:rPr>
                <w:rFonts w:hint="eastAsia" w:ascii="宋体" w:hAnsi="宋体" w:cs="宋体"/>
                <w:szCs w:val="24"/>
              </w:rPr>
              <w:t>★具备脆弱性大屏展示功能，直观展示内网各类设备漏洞情况（需提供截图证明）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"RANGE!_具备安全合规大屏展示功能，直观展示内网各类设备安全现状，并对各类设备的" </w:instrText>
            </w:r>
            <w:r>
              <w:fldChar w:fldCharType="separate"/>
            </w:r>
            <w:r>
              <w:rPr>
                <w:rFonts w:hint="eastAsia" w:ascii="宋体" w:hAnsi="宋体" w:cs="宋体"/>
                <w:szCs w:val="24"/>
              </w:rPr>
              <w:t>★具备安全合规大屏展示功能，直观展示内网各类设备安全现状，并对各类设备的安全情况进行打分评定，帮助用户直观感受内网安全情况（需提供截图证明）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"RANGE!_具备数据库安全大屏展示功能，直观展示数据库安全现状" </w:instrText>
            </w:r>
            <w:r>
              <w:fldChar w:fldCharType="separate"/>
            </w:r>
            <w:r>
              <w:rPr>
                <w:rFonts w:hint="eastAsia" w:ascii="宋体" w:hAnsi="宋体" w:cs="宋体"/>
                <w:szCs w:val="24"/>
              </w:rPr>
              <w:t>★具备数据库安全大屏展示功能，直观展示数据库安全现状（需提供截图证明）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日志审计功能要求：满足功能项“综合日志审计系统功能”的要求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漏洞扫描功能要求：满足功能项“漏洞扫描系统功能”的要求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运维审计功能要求：满足功能项“运维审计系统功能”的要求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数据库审计功能要求：满足功能项“数据库审计系统功能”的要求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终端杀毒功能要求：满足功能项“终端杀毒功能”的要求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Align w:val="center"/>
          </w:tcPr>
          <w:p>
            <w:pPr>
              <w:rPr>
                <w:rFonts w:ascii="宋体" w:hAnsi="宋体" w:cs="宋体"/>
                <w:szCs w:val="24"/>
              </w:rPr>
            </w:pPr>
            <w:r>
              <w:rPr>
                <w:rFonts w:hint="eastAsia" w:ascii="宋体" w:hAnsi="宋体" w:cs="宋体"/>
                <w:szCs w:val="24"/>
              </w:rPr>
              <w:t>部署模式</w:t>
            </w:r>
          </w:p>
        </w:tc>
        <w:tc>
          <w:tcPr>
            <w:tcW w:w="7707" w:type="dxa"/>
            <w:vAlign w:val="center"/>
          </w:tcPr>
          <w:p>
            <w:pPr>
              <w:rPr>
                <w:rFonts w:ascii="宋体" w:hAnsi="宋体" w:cs="宋体"/>
                <w:szCs w:val="24"/>
              </w:rPr>
            </w:pPr>
            <w:r>
              <w:rPr>
                <w:rFonts w:hint="eastAsia" w:ascii="宋体" w:hAnsi="宋体" w:cs="宋体"/>
                <w:szCs w:val="24"/>
              </w:rPr>
              <w:t>设备采用旁路部署模式，系统与目标资源IP可达，协议互通即可，不需要改变网络拓扑结构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Align w:val="center"/>
          </w:tcPr>
          <w:p>
            <w:pPr>
              <w:rPr>
                <w:rFonts w:ascii="宋体" w:hAnsi="宋体" w:cs="宋体"/>
                <w:szCs w:val="24"/>
              </w:rPr>
            </w:pPr>
            <w:r>
              <w:rPr>
                <w:rFonts w:hint="eastAsia" w:ascii="宋体" w:hAnsi="宋体" w:cs="宋体"/>
                <w:szCs w:val="24"/>
              </w:rPr>
              <w:t>日志查看</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"RANGE!_支持按照日志类型进行查询，支持操作日志、审计日志、流量日志、威胁日志、" </w:instrText>
            </w:r>
            <w:r>
              <w:fldChar w:fldCharType="separate"/>
            </w:r>
            <w:r>
              <w:rPr>
                <w:rFonts w:hint="eastAsia" w:ascii="宋体" w:hAnsi="宋体" w:cs="宋体"/>
                <w:szCs w:val="24"/>
              </w:rPr>
              <w:t>★支持按照日志类型进行查询，支持操作日志、审计日志、流量日志、威胁日志、主机日志等11大类70子标签进行分类；支持多条件查询，包含开始时间、结束时间、动作类型、设备名称、日志等级、用户名、源IP、目的IP、协议等条件进行过滤查询展示（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Align w:val="center"/>
          </w:tcPr>
          <w:p>
            <w:pPr>
              <w:rPr>
                <w:rFonts w:ascii="宋体" w:hAnsi="宋体" w:cs="宋体"/>
                <w:szCs w:val="24"/>
              </w:rPr>
            </w:pPr>
            <w:r>
              <w:rPr>
                <w:rFonts w:hint="eastAsia" w:ascii="宋体" w:hAnsi="宋体" w:cs="宋体"/>
                <w:szCs w:val="24"/>
              </w:rPr>
              <w:t>全文检索</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"RANGE!_支持全文检索原始日志，检索字段变色高亮；支持任意信息、任意时间进行内容" </w:instrText>
            </w:r>
            <w:r>
              <w:fldChar w:fldCharType="separate"/>
            </w:r>
            <w:r>
              <w:rPr>
                <w:rFonts w:hint="eastAsia" w:ascii="宋体" w:hAnsi="宋体" w:cs="宋体"/>
                <w:szCs w:val="24"/>
              </w:rPr>
              <w:t>★支持全文检索原始日志，检索字段变色高亮；支持任意信息、任意时间进行内容查询匹配，支持可选包含/不包含匹配方式（需提供截图证明）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Merge w:val="restart"/>
            <w:vAlign w:val="center"/>
          </w:tcPr>
          <w:p>
            <w:pPr>
              <w:rPr>
                <w:rFonts w:ascii="宋体" w:hAnsi="宋体" w:cs="宋体"/>
                <w:szCs w:val="24"/>
              </w:rPr>
            </w:pPr>
            <w:r>
              <w:rPr>
                <w:rFonts w:hint="eastAsia" w:ascii="宋体" w:hAnsi="宋体" w:cs="宋体"/>
                <w:szCs w:val="24"/>
              </w:rPr>
              <w:t>主机漏洞扫描</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"RANGE!_主机漏洞知识库_2" </w:instrText>
            </w:r>
            <w:r>
              <w:fldChar w:fldCharType="separate"/>
            </w:r>
            <w:r>
              <w:rPr>
                <w:rFonts w:hint="eastAsia" w:ascii="宋体" w:hAnsi="宋体" w:cs="宋体"/>
                <w:szCs w:val="24"/>
              </w:rPr>
              <w:t>★主机漏洞知识库可检测漏洞数量51000+，其中可检测CVE漏洞数不低于48400+个，非CVE漏洞数不低于3000+个,漏洞信息全中文支持，提供漏洞名称、威胁类型、风险级别等漏洞信息详细描述及其对应的解决方案（提供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"RANGE!_口令破解_1" </w:instrText>
            </w:r>
            <w:r>
              <w:fldChar w:fldCharType="separate"/>
            </w:r>
            <w:r>
              <w:rPr>
                <w:rFonts w:hint="eastAsia" w:ascii="宋体" w:hAnsi="宋体" w:cs="宋体"/>
                <w:szCs w:val="24"/>
              </w:rPr>
              <w:t>★支持针对多种协议进行口令猜测，系统应内置至少包括SMB、SSH、TELNET、RDP、POP3、SNMP等多种协议的用户字典与口令字典，允许用户使用自定义的用户字典与口令字典（提供界面截图）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"RANGE!_支持IPV4、IPV6双协议栈地址扫描" </w:instrText>
            </w:r>
            <w:r>
              <w:fldChar w:fldCharType="separate"/>
            </w:r>
            <w:r>
              <w:rPr>
                <w:rFonts w:hint="eastAsia" w:ascii="宋体" w:hAnsi="宋体" w:cs="宋体"/>
                <w:szCs w:val="24"/>
              </w:rPr>
              <w:t>★支持IPV4、IPV6双协议栈地址扫描（提供界面截图）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restart"/>
            <w:vAlign w:val="center"/>
          </w:tcPr>
          <w:p>
            <w:pPr>
              <w:rPr>
                <w:rFonts w:ascii="宋体" w:hAnsi="宋体" w:cs="宋体"/>
                <w:szCs w:val="24"/>
              </w:rPr>
            </w:pPr>
            <w:r>
              <w:rPr>
                <w:rFonts w:hint="eastAsia" w:ascii="宋体" w:hAnsi="宋体" w:cs="宋体"/>
                <w:szCs w:val="24"/>
              </w:rPr>
              <w:t>数据库漏洞扫描</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"RANGE!_数据库漏洞知识库_1" </w:instrText>
            </w:r>
            <w:r>
              <w:fldChar w:fldCharType="separate"/>
            </w:r>
            <w:r>
              <w:rPr>
                <w:rFonts w:hint="eastAsia" w:ascii="宋体" w:hAnsi="宋体" w:cs="宋体"/>
                <w:szCs w:val="24"/>
              </w:rPr>
              <w:t>★数据库漏洞知识库可检测漏洞数量1560+，提供漏洞名称、威胁类型、风险级别等漏洞信息详细描述及其对应的解决方案（提供界面截图）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"RANGE!_各种主流数据库类型认证深度扫描_1" </w:instrText>
            </w:r>
            <w:r>
              <w:fldChar w:fldCharType="separate"/>
            </w:r>
            <w:r>
              <w:rPr>
                <w:rFonts w:hint="eastAsia" w:ascii="宋体" w:hAnsi="宋体" w:cs="宋体"/>
                <w:szCs w:val="24"/>
              </w:rPr>
              <w:t>支持对数据库进行帐户口令认证登陆，登陆到相应的数据库中对特定应用进行深入扫描，其中主流数据库类型支持包括不局限于Oracle、Mysql、MSSQL、DB2、Informix、Sybase、达梦等7种数据库类型（提供界面截图）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Align w:val="center"/>
          </w:tcPr>
          <w:p>
            <w:pPr>
              <w:rPr>
                <w:rFonts w:ascii="宋体" w:hAnsi="宋体" w:cs="宋体"/>
                <w:szCs w:val="24"/>
              </w:rPr>
            </w:pPr>
            <w:r>
              <w:rPr>
                <w:rFonts w:hint="eastAsia" w:ascii="宋体" w:hAnsi="宋体" w:cs="宋体"/>
                <w:szCs w:val="24"/>
              </w:rPr>
              <w:t>性能要求</w:t>
            </w:r>
          </w:p>
        </w:tc>
        <w:tc>
          <w:tcPr>
            <w:tcW w:w="7707" w:type="dxa"/>
            <w:vAlign w:val="center"/>
          </w:tcPr>
          <w:p>
            <w:pPr>
              <w:rPr>
                <w:rFonts w:ascii="宋体" w:hAnsi="宋体" w:cs="宋体"/>
                <w:szCs w:val="24"/>
              </w:rPr>
            </w:pPr>
            <w:r>
              <w:rPr>
                <w:rFonts w:hint="eastAsia" w:ascii="宋体" w:hAnsi="宋体" w:cs="宋体"/>
                <w:szCs w:val="24"/>
              </w:rPr>
              <w:t xml:space="preserve">最大图形并发连接数不少于150，最大字符并发连接数不少于300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Align w:val="center"/>
          </w:tcPr>
          <w:p>
            <w:pPr>
              <w:rPr>
                <w:rFonts w:ascii="宋体" w:hAnsi="宋体" w:cs="宋体"/>
                <w:szCs w:val="24"/>
              </w:rPr>
            </w:pPr>
            <w:r>
              <w:rPr>
                <w:rFonts w:hint="eastAsia" w:ascii="宋体" w:hAnsi="宋体" w:cs="宋体"/>
                <w:szCs w:val="24"/>
              </w:rPr>
              <w:t>账号同步</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"RANGE!_支持AD账号的自动化同步，可将未纳管的AD账号自动添加到系统中并自动赋" </w:instrText>
            </w:r>
            <w:r>
              <w:fldChar w:fldCharType="separate"/>
            </w:r>
            <w:r>
              <w:rPr>
                <w:rFonts w:hint="eastAsia" w:ascii="宋体" w:hAnsi="宋体" w:cs="宋体"/>
                <w:szCs w:val="24"/>
              </w:rPr>
              <w:t>★支持AD账号的自动化同步，可将未纳管的AD账号自动添加到系统中并自动赋予指定角色，无需管理员干预（提供截图证明）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Align w:val="center"/>
          </w:tcPr>
          <w:p>
            <w:pPr>
              <w:rPr>
                <w:rFonts w:ascii="宋体" w:hAnsi="宋体" w:cs="宋体"/>
                <w:szCs w:val="24"/>
              </w:rPr>
            </w:pPr>
            <w:r>
              <w:rPr>
                <w:rFonts w:hint="eastAsia" w:ascii="宋体" w:hAnsi="宋体" w:cs="宋体"/>
                <w:szCs w:val="24"/>
              </w:rPr>
              <w:t>IPv6资产管理与审计</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"RANGE!_支持管理IPv6资产" </w:instrText>
            </w:r>
            <w:r>
              <w:fldChar w:fldCharType="separate"/>
            </w:r>
            <w:r>
              <w:rPr>
                <w:rFonts w:hint="eastAsia" w:ascii="宋体" w:hAnsi="宋体" w:cs="宋体"/>
                <w:szCs w:val="24"/>
              </w:rPr>
              <w:t>支持对IPv6资产进行统一管理，同时可完整记录用户对IPv6资产的运维操作行为（提供截图证明）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restart"/>
            <w:vAlign w:val="center"/>
          </w:tcPr>
          <w:p>
            <w:pPr>
              <w:rPr>
                <w:rFonts w:ascii="宋体" w:hAnsi="宋体" w:cs="宋体"/>
                <w:szCs w:val="24"/>
              </w:rPr>
            </w:pPr>
            <w:r>
              <w:rPr>
                <w:rFonts w:hint="eastAsia" w:ascii="宋体" w:hAnsi="宋体" w:cs="宋体"/>
                <w:szCs w:val="24"/>
              </w:rPr>
              <w:t>访问权限</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"RANGE!_支持不同资产之间的联动配置，彼此之间可实现自动跳转访问" </w:instrText>
            </w:r>
            <w:r>
              <w:fldChar w:fldCharType="separate"/>
            </w:r>
            <w:r>
              <w:rPr>
                <w:rFonts w:hint="eastAsia" w:ascii="宋体" w:hAnsi="宋体" w:cs="宋体"/>
                <w:szCs w:val="24"/>
              </w:rPr>
              <w:t>★支持不同资产之间的联动配置，彼此之间可实现自动跳转访问（提供截图证明）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"RANGE!_支持动态权限管控，管理员可基于用户属性、设备属性、系统账号属性来创建弹" </w:instrText>
            </w:r>
            <w:r>
              <w:fldChar w:fldCharType="separate"/>
            </w:r>
            <w:r>
              <w:rPr>
                <w:rFonts w:hint="eastAsia" w:ascii="宋体" w:hAnsi="宋体" w:cs="宋体"/>
                <w:szCs w:val="24"/>
              </w:rPr>
              <w:t>★支持动态权限管控，管理员可基于用户属性、设备属性、系统账号属性来创建弹性动态权限规则，只要满足相关属性的用户、设备、账号即会被自动赋予对应访问权限（提供截图证明）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"RANGE!_支持变更单管理功能，管理员可以基于使用人、资源、系统账号、到期时间，来" </w:instrText>
            </w:r>
            <w:r>
              <w:fldChar w:fldCharType="separate"/>
            </w:r>
            <w:r>
              <w:rPr>
                <w:rFonts w:hint="eastAsia" w:ascii="宋体" w:hAnsi="宋体" w:cs="宋体"/>
                <w:szCs w:val="24"/>
              </w:rPr>
              <w:t>支持变更单管理功能，管理员可以基于使用人、资源、系统账号、到期时间，来上传、创建值班表模式的权限变更单，变更单无需审批，但可以自动生成时效性的访问权限（提供截图证明）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"RANGE!_支持基于A/B角管理模式的双人复核，当用户登录到目标设备时，必须经过复" </w:instrText>
            </w:r>
            <w:r>
              <w:fldChar w:fldCharType="separate"/>
            </w:r>
            <w:r>
              <w:rPr>
                <w:rFonts w:hint="eastAsia" w:ascii="宋体" w:hAnsi="宋体" w:cs="宋体"/>
                <w:szCs w:val="24"/>
              </w:rPr>
              <w:t>★支持基于A/B角管理模式的双人复核，当用户登录到目标设备时，必须经过复核人的复核确认后才能正常操作当会话复核人发现操作存在风险，可实时暂停（提供截图证明）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Align w:val="center"/>
          </w:tcPr>
          <w:p>
            <w:pPr>
              <w:rPr>
                <w:rFonts w:ascii="宋体" w:hAnsi="宋体" w:cs="宋体"/>
                <w:szCs w:val="24"/>
              </w:rPr>
            </w:pPr>
            <w:r>
              <w:rPr>
                <w:rFonts w:hint="eastAsia" w:ascii="宋体" w:hAnsi="宋体" w:cs="宋体"/>
                <w:szCs w:val="24"/>
              </w:rPr>
              <w:t>密码工单</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"RANGE!_支持密码工单管理，可通过工单申请相应资源的明文密码，审批通过后可通过邮" </w:instrText>
            </w:r>
            <w:r>
              <w:fldChar w:fldCharType="separate"/>
            </w:r>
            <w:r>
              <w:rPr>
                <w:rFonts w:hint="eastAsia" w:ascii="宋体" w:hAnsi="宋体" w:cs="宋体"/>
                <w:szCs w:val="24"/>
              </w:rPr>
              <w:t>支持密码工单管理，可通过工单申请相应资源的明文密码，审批通过后可通过邮件方式向申请人发送相应提示信息，有效期后平台会自动回收相应账号密码，并自动触发密码变更操作（提供截图证明）</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restart"/>
            <w:vAlign w:val="center"/>
          </w:tcPr>
          <w:p>
            <w:pPr>
              <w:rPr>
                <w:rFonts w:ascii="宋体" w:hAnsi="宋体" w:cs="宋体"/>
                <w:szCs w:val="24"/>
              </w:rPr>
            </w:pPr>
            <w:r>
              <w:rPr>
                <w:rFonts w:hint="eastAsia" w:ascii="宋体" w:hAnsi="宋体" w:cs="宋体"/>
                <w:szCs w:val="24"/>
              </w:rPr>
              <w:t>审计能力</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"RANGE!_IPV6环境管理与审计_1" </w:instrText>
            </w:r>
            <w:r>
              <w:fldChar w:fldCharType="separate"/>
            </w:r>
            <w:r>
              <w:rPr>
                <w:rFonts w:hint="eastAsia" w:ascii="宋体" w:hAnsi="宋体" w:cs="宋体"/>
                <w:szCs w:val="24"/>
              </w:rPr>
              <w:t>支持在IPV6环境下部署和管理，且支持在纯IPV4环境、纯IPV6环境及IPV4与IPV6混杂环境下对数据库进行审计（需提供产品配置界面截图）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"RANGE!_VXLAN环境审计" </w:instrText>
            </w:r>
            <w:r>
              <w:fldChar w:fldCharType="separate"/>
            </w:r>
            <w:r>
              <w:rPr>
                <w:rFonts w:hint="eastAsia" w:ascii="宋体" w:hAnsi="宋体" w:cs="宋体"/>
                <w:szCs w:val="24"/>
              </w:rPr>
              <w:t>★支持VXLAN环境下数据库的审计，且需支持指定源IP审计功能（需提供产品配置界面截图）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"RANGE!_因子监测" </w:instrText>
            </w:r>
            <w:r>
              <w:fldChar w:fldCharType="separate"/>
            </w:r>
            <w:r>
              <w:rPr>
                <w:rFonts w:hint="eastAsia" w:ascii="宋体" w:hAnsi="宋体" w:cs="宋体"/>
                <w:szCs w:val="24"/>
              </w:rPr>
              <w:t>★支持因子监测功能，对数据库中突发增加的内容提供独立展示页面。因子内容包括：IP地址、应用程序名、计算机名、存储过程、数据库用户名、数据名、数据库主机。系统记录因子出现次数，且能排序，可多维快速定位因子（需提供产品配置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"RANGE!_SQL模板" </w:instrText>
            </w:r>
            <w:r>
              <w:fldChar w:fldCharType="separate"/>
            </w:r>
            <w:r>
              <w:rPr>
                <w:rFonts w:hint="eastAsia" w:ascii="宋体" w:hAnsi="宋体" w:cs="宋体"/>
                <w:szCs w:val="24"/>
              </w:rPr>
              <w:t>★支持SQL模板，系统能自动识别并抽取数据库句式语意相同但参数不同的语句，并通过独立页面展示，同时记录该模板的状态、触发规则名、总记录数、总告警数、上次告警记录数、上次出现时间、最后出现时间，并能设置该模板别名，通过模板直接进行过滤操作（需提供产品配置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"RANGE!_敏感数据掩码" </w:instrText>
            </w:r>
            <w:r>
              <w:fldChar w:fldCharType="separate"/>
            </w:r>
            <w:r>
              <w:rPr>
                <w:rFonts w:hint="eastAsia" w:ascii="宋体" w:hAnsi="宋体" w:cs="宋体"/>
                <w:szCs w:val="24"/>
              </w:rPr>
              <w:t>支持审计数据中敏感数据的模糊化处理，系统内置常见敏感数据的掩码规则（需提供产品配置界面截图）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508" w:type="dxa"/>
            <w:vAlign w:val="center"/>
          </w:tcPr>
          <w:p>
            <w:pPr>
              <w:jc w:val="both"/>
              <w:rPr>
                <w:rFonts w:ascii="宋体" w:hAnsi="宋体" w:cs="宋体"/>
                <w:szCs w:val="24"/>
              </w:rPr>
            </w:pPr>
            <w:r>
              <w:rPr>
                <w:rFonts w:hint="eastAsia" w:ascii="宋体" w:hAnsi="宋体" w:cs="宋体"/>
                <w:szCs w:val="24"/>
              </w:rPr>
              <w:t>结果查询</w:t>
            </w: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"RANGE!_查询方式" </w:instrText>
            </w:r>
            <w:r>
              <w:fldChar w:fldCharType="separate"/>
            </w:r>
            <w:r>
              <w:rPr>
                <w:rFonts w:hint="eastAsia" w:ascii="宋体" w:hAnsi="宋体" w:cs="宋体"/>
                <w:szCs w:val="24"/>
              </w:rPr>
              <w:t>★支持对审计数据结果进行多条件组合查询，查询条件不少于27类。所支持的查询条件包括时间范围、源IP地址、操作方式、规则名、操作内容、排序方式、查询方式、排除内容、操作对象、计算机名、目标IP、应用程序名、数据库用户名、数据名、协议类型、会话流水号、语句流水号、长语句总耗时、长语句平均耗时、会话语句种类数、会话重复程度、最大单条耗时、会话语句数量、会话重复程度；支持对审计数据按关键词进行模糊查询，支持查询结果的二次过滤（需提供产品配置界面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restart"/>
            <w:vAlign w:val="center"/>
          </w:tcPr>
          <w:p>
            <w:pPr>
              <w:jc w:val="center"/>
              <w:rPr>
                <w:rFonts w:ascii="宋体" w:hAnsi="宋体" w:cs="宋体"/>
                <w:szCs w:val="24"/>
              </w:rPr>
            </w:pPr>
            <w:r>
              <w:rPr>
                <w:rFonts w:hint="eastAsia" w:ascii="宋体" w:hAnsi="宋体" w:cs="宋体"/>
                <w:szCs w:val="24"/>
              </w:rPr>
              <w:t>病毒、恶意代码、木马防护</w:t>
            </w:r>
          </w:p>
        </w:tc>
        <w:tc>
          <w:tcPr>
            <w:tcW w:w="7707" w:type="dxa"/>
            <w:vAlign w:val="center"/>
          </w:tcPr>
          <w:p>
            <w:pPr>
              <w:rPr>
                <w:rFonts w:ascii="宋体" w:hAnsi="宋体" w:cs="宋体"/>
                <w:szCs w:val="24"/>
              </w:rPr>
            </w:pPr>
            <w:r>
              <w:rPr>
                <w:rFonts w:hint="eastAsia" w:ascii="宋体" w:hAnsi="宋体" w:cs="宋体"/>
                <w:szCs w:val="24"/>
              </w:rPr>
              <w:t>支持内存病毒监控，可以自动清除或者删除病毒文件，并在隔离区中</w:t>
            </w:r>
            <w:r>
              <w:rPr>
                <w:rFonts w:hint="eastAsia" w:ascii="宋体" w:hAnsi="宋体" w:cs="宋体"/>
                <w:szCs w:val="24"/>
                <w:highlight w:val="none"/>
              </w:rPr>
              <w:t>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支持查杀DOS、Windows等系统的ZIP、GZIP、ARJ、CAB、RAR、LZH、UPX、ASPACK、FSG、ZOO、ARC等多种压缩包裹格式的文件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支持移动设备自动监控，接入后提示病毒检测等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支持终端访问网络共享文件时的实时病毒检测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可以定时查杀，并且对病毒文件进行查毒或查毒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fldChar w:fldCharType="begin"/>
            </w:r>
            <w:r>
              <w:instrText xml:space="preserve"> HYPERLINK "file:///D:\\Program%20Files%20(x86)\\Tencent\\WeChat\\WeChat%20Files\\niexin4125\\FileStorage\\File\\2021-10\\机关事务管理局参数(1).xlsx" \l "RANGE!_支持文件、目录和数字签名自定义白名单的方式来管理全网终端的文件" </w:instrText>
            </w:r>
            <w:r>
              <w:fldChar w:fldCharType="separate"/>
            </w:r>
            <w:r>
              <w:rPr>
                <w:rFonts w:hint="eastAsia" w:ascii="宋体" w:hAnsi="宋体" w:cs="宋体"/>
                <w:szCs w:val="24"/>
              </w:rPr>
              <w:t>★支持文件、目录和数字签名自定义白名单的方式来管理全网终端的文件（需提供界面配置截图）</w:t>
            </w:r>
            <w:r>
              <w:rPr>
                <w:rFonts w:hint="eastAsia" w:ascii="宋体" w:hAnsi="宋体" w:cs="宋体"/>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08" w:type="dxa"/>
            <w:vAlign w:val="center"/>
          </w:tcPr>
          <w:p>
            <w:pPr>
              <w:rPr>
                <w:rFonts w:ascii="宋体" w:hAnsi="宋体" w:cs="宋体"/>
                <w:szCs w:val="24"/>
              </w:rPr>
            </w:pPr>
            <w:r>
              <w:rPr>
                <w:rFonts w:hint="eastAsia" w:ascii="宋体" w:hAnsi="宋体" w:cs="宋体"/>
                <w:szCs w:val="24"/>
              </w:rPr>
              <w:t>补丁分发与漏洞修复</w:t>
            </w:r>
          </w:p>
        </w:tc>
        <w:tc>
          <w:tcPr>
            <w:tcW w:w="7707" w:type="dxa"/>
            <w:vAlign w:val="center"/>
          </w:tcPr>
          <w:p>
            <w:pPr>
              <w:rPr>
                <w:rFonts w:ascii="宋体" w:hAnsi="宋体" w:cs="宋体"/>
                <w:szCs w:val="24"/>
              </w:rPr>
            </w:pPr>
            <w:r>
              <w:rPr>
                <w:rFonts w:hint="eastAsia" w:ascii="宋体" w:hAnsi="宋体" w:cs="宋体"/>
                <w:szCs w:val="24"/>
              </w:rPr>
              <w:t>可以定时修复漏洞功能，可以筛选高危补丁、可选补丁进行修复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restart"/>
            <w:vAlign w:val="center"/>
          </w:tcPr>
          <w:p>
            <w:pPr>
              <w:rPr>
                <w:rFonts w:ascii="宋体" w:hAnsi="宋体" w:cs="宋体"/>
                <w:szCs w:val="24"/>
              </w:rPr>
            </w:pPr>
            <w:r>
              <w:rPr>
                <w:rFonts w:hint="eastAsia" w:ascii="宋体" w:hAnsi="宋体" w:cs="宋体"/>
                <w:szCs w:val="24"/>
              </w:rPr>
              <w:t>产品资质要求</w:t>
            </w:r>
          </w:p>
        </w:tc>
        <w:tc>
          <w:tcPr>
            <w:tcW w:w="7707" w:type="dxa"/>
            <w:vAlign w:val="center"/>
          </w:tcPr>
          <w:p>
            <w:pPr>
              <w:rPr>
                <w:rFonts w:ascii="宋体" w:hAnsi="宋体" w:cs="宋体"/>
                <w:szCs w:val="24"/>
              </w:rPr>
            </w:pPr>
            <w:r>
              <w:rPr>
                <w:rFonts w:hint="eastAsia" w:ascii="宋体" w:hAnsi="宋体" w:cs="宋体"/>
                <w:szCs w:val="24"/>
              </w:rPr>
              <w:t>产品具备公安部《计算机信息系统安全专用产品销售许可证》,提供证书复印件证明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8" w:type="dxa"/>
            <w:vMerge w:val="continue"/>
            <w:vAlign w:val="center"/>
          </w:tcPr>
          <w:p>
            <w:pPr>
              <w:rPr>
                <w:rFonts w:ascii="宋体" w:hAnsi="宋体" w:cs="宋体"/>
                <w:szCs w:val="24"/>
              </w:rPr>
            </w:pPr>
          </w:p>
        </w:tc>
        <w:tc>
          <w:tcPr>
            <w:tcW w:w="7707" w:type="dxa"/>
            <w:vAlign w:val="center"/>
          </w:tcPr>
          <w:p>
            <w:pPr>
              <w:rPr>
                <w:rFonts w:ascii="宋体" w:hAnsi="宋体" w:cs="宋体"/>
                <w:szCs w:val="24"/>
              </w:rPr>
            </w:pPr>
            <w:r>
              <w:rPr>
                <w:rFonts w:hint="eastAsia" w:ascii="宋体" w:hAnsi="宋体" w:cs="宋体"/>
                <w:szCs w:val="24"/>
              </w:rPr>
              <w:t>产品具备国家版权局颁发的《计算机软件著作权登记证书》,提供证书复印件证明</w:t>
            </w:r>
          </w:p>
        </w:tc>
      </w:tr>
    </w:tbl>
    <w:p>
      <w:pPr>
        <w:keepNext/>
        <w:keepLines/>
        <w:spacing w:before="280" w:after="290" w:line="377" w:lineRule="auto"/>
        <w:outlineLvl w:val="4"/>
        <w:rPr>
          <w:b/>
          <w:bCs/>
          <w:szCs w:val="24"/>
        </w:rPr>
      </w:pPr>
      <w:r>
        <w:rPr>
          <w:rFonts w:hint="eastAsia"/>
          <w:b/>
          <w:bCs/>
          <w:szCs w:val="24"/>
        </w:rPr>
        <w:t>网络安全要求</w:t>
      </w:r>
    </w:p>
    <w:tbl>
      <w:tblPr>
        <w:tblStyle w:val="30"/>
        <w:tblW w:w="86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Align w:val="center"/>
          </w:tcPr>
          <w:p>
            <w:pPr>
              <w:rPr>
                <w:rFonts w:ascii="宋体" w:hAnsi="宋体"/>
                <w:b/>
                <w:bCs/>
                <w:szCs w:val="24"/>
              </w:rPr>
            </w:pPr>
            <w:r>
              <w:rPr>
                <w:rFonts w:hint="eastAsia" w:ascii="宋体" w:hAnsi="宋体" w:cs="宋体"/>
                <w:b/>
                <w:bCs/>
                <w:szCs w:val="24"/>
              </w:rPr>
              <w:t>指标项</w:t>
            </w:r>
          </w:p>
        </w:tc>
        <w:tc>
          <w:tcPr>
            <w:tcW w:w="7111" w:type="dxa"/>
            <w:vAlign w:val="center"/>
          </w:tcPr>
          <w:p>
            <w:pPr>
              <w:rPr>
                <w:rFonts w:ascii="宋体" w:hAnsi="宋体"/>
                <w:b/>
                <w:bCs/>
                <w:szCs w:val="24"/>
              </w:rPr>
            </w:pPr>
            <w:r>
              <w:rPr>
                <w:rFonts w:hint="eastAsia" w:ascii="宋体" w:hAnsi="宋体" w:cs="宋体"/>
                <w:b/>
                <w:bCs/>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2" w:type="dxa"/>
            <w:gridSpan w:val="2"/>
            <w:vAlign w:val="center"/>
          </w:tcPr>
          <w:p>
            <w:pPr>
              <w:rPr>
                <w:rFonts w:ascii="宋体" w:hAnsi="宋体" w:cs="宋体"/>
                <w:b/>
                <w:bCs/>
                <w:szCs w:val="24"/>
              </w:rPr>
            </w:pPr>
            <w:r>
              <w:rPr>
                <w:rFonts w:hint="eastAsia" w:ascii="宋体" w:hAnsi="宋体" w:cs="宋体"/>
                <w:b/>
                <w:bCs/>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Align w:val="center"/>
          </w:tcPr>
          <w:p>
            <w:pPr>
              <w:jc w:val="center"/>
              <w:rPr>
                <w:rFonts w:ascii="宋体" w:hAnsi="宋体" w:cs="Segoe UI Symbol"/>
                <w:szCs w:val="24"/>
              </w:rPr>
            </w:pPr>
            <w:r>
              <w:rPr>
                <w:rFonts w:hint="eastAsia" w:ascii="宋体" w:hAnsi="宋体" w:cs="宋体"/>
                <w:szCs w:val="24"/>
              </w:rPr>
              <w:t>物理安全</w:t>
            </w:r>
          </w:p>
        </w:tc>
        <w:tc>
          <w:tcPr>
            <w:tcW w:w="7111" w:type="dxa"/>
            <w:vAlign w:val="center"/>
          </w:tcPr>
          <w:p>
            <w:pPr>
              <w:rPr>
                <w:rFonts w:ascii="宋体" w:hAnsi="宋体" w:cs="宋体"/>
                <w:szCs w:val="24"/>
              </w:rPr>
            </w:pPr>
            <w:r>
              <w:rPr>
                <w:rFonts w:ascii="宋体" w:hAnsi="宋体" w:cs="Segoe UI Symbol"/>
                <w:szCs w:val="24"/>
              </w:rPr>
              <w:t>★</w:t>
            </w:r>
            <w:r>
              <w:rPr>
                <w:rFonts w:hint="eastAsia" w:ascii="宋体" w:hAnsi="宋体" w:cs="宋体"/>
                <w:szCs w:val="24"/>
              </w:rPr>
              <w:t>投标人需要提供多种服务措施，保障机房的物理安全；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restart"/>
            <w:vAlign w:val="center"/>
          </w:tcPr>
          <w:p>
            <w:pPr>
              <w:jc w:val="center"/>
              <w:rPr>
                <w:rFonts w:ascii="宋体" w:hAnsi="宋体" w:cs="Segoe UI Symbol"/>
                <w:szCs w:val="24"/>
              </w:rPr>
            </w:pPr>
            <w:r>
              <w:rPr>
                <w:rFonts w:hint="eastAsia" w:ascii="宋体" w:hAnsi="宋体" w:cs="宋体"/>
                <w:szCs w:val="24"/>
              </w:rPr>
              <w:t>网络安全</w:t>
            </w:r>
          </w:p>
        </w:tc>
        <w:tc>
          <w:tcPr>
            <w:tcW w:w="7111" w:type="dxa"/>
            <w:vAlign w:val="center"/>
          </w:tcPr>
          <w:p>
            <w:pPr>
              <w:rPr>
                <w:rFonts w:ascii="宋体" w:hAnsi="宋体" w:cs="宋体"/>
                <w:szCs w:val="24"/>
              </w:rPr>
            </w:pPr>
            <w:r>
              <w:rPr>
                <w:rFonts w:ascii="宋体" w:hAnsi="宋体" w:cs="Segoe UI Symbol"/>
                <w:szCs w:val="24"/>
              </w:rPr>
              <w:t>★</w:t>
            </w:r>
            <w:r>
              <w:rPr>
                <w:rFonts w:hint="eastAsia" w:ascii="宋体" w:hAnsi="宋体" w:cs="宋体"/>
                <w:szCs w:val="24"/>
              </w:rPr>
              <w:t>投标人需要提供针对安全域内外的边界防护和访问控制服务；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vAlign w:val="center"/>
          </w:tcPr>
          <w:p>
            <w:pPr>
              <w:jc w:val="center"/>
              <w:rPr>
                <w:rFonts w:ascii="宋体" w:hAnsi="宋体" w:cs="Segoe UI Symbol"/>
                <w:szCs w:val="24"/>
              </w:rPr>
            </w:pPr>
          </w:p>
        </w:tc>
        <w:tc>
          <w:tcPr>
            <w:tcW w:w="7111" w:type="dxa"/>
            <w:vAlign w:val="center"/>
          </w:tcPr>
          <w:p>
            <w:pPr>
              <w:rPr>
                <w:rFonts w:ascii="宋体" w:hAnsi="宋体" w:cs="宋体"/>
                <w:szCs w:val="24"/>
              </w:rPr>
            </w:pPr>
            <w:r>
              <w:rPr>
                <w:rFonts w:ascii="宋体" w:hAnsi="宋体" w:cs="Segoe UI Symbol"/>
                <w:szCs w:val="24"/>
              </w:rPr>
              <w:t>★</w:t>
            </w:r>
            <w:r>
              <w:rPr>
                <w:rFonts w:hint="eastAsia" w:ascii="宋体" w:hAnsi="宋体" w:cs="宋体"/>
                <w:szCs w:val="24"/>
              </w:rPr>
              <w:t>投标人需要提供针对平台及网络的入侵检测和防御服务；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vAlign w:val="center"/>
          </w:tcPr>
          <w:p>
            <w:pPr>
              <w:jc w:val="center"/>
              <w:rPr>
                <w:rFonts w:ascii="宋体" w:hAnsi="宋体" w:cs="Segoe UI Symbol"/>
                <w:szCs w:val="24"/>
              </w:rPr>
            </w:pPr>
          </w:p>
        </w:tc>
        <w:tc>
          <w:tcPr>
            <w:tcW w:w="7111" w:type="dxa"/>
            <w:vAlign w:val="center"/>
          </w:tcPr>
          <w:p>
            <w:pPr>
              <w:rPr>
                <w:rFonts w:ascii="宋体" w:hAnsi="宋体" w:cs="宋体"/>
                <w:szCs w:val="24"/>
              </w:rPr>
            </w:pPr>
            <w:r>
              <w:rPr>
                <w:rFonts w:ascii="宋体" w:hAnsi="宋体" w:cs="Segoe UI Symbol"/>
                <w:szCs w:val="24"/>
              </w:rPr>
              <w:t>★</w:t>
            </w:r>
            <w:r>
              <w:rPr>
                <w:rFonts w:hint="eastAsia" w:ascii="宋体" w:hAnsi="宋体" w:cs="宋体"/>
                <w:szCs w:val="24"/>
              </w:rPr>
              <w:t>投标人需要提供针对平台的web安全防护服务和web漏洞扫描服务；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642" w:type="dxa"/>
            <w:gridSpan w:val="2"/>
            <w:vAlign w:val="center"/>
          </w:tcPr>
          <w:p>
            <w:pPr>
              <w:rPr>
                <w:rFonts w:ascii="宋体" w:hAnsi="宋体" w:cs="宋体"/>
                <w:b/>
                <w:bCs/>
                <w:szCs w:val="24"/>
              </w:rPr>
            </w:pPr>
            <w:r>
              <w:rPr>
                <w:rFonts w:hint="eastAsia" w:ascii="宋体" w:hAnsi="宋体" w:cs="宋体"/>
                <w:b/>
                <w:bCs/>
                <w:szCs w:val="24"/>
              </w:rPr>
              <w:t>产品要求（入侵防御）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1" w:type="dxa"/>
            <w:vAlign w:val="center"/>
          </w:tcPr>
          <w:p>
            <w:pPr>
              <w:rPr>
                <w:rFonts w:ascii="宋体" w:hAnsi="宋体" w:cs="宋体"/>
                <w:szCs w:val="24"/>
              </w:rPr>
            </w:pPr>
            <w:r>
              <w:rPr>
                <w:rFonts w:hint="eastAsia" w:ascii="宋体" w:hAnsi="宋体" w:cs="宋体"/>
                <w:szCs w:val="24"/>
              </w:rPr>
              <w:t>硬件架构</w:t>
            </w:r>
          </w:p>
        </w:tc>
        <w:tc>
          <w:tcPr>
            <w:tcW w:w="7111" w:type="dxa"/>
            <w:vAlign w:val="center"/>
          </w:tcPr>
          <w:p>
            <w:pPr>
              <w:rPr>
                <w:rFonts w:ascii="宋体" w:hAnsi="宋体" w:cs="宋体"/>
                <w:szCs w:val="24"/>
              </w:rPr>
            </w:pPr>
            <w:r>
              <w:rPr>
                <w:rFonts w:hint="eastAsia" w:ascii="宋体" w:hAnsi="宋体" w:cs="宋体"/>
                <w:szCs w:val="24"/>
              </w:rPr>
              <w:t>采用非X86多核架构，具备可插拔冗余电源模块，可插拔冗余风扇模块；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31" w:type="dxa"/>
            <w:vAlign w:val="center"/>
          </w:tcPr>
          <w:p>
            <w:pPr>
              <w:rPr>
                <w:rFonts w:ascii="宋体" w:hAnsi="宋体" w:cs="宋体"/>
                <w:szCs w:val="24"/>
              </w:rPr>
            </w:pPr>
            <w:r>
              <w:rPr>
                <w:rFonts w:hint="eastAsia" w:ascii="宋体" w:hAnsi="宋体" w:cs="宋体"/>
                <w:szCs w:val="24"/>
              </w:rPr>
              <w:t>存储</w:t>
            </w:r>
          </w:p>
        </w:tc>
        <w:tc>
          <w:tcPr>
            <w:tcW w:w="7111" w:type="dxa"/>
            <w:vAlign w:val="center"/>
          </w:tcPr>
          <w:p>
            <w:pPr>
              <w:rPr>
                <w:rFonts w:ascii="宋体" w:hAnsi="宋体" w:cs="宋体"/>
                <w:szCs w:val="24"/>
              </w:rPr>
            </w:pPr>
            <w:r>
              <w:rPr>
                <w:rFonts w:hint="eastAsia" w:ascii="宋体" w:hAnsi="宋体" w:cs="宋体"/>
                <w:szCs w:val="24"/>
              </w:rPr>
              <w:t>支持双硬盘，单块SSD硬盘不小于480G；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Align w:val="center"/>
          </w:tcPr>
          <w:p>
            <w:pPr>
              <w:rPr>
                <w:rFonts w:ascii="宋体" w:hAnsi="宋体" w:cs="宋体"/>
                <w:szCs w:val="24"/>
              </w:rPr>
            </w:pPr>
            <w:r>
              <w:rPr>
                <w:rFonts w:hint="eastAsia" w:ascii="宋体" w:hAnsi="宋体" w:cs="宋体"/>
                <w:szCs w:val="24"/>
              </w:rPr>
              <w:t>接口要求</w:t>
            </w:r>
          </w:p>
        </w:tc>
        <w:tc>
          <w:tcPr>
            <w:tcW w:w="7111" w:type="dxa"/>
            <w:vAlign w:val="center"/>
          </w:tcPr>
          <w:p>
            <w:pPr>
              <w:rPr>
                <w:rFonts w:ascii="宋体" w:hAnsi="宋体" w:cs="宋体"/>
                <w:szCs w:val="24"/>
              </w:rPr>
            </w:pPr>
            <w:r>
              <w:rPr>
                <w:rFonts w:hint="eastAsia" w:ascii="宋体" w:hAnsi="宋体" w:cs="宋体"/>
                <w:szCs w:val="24"/>
              </w:rPr>
              <w:t>万兆光口不少于4个，千兆光口不少于4个，不少于4个千兆电口。配置4个万兆多模光模块。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Align w:val="center"/>
          </w:tcPr>
          <w:p>
            <w:pPr>
              <w:rPr>
                <w:rFonts w:ascii="宋体" w:hAnsi="宋体" w:cs="宋体"/>
                <w:szCs w:val="24"/>
              </w:rPr>
            </w:pPr>
            <w:r>
              <w:rPr>
                <w:rFonts w:hint="eastAsia" w:ascii="宋体" w:hAnsi="宋体" w:cs="宋体"/>
                <w:szCs w:val="24"/>
              </w:rPr>
              <w:t>性能要求</w:t>
            </w:r>
          </w:p>
        </w:tc>
        <w:tc>
          <w:tcPr>
            <w:tcW w:w="7111" w:type="dxa"/>
            <w:vAlign w:val="center"/>
          </w:tcPr>
          <w:p>
            <w:pPr>
              <w:rPr>
                <w:rFonts w:ascii="宋体" w:hAnsi="宋体" w:cs="宋体"/>
                <w:szCs w:val="24"/>
              </w:rPr>
            </w:pPr>
            <w:r>
              <w:rPr>
                <w:rFonts w:hint="eastAsia" w:ascii="宋体" w:hAnsi="宋体" w:cs="宋体"/>
                <w:szCs w:val="24"/>
              </w:rPr>
              <w:t>全威胁业务UDP吞吐不小于40G；并发连接数不小于500万，新建连接数不小于20万。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31" w:type="dxa"/>
            <w:vAlign w:val="center"/>
          </w:tcPr>
          <w:p>
            <w:pPr>
              <w:rPr>
                <w:rFonts w:ascii="宋体" w:hAnsi="宋体" w:cs="宋体"/>
                <w:szCs w:val="24"/>
              </w:rPr>
            </w:pPr>
            <w:r>
              <w:rPr>
                <w:rFonts w:hint="eastAsia" w:ascii="宋体" w:hAnsi="宋体" w:cs="宋体"/>
                <w:szCs w:val="24"/>
              </w:rPr>
              <w:t>授权配置</w:t>
            </w:r>
          </w:p>
        </w:tc>
        <w:tc>
          <w:tcPr>
            <w:tcW w:w="7111" w:type="dxa"/>
            <w:vAlign w:val="center"/>
          </w:tcPr>
          <w:p>
            <w:pPr>
              <w:rPr>
                <w:rFonts w:ascii="宋体" w:hAnsi="宋体" w:cs="宋体"/>
                <w:szCs w:val="24"/>
              </w:rPr>
            </w:pPr>
            <w:r>
              <w:rPr>
                <w:rFonts w:hint="eastAsia" w:ascii="宋体" w:hAnsi="宋体" w:cs="宋体"/>
                <w:szCs w:val="24"/>
              </w:rPr>
              <w:t>配置3年IPS、AV升级授权License。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31" w:type="dxa"/>
            <w:vAlign w:val="center"/>
          </w:tcPr>
          <w:p>
            <w:pPr>
              <w:rPr>
                <w:rFonts w:ascii="宋体" w:hAnsi="宋体" w:cs="宋体"/>
                <w:szCs w:val="24"/>
              </w:rPr>
            </w:pPr>
            <w:r>
              <w:rPr>
                <w:rFonts w:hint="eastAsia" w:ascii="宋体" w:hAnsi="宋体" w:cs="宋体"/>
                <w:szCs w:val="24"/>
              </w:rPr>
              <w:t>部署模式</w:t>
            </w:r>
          </w:p>
        </w:tc>
        <w:tc>
          <w:tcPr>
            <w:tcW w:w="7111" w:type="dxa"/>
            <w:vAlign w:val="center"/>
          </w:tcPr>
          <w:p>
            <w:pPr>
              <w:rPr>
                <w:rFonts w:ascii="宋体" w:hAnsi="宋体" w:cs="宋体"/>
                <w:szCs w:val="24"/>
              </w:rPr>
            </w:pPr>
            <w:r>
              <w:rPr>
                <w:rFonts w:hint="eastAsia" w:ascii="宋体" w:hAnsi="宋体" w:cs="宋体"/>
                <w:szCs w:val="24"/>
              </w:rPr>
              <w:t>同时支持串接部署的IPS模式以及旁路部署的IDS模式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防御能力</w:t>
            </w:r>
          </w:p>
        </w:tc>
        <w:tc>
          <w:tcPr>
            <w:tcW w:w="7111" w:type="dxa"/>
            <w:vAlign w:val="center"/>
          </w:tcPr>
          <w:p>
            <w:pPr>
              <w:rPr>
                <w:rFonts w:ascii="宋体" w:hAnsi="宋体" w:cs="宋体"/>
                <w:szCs w:val="24"/>
              </w:rPr>
            </w:pPr>
            <w:r>
              <w:rPr>
                <w:rFonts w:hint="eastAsia" w:ascii="宋体" w:hAnsi="宋体" w:cs="宋体"/>
                <w:szCs w:val="24"/>
              </w:rPr>
              <w:t>支持深入七层的分析检测技术，能检测防范的攻击类型包括：蠕虫/病毒、木马、后门、DoS/DDoS攻击、探测/扫描、间谍软件、网络钓鱼、利用漏洞的攻击、SQL注入攻击、缓冲区溢出攻击、协议异常、IDS/IPS逃逸攻击等</w:t>
            </w:r>
            <w:r>
              <w:rPr>
                <w:rFonts w:hint="eastAsia" w:ascii="宋体" w:hAnsi="宋体" w:cs="宋体"/>
                <w:szCs w:val="24"/>
              </w:rPr>
              <w:br w:type="textWrapping"/>
            </w:r>
            <w:r>
              <w:rPr>
                <w:rFonts w:hint="eastAsia" w:ascii="宋体" w:hAnsi="宋体" w:cs="宋体"/>
                <w:szCs w:val="24"/>
              </w:rPr>
              <w:t>支持P2P、IM、视频等网络滥用协议的检测识别，支持的网络滥用协议至少包括迅雷、BT、eDonkey/eMule、Kugoo下载协议、多进程下载协议（网络快车、网络蚂蚁）等P2P应用， MSN、QQ、ICQ等IM应用， PPLive、PPStream、HTTP下载视频文件、沸点电视、QQLive等网络视频应用；可在识别的基础上对这些应用流量进行阻断或限流。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采用全面深入的分析检测技术，结合模式特征匹配、协议异常检测、流量异常检测、事件关联等多种技术，能识别运行在非标准端口上的协议，准确检测入侵行为。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IPS检测到攻击报文或攻击流量后，支持阻断、限流、捕获原始报文等常规响应方式。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IPS支持对不同的网段运用不同的入侵防御策略；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42" w:type="dxa"/>
            <w:gridSpan w:val="2"/>
            <w:vAlign w:val="center"/>
          </w:tcPr>
          <w:p>
            <w:pPr>
              <w:rPr>
                <w:rFonts w:ascii="宋体" w:hAnsi="宋体" w:cs="宋体"/>
                <w:b/>
                <w:bCs/>
                <w:szCs w:val="24"/>
              </w:rPr>
            </w:pPr>
            <w:r>
              <w:rPr>
                <w:rFonts w:hint="eastAsia" w:ascii="宋体" w:hAnsi="宋体" w:cs="宋体"/>
                <w:b/>
                <w:bCs/>
                <w:szCs w:val="24"/>
              </w:rPr>
              <w:t>产品要求（W</w:t>
            </w:r>
            <w:r>
              <w:rPr>
                <w:rFonts w:ascii="宋体" w:hAnsi="宋体" w:cs="宋体"/>
                <w:b/>
                <w:bCs/>
                <w:szCs w:val="24"/>
              </w:rPr>
              <w:t>AF</w:t>
            </w:r>
            <w:r>
              <w:rPr>
                <w:rFonts w:hint="eastAsia" w:ascii="宋体" w:hAnsi="宋体" w:cs="宋体"/>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Align w:val="center"/>
          </w:tcPr>
          <w:p>
            <w:pPr>
              <w:rPr>
                <w:rFonts w:ascii="宋体" w:hAnsi="宋体" w:cs="宋体"/>
                <w:szCs w:val="24"/>
              </w:rPr>
            </w:pPr>
            <w:r>
              <w:rPr>
                <w:rFonts w:hint="eastAsia" w:ascii="宋体" w:hAnsi="宋体" w:cs="宋体"/>
                <w:szCs w:val="24"/>
              </w:rPr>
              <w:t>硬件要求</w:t>
            </w:r>
          </w:p>
        </w:tc>
        <w:tc>
          <w:tcPr>
            <w:tcW w:w="7111" w:type="dxa"/>
            <w:vAlign w:val="center"/>
          </w:tcPr>
          <w:p>
            <w:pPr>
              <w:rPr>
                <w:rFonts w:ascii="宋体" w:hAnsi="宋体" w:cs="宋体"/>
                <w:szCs w:val="24"/>
              </w:rPr>
            </w:pPr>
            <w:r>
              <w:rPr>
                <w:rFonts w:hint="eastAsia" w:ascii="宋体" w:hAnsi="宋体" w:cs="宋体"/>
                <w:szCs w:val="24"/>
              </w:rPr>
              <w:t>机架式硬件架构，8内存，1T硬盘，2个以太网千兆管理接口，支持至少4以太网千兆电口及4个以太网千兆光口.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Align w:val="center"/>
          </w:tcPr>
          <w:p>
            <w:pPr>
              <w:rPr>
                <w:rFonts w:ascii="宋体" w:hAnsi="宋体" w:cs="宋体"/>
                <w:szCs w:val="24"/>
              </w:rPr>
            </w:pPr>
            <w:r>
              <w:rPr>
                <w:rFonts w:hint="eastAsia" w:ascii="宋体" w:hAnsi="宋体" w:cs="宋体"/>
                <w:szCs w:val="24"/>
              </w:rPr>
              <w:t>性能要求</w:t>
            </w:r>
          </w:p>
        </w:tc>
        <w:tc>
          <w:tcPr>
            <w:tcW w:w="7111" w:type="dxa"/>
            <w:vAlign w:val="center"/>
          </w:tcPr>
          <w:p>
            <w:pPr>
              <w:rPr>
                <w:rFonts w:ascii="宋体" w:hAnsi="宋体" w:cs="宋体"/>
                <w:szCs w:val="24"/>
              </w:rPr>
            </w:pPr>
            <w:r>
              <w:rPr>
                <w:rFonts w:hint="eastAsia" w:ascii="宋体" w:hAnsi="宋体" w:cs="宋体"/>
                <w:szCs w:val="24"/>
              </w:rPr>
              <w:t xml:space="preserve"> HTTP吞吐量不低于3Gbps，HTTP并发连接数不低于80万、HTTP每秒新建连接数不低于7万，保护网站站点数量无限制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部署方式</w:t>
            </w:r>
          </w:p>
        </w:tc>
        <w:tc>
          <w:tcPr>
            <w:tcW w:w="7111" w:type="dxa"/>
            <w:vAlign w:val="center"/>
          </w:tcPr>
          <w:p>
            <w:pPr>
              <w:rPr>
                <w:rFonts w:ascii="宋体" w:hAnsi="宋体" w:cs="宋体"/>
                <w:szCs w:val="24"/>
              </w:rPr>
            </w:pPr>
            <w:r>
              <w:rPr>
                <w:rFonts w:hint="eastAsia" w:ascii="宋体" w:hAnsi="宋体" w:cs="宋体"/>
                <w:szCs w:val="24"/>
              </w:rPr>
              <w:t>支持透明流模式、透明代理模式、反向代理模式、路由牵引模式、镜像检测模式及镜像阻断模式；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支持旁路镜像模式下，对检测到的攻击进行旁路阻断；（提供截图证明）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网络适用性</w:t>
            </w:r>
          </w:p>
        </w:tc>
        <w:tc>
          <w:tcPr>
            <w:tcW w:w="7111" w:type="dxa"/>
            <w:vAlign w:val="center"/>
          </w:tcPr>
          <w:p>
            <w:pPr>
              <w:rPr>
                <w:rFonts w:ascii="宋体" w:hAnsi="宋体" w:cs="宋体"/>
                <w:szCs w:val="24"/>
              </w:rPr>
            </w:pPr>
            <w:r>
              <w:rPr>
                <w:rFonts w:hint="eastAsia" w:ascii="宋体" w:hAnsi="宋体" w:cs="宋体"/>
                <w:szCs w:val="24"/>
              </w:rPr>
              <w:t>支持通过BGP方式对流量进行牵引，并在清洗攻击后回注，回注过程支持设置SNAT策略；（提供截图证明）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支持Trunk链路部署，自动识别VLAN，支持链路聚合，提升网络接口的性能，支持配置静态路由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★支持端口联动，一组业务接口中上下行接口同步UP/DOWN状态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系统管理</w:t>
            </w:r>
          </w:p>
        </w:tc>
        <w:tc>
          <w:tcPr>
            <w:tcW w:w="7111" w:type="dxa"/>
            <w:vAlign w:val="center"/>
          </w:tcPr>
          <w:p>
            <w:pPr>
              <w:rPr>
                <w:rFonts w:ascii="宋体" w:hAnsi="宋体" w:cs="宋体"/>
                <w:szCs w:val="24"/>
              </w:rPr>
            </w:pPr>
            <w:r>
              <w:rPr>
                <w:rFonts w:hint="eastAsia" w:ascii="宋体" w:hAnsi="宋体" w:cs="宋体"/>
                <w:szCs w:val="24"/>
              </w:rPr>
              <w:t>系统采用B/S设计架构，并采用SSL加密通信方式，通过浏览器方便对产品进行远程管理；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产品界面友好，简洁大方，所有的图形界面、报警信息、报表与文档、技术资料要求均支持简体中文；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支持系统配置的手工</w:t>
            </w:r>
            <w:r>
              <w:rPr>
                <w:rFonts w:hint="eastAsia" w:ascii="宋体" w:hAnsi="宋体" w:cs="宋体"/>
                <w:szCs w:val="24"/>
                <w:highlight w:val="none"/>
              </w:rPr>
              <w:t>备份</w:t>
            </w:r>
            <w:r>
              <w:rPr>
                <w:rFonts w:hint="eastAsia" w:ascii="宋体" w:hAnsi="宋体" w:cs="宋体"/>
                <w:szCs w:val="24"/>
              </w:rPr>
              <w:t>、自动备份（自动备份以日、周、月区分）；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Web安全防护</w:t>
            </w:r>
          </w:p>
        </w:tc>
        <w:tc>
          <w:tcPr>
            <w:tcW w:w="7111" w:type="dxa"/>
            <w:vAlign w:val="center"/>
          </w:tcPr>
          <w:p>
            <w:pPr>
              <w:rPr>
                <w:rFonts w:ascii="宋体" w:hAnsi="宋体" w:cs="宋体"/>
                <w:szCs w:val="24"/>
              </w:rPr>
            </w:pPr>
            <w:r>
              <w:rPr>
                <w:rFonts w:hint="eastAsia" w:ascii="宋体" w:hAnsi="宋体" w:cs="宋体"/>
                <w:szCs w:val="24"/>
              </w:rPr>
              <w:t>支持HTTP协议校验，可根据实际网络状况自定义协议参数合规标准，过滤非法数据；（提供截图证明）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支持HTTPS防护，支持上传证书及密钥；应能识别和阻断注入攻击；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★支持设置扫描陷阱，防止恶意扫描；（提供截图证明），支持爬虫防护；（提供截图证明），支持文件上传、下载过滤；（提供截图证明）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支持LDAP、XPATH、struct2/xworks检测和防护；应能识别阻断跨站脚本(XSS)注入式攻击；应能识别阻断跨站请求伪造攻击；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应能识别和防止敏感信息泄露；且可自定义敏感信息特征，如用户名、密码、邮箱、身份证信息、MD5密码等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支持敏感词防护并可自定义敏感词库；（例如：反动，色情类）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支持页面访问顺序规则防护；（提供截图证明）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支持虚拟补丁功能，支持导入appscan等第三方扫描器的扫描结果生成WAF的规则，对此类网站漏洞直接防护； （提供截图证明）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支持网站自学习建模，可通过学习URL、host等信息展示网站结构树形图，并支持对URL的访问量和响应健康度进行图形化统计； 支持通过自学习的URL参数的长度、类型、范围及请求方法等数据特点创建黑白名单模型，如果参数违反模型则判断为非法流量，直接执行阻断或封禁动作；（提供截图证明）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★支持自定义防护模板，提供通用、增强、专家的初始防护策略模板；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监控及报表</w:t>
            </w:r>
          </w:p>
        </w:tc>
        <w:tc>
          <w:tcPr>
            <w:tcW w:w="7111" w:type="dxa"/>
            <w:vAlign w:val="center"/>
          </w:tcPr>
          <w:p>
            <w:pPr>
              <w:rPr>
                <w:rFonts w:ascii="宋体" w:hAnsi="宋体" w:cs="宋体"/>
                <w:szCs w:val="24"/>
              </w:rPr>
            </w:pPr>
            <w:r>
              <w:rPr>
                <w:rFonts w:hint="eastAsia" w:ascii="宋体" w:hAnsi="宋体" w:cs="宋体"/>
                <w:szCs w:val="24"/>
              </w:rPr>
              <w:t>★支持攻击态势大屏实时展示，可通过产品自带的实时态势监测模块进行攻击态势地图展示，包含对源地址、源地域、目标服务器、攻击类型、攻击趋势、流量趋势及实时事件的动画统计；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态势监测支持对监测范围、防护区域和防护对象的自定义设置；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系统须能够对遭受攻击按照攻击次数、防护的网站、遭受攻击的网页、攻击类型、攻击时间（或者发现攻击的时间）等进行统计并排名；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Web漏洞扫描</w:t>
            </w:r>
          </w:p>
        </w:tc>
        <w:tc>
          <w:tcPr>
            <w:tcW w:w="7111" w:type="dxa"/>
            <w:vAlign w:val="center"/>
          </w:tcPr>
          <w:p>
            <w:pPr>
              <w:rPr>
                <w:rFonts w:ascii="宋体" w:hAnsi="宋体" w:cs="宋体"/>
                <w:szCs w:val="24"/>
              </w:rPr>
            </w:pPr>
            <w:r>
              <w:rPr>
                <w:rFonts w:hint="eastAsia" w:ascii="宋体" w:hAnsi="宋体" w:cs="宋体"/>
                <w:szCs w:val="24"/>
              </w:rPr>
              <w:t>提供Web站点安全扫描功能；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支持自定义Web安全扫描任务，定期进行Web安全扫描；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restart"/>
            <w:vAlign w:val="center"/>
          </w:tcPr>
          <w:p>
            <w:pPr>
              <w:rPr>
                <w:rFonts w:ascii="宋体" w:hAnsi="宋体" w:cs="宋体"/>
                <w:szCs w:val="24"/>
              </w:rPr>
            </w:pPr>
            <w:r>
              <w:rPr>
                <w:rFonts w:hint="eastAsia" w:ascii="宋体" w:hAnsi="宋体" w:cs="宋体"/>
                <w:szCs w:val="24"/>
              </w:rPr>
              <w:t>产品管理及运维</w:t>
            </w:r>
          </w:p>
        </w:tc>
        <w:tc>
          <w:tcPr>
            <w:tcW w:w="7111" w:type="dxa"/>
            <w:vAlign w:val="center"/>
          </w:tcPr>
          <w:p>
            <w:pPr>
              <w:rPr>
                <w:rFonts w:ascii="宋体" w:hAnsi="宋体" w:cs="宋体"/>
                <w:szCs w:val="24"/>
              </w:rPr>
            </w:pPr>
            <w:r>
              <w:rPr>
                <w:rFonts w:hint="eastAsia" w:ascii="宋体" w:hAnsi="宋体" w:cs="宋体"/>
                <w:szCs w:val="24"/>
              </w:rPr>
              <w:t>支持HTTPS、SSH、Console、WebShell多种管理方式；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1" w:type="dxa"/>
            <w:vMerge w:val="continue"/>
            <w:vAlign w:val="center"/>
          </w:tcPr>
          <w:p>
            <w:pPr>
              <w:rPr>
                <w:rFonts w:ascii="宋体" w:hAnsi="宋体" w:cs="宋体"/>
                <w:szCs w:val="24"/>
              </w:rPr>
            </w:pPr>
          </w:p>
        </w:tc>
        <w:tc>
          <w:tcPr>
            <w:tcW w:w="7111" w:type="dxa"/>
            <w:vAlign w:val="center"/>
          </w:tcPr>
          <w:p>
            <w:pPr>
              <w:rPr>
                <w:rFonts w:ascii="宋体" w:hAnsi="宋体" w:cs="宋体"/>
                <w:szCs w:val="24"/>
              </w:rPr>
            </w:pPr>
            <w:r>
              <w:rPr>
                <w:rFonts w:hint="eastAsia" w:ascii="宋体" w:hAnsi="宋体" w:cs="宋体"/>
                <w:szCs w:val="24"/>
              </w:rPr>
              <w:t>支持Web管理端口自定义，保证产品访问的安全性；</w:t>
            </w:r>
          </w:p>
        </w:tc>
      </w:tr>
    </w:tbl>
    <w:p>
      <w:pPr>
        <w:keepNext/>
        <w:keepLines/>
        <w:spacing w:before="280" w:after="290" w:line="377" w:lineRule="auto"/>
        <w:outlineLvl w:val="4"/>
        <w:rPr>
          <w:b/>
          <w:bCs/>
          <w:szCs w:val="24"/>
        </w:rPr>
      </w:pPr>
      <w:r>
        <w:rPr>
          <w:rFonts w:hint="eastAsia"/>
          <w:b/>
          <w:bCs/>
          <w:szCs w:val="24"/>
        </w:rPr>
        <w:t>机柜资源参数要求</w:t>
      </w:r>
    </w:p>
    <w:tbl>
      <w:tblPr>
        <w:tblStyle w:val="30"/>
        <w:tblW w:w="8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57"/>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Header/>
        </w:trPr>
        <w:tc>
          <w:tcPr>
            <w:tcW w:w="698" w:type="dxa"/>
            <w:vAlign w:val="center"/>
          </w:tcPr>
          <w:p>
            <w:pPr>
              <w:rPr>
                <w:rFonts w:ascii="宋体" w:hAnsi="宋体"/>
                <w:b/>
                <w:bCs/>
                <w:szCs w:val="24"/>
              </w:rPr>
            </w:pPr>
            <w:r>
              <w:rPr>
                <w:rFonts w:ascii="宋体" w:hAnsi="宋体"/>
                <w:b/>
                <w:bCs/>
                <w:szCs w:val="24"/>
              </w:rPr>
              <w:t>序号</w:t>
            </w:r>
          </w:p>
        </w:tc>
        <w:tc>
          <w:tcPr>
            <w:tcW w:w="1257" w:type="dxa"/>
            <w:vAlign w:val="center"/>
          </w:tcPr>
          <w:p>
            <w:pPr>
              <w:rPr>
                <w:rFonts w:ascii="宋体" w:hAnsi="宋体"/>
                <w:b/>
                <w:bCs/>
                <w:szCs w:val="24"/>
              </w:rPr>
            </w:pPr>
            <w:r>
              <w:rPr>
                <w:rFonts w:ascii="宋体" w:hAnsi="宋体"/>
                <w:b/>
                <w:bCs/>
                <w:szCs w:val="24"/>
              </w:rPr>
              <w:t>指标项</w:t>
            </w:r>
          </w:p>
        </w:tc>
        <w:tc>
          <w:tcPr>
            <w:tcW w:w="6811" w:type="dxa"/>
            <w:vAlign w:val="center"/>
          </w:tcPr>
          <w:p>
            <w:pPr>
              <w:rPr>
                <w:rFonts w:ascii="宋体" w:hAnsi="宋体"/>
                <w:b/>
                <w:bCs/>
                <w:szCs w:val="24"/>
              </w:rPr>
            </w:pPr>
            <w:r>
              <w:rPr>
                <w:rFonts w:ascii="宋体" w:hAnsi="宋体"/>
                <w:b/>
                <w:bCs/>
                <w:szCs w:val="24"/>
              </w:rPr>
              <w:t>指标要求</w:t>
            </w:r>
          </w:p>
        </w:tc>
      </w:tr>
      <w:tr>
        <w:tblPrEx>
          <w:tblCellMar>
            <w:top w:w="0" w:type="dxa"/>
            <w:left w:w="108" w:type="dxa"/>
            <w:bottom w:w="0" w:type="dxa"/>
            <w:right w:w="108" w:type="dxa"/>
          </w:tblCellMar>
        </w:tblPrEx>
        <w:trPr>
          <w:trHeight w:val="520" w:hRule="atLeast"/>
        </w:trPr>
        <w:tc>
          <w:tcPr>
            <w:tcW w:w="698" w:type="dxa"/>
            <w:vMerge w:val="restart"/>
            <w:vAlign w:val="center"/>
          </w:tcPr>
          <w:p>
            <w:pPr>
              <w:rPr>
                <w:rFonts w:ascii="宋体" w:hAnsi="宋体"/>
                <w:szCs w:val="24"/>
              </w:rPr>
            </w:pPr>
            <w:r>
              <w:rPr>
                <w:rFonts w:ascii="宋体" w:hAnsi="宋体"/>
                <w:szCs w:val="24"/>
              </w:rPr>
              <w:t>1</w:t>
            </w:r>
          </w:p>
        </w:tc>
        <w:tc>
          <w:tcPr>
            <w:tcW w:w="1257" w:type="dxa"/>
            <w:vMerge w:val="restart"/>
            <w:vAlign w:val="center"/>
          </w:tcPr>
          <w:p>
            <w:pPr>
              <w:rPr>
                <w:rFonts w:ascii="宋体" w:hAnsi="宋体"/>
                <w:szCs w:val="24"/>
              </w:rPr>
            </w:pPr>
            <w:r>
              <w:rPr>
                <w:rFonts w:ascii="宋体" w:hAnsi="宋体"/>
                <w:szCs w:val="24"/>
              </w:rPr>
              <w:t>机房总</w:t>
            </w:r>
            <w:r>
              <w:rPr>
                <w:rFonts w:ascii="宋体" w:hAnsi="宋体"/>
                <w:szCs w:val="24"/>
              </w:rPr>
              <w:br w:type="textWrapping"/>
            </w:r>
            <w:r>
              <w:rPr>
                <w:rFonts w:ascii="宋体" w:hAnsi="宋体"/>
                <w:szCs w:val="24"/>
              </w:rPr>
              <w:t>体要求</w:t>
            </w:r>
          </w:p>
        </w:tc>
        <w:tc>
          <w:tcPr>
            <w:tcW w:w="6811" w:type="dxa"/>
            <w:vAlign w:val="center"/>
          </w:tcPr>
          <w:p>
            <w:pPr>
              <w:rPr>
                <w:rFonts w:ascii="宋体" w:hAnsi="宋体"/>
                <w:i/>
                <w:szCs w:val="24"/>
                <w:u w:val="single"/>
              </w:rPr>
            </w:pPr>
            <w:r>
              <w:rPr>
                <w:rFonts w:hint="eastAsia" w:ascii="宋体" w:hAnsi="宋体"/>
                <w:szCs w:val="24"/>
              </w:rPr>
              <w:t>★投标方提供的机房建设标准必须满足《信息安全等级保护管理办法》第三级安全保护标准，提供公安机关出具的证书文件。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Merge w:val="continue"/>
            <w:vAlign w:val="center"/>
          </w:tcPr>
          <w:p>
            <w:pPr>
              <w:rPr>
                <w:rFonts w:ascii="宋体" w:hAnsi="宋体"/>
                <w:szCs w:val="24"/>
              </w:rPr>
            </w:pP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hint="eastAsia" w:ascii="宋体" w:hAnsi="宋体"/>
                <w:szCs w:val="24"/>
              </w:rPr>
              <w:t>★投标方提供的机房建设标准必须满足《通信行业数据中心基础设施认证技术规范》（YD/T5235-2019）A 级机房标准或国际T3标准，提供相关证明材料。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机房所在地应交通方便，周边 500 米范围内不得有下列危险：水灾、泥石流等灾害威胁、国家重点基础设施或重大军事目标、强腐蚀源、污染源、强电磁、有害气体、强震动源、容易发生群体事件场所、易燃易爆源；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3</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投标方提供服务的数据中心应具有极高的安全性、可用性设计，包括建筑结构、系统冗余能力、物理安全考虑、人员设备控制、消防安全考虑、应急能力、防电磁辐射、防雷、防水、防静电等；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4</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投标机房产权所有人应提供房屋所有权证明文件</w:t>
            </w:r>
            <w:r>
              <w:rPr>
                <w:rFonts w:hint="eastAsia" w:ascii="宋体" w:hAnsi="宋体"/>
                <w:szCs w:val="24"/>
              </w:rPr>
              <w:t>或由政府批复的土地使用确认证明</w:t>
            </w:r>
            <w:r>
              <w:rPr>
                <w:rFonts w:ascii="宋体" w:hAnsi="宋体"/>
                <w:szCs w:val="24"/>
              </w:rPr>
              <w:t>，并提供相应的证明文件；</w:t>
            </w:r>
          </w:p>
        </w:tc>
      </w:tr>
      <w:tr>
        <w:tblPrEx>
          <w:tblCellMar>
            <w:top w:w="0" w:type="dxa"/>
            <w:left w:w="108" w:type="dxa"/>
            <w:bottom w:w="0" w:type="dxa"/>
            <w:right w:w="108" w:type="dxa"/>
          </w:tblCellMar>
        </w:tblPrEx>
        <w:trPr>
          <w:trHeight w:val="780" w:hRule="atLeast"/>
        </w:trPr>
        <w:tc>
          <w:tcPr>
            <w:tcW w:w="698" w:type="dxa"/>
            <w:vAlign w:val="center"/>
          </w:tcPr>
          <w:p>
            <w:pPr>
              <w:rPr>
                <w:rFonts w:ascii="宋体" w:hAnsi="宋体"/>
                <w:szCs w:val="24"/>
              </w:rPr>
            </w:pPr>
            <w:r>
              <w:rPr>
                <w:rFonts w:ascii="宋体" w:hAnsi="宋体"/>
                <w:szCs w:val="24"/>
              </w:rPr>
              <w:t>5</w:t>
            </w:r>
          </w:p>
        </w:tc>
        <w:tc>
          <w:tcPr>
            <w:tcW w:w="1257" w:type="dxa"/>
            <w:vAlign w:val="center"/>
          </w:tcPr>
          <w:p>
            <w:pPr>
              <w:rPr>
                <w:rFonts w:ascii="宋体" w:hAnsi="宋体"/>
                <w:color w:val="000000"/>
                <w:szCs w:val="24"/>
              </w:rPr>
            </w:pPr>
            <w:r>
              <w:rPr>
                <w:rFonts w:ascii="宋体" w:hAnsi="宋体"/>
                <w:color w:val="000000"/>
                <w:szCs w:val="24"/>
              </w:rPr>
              <w:t>机房定</w:t>
            </w:r>
            <w:r>
              <w:rPr>
                <w:rFonts w:ascii="宋体" w:hAnsi="宋体"/>
                <w:color w:val="000000"/>
                <w:szCs w:val="24"/>
              </w:rPr>
              <w:br w:type="textWrapping"/>
            </w:r>
            <w:r>
              <w:rPr>
                <w:rFonts w:ascii="宋体" w:hAnsi="宋体"/>
                <w:color w:val="000000"/>
                <w:szCs w:val="24"/>
              </w:rPr>
              <w:t>制化要</w:t>
            </w:r>
            <w:r>
              <w:rPr>
                <w:rFonts w:ascii="宋体" w:hAnsi="宋体"/>
                <w:color w:val="000000"/>
                <w:szCs w:val="24"/>
              </w:rPr>
              <w:br w:type="textWrapping"/>
            </w:r>
            <w:r>
              <w:rPr>
                <w:rFonts w:ascii="宋体" w:hAnsi="宋体"/>
                <w:color w:val="000000"/>
                <w:szCs w:val="24"/>
              </w:rPr>
              <w:t>求</w:t>
            </w:r>
          </w:p>
        </w:tc>
        <w:tc>
          <w:tcPr>
            <w:tcW w:w="6811" w:type="dxa"/>
            <w:vAlign w:val="center"/>
          </w:tcPr>
          <w:p>
            <w:pPr>
              <w:rPr>
                <w:rFonts w:ascii="宋体" w:hAnsi="宋体"/>
                <w:color w:val="000000"/>
                <w:szCs w:val="24"/>
              </w:rPr>
            </w:pPr>
            <w:r>
              <w:rPr>
                <w:rFonts w:ascii="宋体" w:hAnsi="宋体" w:cs="Segoe UI Symbol"/>
                <w:color w:val="000000"/>
                <w:szCs w:val="24"/>
              </w:rPr>
              <w:t>★</w:t>
            </w:r>
            <w:r>
              <w:rPr>
                <w:rFonts w:ascii="宋体" w:hAnsi="宋体"/>
                <w:color w:val="000000"/>
                <w:szCs w:val="24"/>
              </w:rPr>
              <w:t>提供租赁机房区域要求为独立</w:t>
            </w:r>
            <w:r>
              <w:rPr>
                <w:rFonts w:hint="eastAsia" w:ascii="宋体" w:hAnsi="宋体"/>
                <w:color w:val="000000"/>
                <w:szCs w:val="24"/>
              </w:rPr>
              <w:t>连续</w:t>
            </w:r>
            <w:r>
              <w:rPr>
                <w:rFonts w:ascii="宋体" w:hAnsi="宋体"/>
                <w:color w:val="000000"/>
                <w:szCs w:val="24"/>
              </w:rPr>
              <w:t>的空间内（</w:t>
            </w:r>
            <w:r>
              <w:rPr>
                <w:rFonts w:hint="eastAsia" w:ascii="宋体" w:hAnsi="宋体"/>
                <w:color w:val="000000"/>
                <w:szCs w:val="24"/>
              </w:rPr>
              <w:t>须提供图纸</w:t>
            </w:r>
            <w:r>
              <w:rPr>
                <w:rFonts w:ascii="宋体" w:hAnsi="宋体"/>
                <w:color w:val="000000"/>
                <w:szCs w:val="24"/>
              </w:rPr>
              <w:t>）。</w:t>
            </w:r>
          </w:p>
          <w:p>
            <w:pPr>
              <w:rPr>
                <w:rFonts w:ascii="宋体" w:hAnsi="宋体"/>
                <w:color w:val="000000"/>
                <w:szCs w:val="24"/>
              </w:rPr>
            </w:pPr>
            <w:r>
              <w:rPr>
                <w:rFonts w:ascii="宋体" w:hAnsi="宋体"/>
                <w:color w:val="000000"/>
                <w:szCs w:val="24"/>
              </w:rPr>
              <w:t>所在专有区域需安装视频监控录像装置，连续视频监控记录应保存至少90天，机房实行封闭式管理，并按照门禁系统，机房应设置防盗报警系统。应对机房所在区域出入人员身份执行审批审核流程，并记录出入人员信息、进出时间、工作内容等，相关记录应保存至少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6</w:t>
            </w:r>
          </w:p>
        </w:tc>
        <w:tc>
          <w:tcPr>
            <w:tcW w:w="1257" w:type="dxa"/>
            <w:vAlign w:val="center"/>
          </w:tcPr>
          <w:p>
            <w:pPr>
              <w:rPr>
                <w:rFonts w:ascii="宋体" w:hAnsi="宋体"/>
                <w:color w:val="000000"/>
                <w:szCs w:val="24"/>
              </w:rPr>
            </w:pPr>
            <w:r>
              <w:rPr>
                <w:rFonts w:ascii="宋体" w:hAnsi="宋体"/>
                <w:color w:val="000000"/>
                <w:szCs w:val="24"/>
              </w:rPr>
              <w:t>机柜要</w:t>
            </w:r>
            <w:r>
              <w:rPr>
                <w:rFonts w:ascii="宋体" w:hAnsi="宋体"/>
                <w:color w:val="000000"/>
                <w:szCs w:val="24"/>
              </w:rPr>
              <w:br w:type="textWrapping"/>
            </w:r>
            <w:r>
              <w:rPr>
                <w:rFonts w:ascii="宋体" w:hAnsi="宋体"/>
                <w:color w:val="000000"/>
                <w:szCs w:val="24"/>
              </w:rPr>
              <w:t>求</w:t>
            </w:r>
          </w:p>
        </w:tc>
        <w:tc>
          <w:tcPr>
            <w:tcW w:w="6811" w:type="dxa"/>
            <w:vAlign w:val="center"/>
          </w:tcPr>
          <w:p>
            <w:pPr>
              <w:rPr>
                <w:rFonts w:ascii="宋体" w:hAnsi="宋体"/>
                <w:color w:val="000000"/>
                <w:szCs w:val="24"/>
              </w:rPr>
            </w:pPr>
            <w:r>
              <w:rPr>
                <w:rFonts w:hint="eastAsia" w:ascii="宋体" w:hAnsi="宋体" w:cs="MS Gothic"/>
                <w:b/>
                <w:bCs/>
                <w:color w:val="000000"/>
                <w:szCs w:val="24"/>
              </w:rPr>
              <w:t>★</w:t>
            </w:r>
            <w:r>
              <w:rPr>
                <w:rFonts w:hint="eastAsia" w:ascii="宋体" w:hAnsi="宋体"/>
                <w:color w:val="000000"/>
                <w:szCs w:val="24"/>
              </w:rPr>
              <w:t>提供同模块连续</w:t>
            </w:r>
            <w:r>
              <w:rPr>
                <w:rFonts w:ascii="宋体" w:hAnsi="宋体"/>
                <w:color w:val="000000"/>
                <w:szCs w:val="24"/>
              </w:rPr>
              <w:t>机柜</w:t>
            </w:r>
            <w:r>
              <w:rPr>
                <w:rFonts w:hint="eastAsia" w:ascii="宋体" w:hAnsi="宋体"/>
                <w:color w:val="000000"/>
                <w:szCs w:val="24"/>
              </w:rPr>
              <w:t>（含电费）</w:t>
            </w:r>
            <w:r>
              <w:rPr>
                <w:rFonts w:ascii="宋体" w:hAnsi="宋体"/>
                <w:color w:val="000000"/>
                <w:szCs w:val="24"/>
              </w:rPr>
              <w:t>，单机柜</w:t>
            </w:r>
            <w:r>
              <w:rPr>
                <w:rFonts w:hint="eastAsia" w:ascii="宋体" w:hAnsi="宋体"/>
                <w:color w:val="000000"/>
                <w:szCs w:val="24"/>
              </w:rPr>
              <w:t>额定功率</w:t>
            </w:r>
            <w:r>
              <w:rPr>
                <w:rFonts w:ascii="宋体" w:hAnsi="宋体"/>
                <w:color w:val="000000"/>
                <w:szCs w:val="24"/>
              </w:rPr>
              <w:t>不低于4.5KW（如不满足，可根据功率核算，调整机柜数量），机柜须满足标准19英寸机架设备安装上架要求，机柜尺寸不小于600×1200×2000mm，可用空间不小于42U。（</w:t>
            </w:r>
            <w:r>
              <w:rPr>
                <w:rFonts w:hint="eastAsia" w:ascii="宋体" w:hAnsi="宋体"/>
                <w:color w:val="000000"/>
                <w:szCs w:val="24"/>
              </w:rPr>
              <w:t>须提供图纸</w:t>
            </w:r>
            <w:r>
              <w:rPr>
                <w:rFonts w:ascii="宋体" w:hAnsi="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7</w:t>
            </w:r>
          </w:p>
        </w:tc>
        <w:tc>
          <w:tcPr>
            <w:tcW w:w="1257" w:type="dxa"/>
            <w:vMerge w:val="restart"/>
            <w:vAlign w:val="center"/>
          </w:tcPr>
          <w:p>
            <w:pPr>
              <w:rPr>
                <w:rFonts w:ascii="宋体" w:hAnsi="宋体"/>
                <w:szCs w:val="24"/>
              </w:rPr>
            </w:pPr>
            <w:r>
              <w:rPr>
                <w:rFonts w:ascii="宋体" w:hAnsi="宋体"/>
                <w:szCs w:val="24"/>
              </w:rPr>
              <w:t>机房综</w:t>
            </w:r>
            <w:r>
              <w:rPr>
                <w:rFonts w:ascii="宋体" w:hAnsi="宋体"/>
                <w:szCs w:val="24"/>
              </w:rPr>
              <w:br w:type="textWrapping"/>
            </w:r>
            <w:r>
              <w:rPr>
                <w:rFonts w:ascii="宋体" w:hAnsi="宋体"/>
                <w:szCs w:val="24"/>
              </w:rPr>
              <w:t>合布线</w:t>
            </w:r>
            <w:r>
              <w:rPr>
                <w:rFonts w:ascii="宋体" w:hAnsi="宋体"/>
                <w:szCs w:val="24"/>
              </w:rPr>
              <w:br w:type="textWrapping"/>
            </w:r>
            <w:r>
              <w:rPr>
                <w:rFonts w:ascii="宋体" w:hAnsi="宋体"/>
                <w:szCs w:val="24"/>
              </w:rPr>
              <w:t>要求</w:t>
            </w:r>
          </w:p>
        </w:tc>
        <w:tc>
          <w:tcPr>
            <w:tcW w:w="6811" w:type="dxa"/>
            <w:vAlign w:val="center"/>
          </w:tcPr>
          <w:p>
            <w:pPr>
              <w:rPr>
                <w:rFonts w:ascii="宋体" w:hAnsi="宋体"/>
                <w:szCs w:val="24"/>
              </w:rPr>
            </w:pPr>
            <w:r>
              <w:rPr>
                <w:rFonts w:ascii="宋体" w:hAnsi="宋体"/>
                <w:szCs w:val="24"/>
              </w:rPr>
              <w:t>投标方须提供根据招标方需求在机柜所在机房区域内完成综合布线，线缆敷设在所在区域桥架机柜内，对强弱电进行分离，规范整齐。所在区域内的线缆按照招标方要求进行标签标识；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8</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缆线采用线槽或桥架敷设时，线槽或桥架的安装位置应与建筑装饰、电气、空调、消防等专业协调一致。应将通信线缆铺设在专用线槽内，强弱电缆需隔离铺设间隔不小于300mm，并进行统一标识；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9</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综合布线系统应选用有质量保证产品；综合布线系统应满足ANSI/TIA/EIA 568B、ANSI/TIA/EIA 569A、NSI/TIA/EIA-606、ANSI/TIA/EIA-607/《综合布线系统工程设计规范》GB50311-2016/《综合布线系统工程验收规范》GB50312-2016等标准要求；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hint="eastAsia" w:ascii="宋体" w:hAnsi="宋体"/>
                <w:szCs w:val="24"/>
              </w:rPr>
              <w:t>1</w:t>
            </w:r>
            <w:r>
              <w:rPr>
                <w:rFonts w:ascii="宋体" w:hAnsi="宋体"/>
                <w:szCs w:val="24"/>
              </w:rPr>
              <w:t>0</w:t>
            </w:r>
          </w:p>
        </w:tc>
        <w:tc>
          <w:tcPr>
            <w:tcW w:w="1257" w:type="dxa"/>
            <w:vMerge w:val="restart"/>
            <w:vAlign w:val="center"/>
          </w:tcPr>
          <w:p>
            <w:pPr>
              <w:rPr>
                <w:rFonts w:ascii="宋体" w:hAnsi="宋体"/>
                <w:szCs w:val="24"/>
              </w:rPr>
            </w:pPr>
            <w:r>
              <w:rPr>
                <w:rFonts w:ascii="宋体" w:hAnsi="宋体"/>
                <w:szCs w:val="24"/>
              </w:rPr>
              <w:t>机房建</w:t>
            </w:r>
            <w:r>
              <w:rPr>
                <w:rFonts w:ascii="宋体" w:hAnsi="宋体"/>
                <w:szCs w:val="24"/>
              </w:rPr>
              <w:br w:type="textWrapping"/>
            </w:r>
            <w:r>
              <w:rPr>
                <w:rFonts w:ascii="宋体" w:hAnsi="宋体"/>
                <w:szCs w:val="24"/>
              </w:rPr>
              <w:t>筑要求</w:t>
            </w:r>
          </w:p>
        </w:tc>
        <w:tc>
          <w:tcPr>
            <w:tcW w:w="6811" w:type="dxa"/>
            <w:vAlign w:val="center"/>
          </w:tcPr>
          <w:p>
            <w:pPr>
              <w:rPr>
                <w:rFonts w:ascii="宋体" w:hAnsi="宋体"/>
                <w:szCs w:val="24"/>
              </w:rPr>
            </w:pPr>
            <w:r>
              <w:rPr>
                <w:rFonts w:ascii="宋体" w:hAnsi="宋体"/>
                <w:szCs w:val="24"/>
              </w:rPr>
              <w:t>机房所在建筑物须为机房专用的独栋建筑，建筑内不含有数据中心以外其他</w:t>
            </w:r>
            <w:r>
              <w:rPr>
                <w:rFonts w:hint="eastAsia" w:ascii="宋体" w:hAnsi="宋体"/>
                <w:szCs w:val="24"/>
              </w:rPr>
              <w:t>不相关</w:t>
            </w:r>
            <w:r>
              <w:rPr>
                <w:rFonts w:ascii="宋体" w:hAnsi="宋体"/>
                <w:szCs w:val="24"/>
              </w:rPr>
              <w:t>业务用途；并根据信息系统机房应用的特点和特殊需要，在功能分区划分和平面布置、建筑结构上采取相应的技术措施；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11</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hint="eastAsia" w:ascii="宋体" w:hAnsi="宋体" w:cs="MS Gothic"/>
                <w:b/>
                <w:bCs/>
                <w:szCs w:val="24"/>
              </w:rPr>
              <w:t>★</w:t>
            </w:r>
            <w:r>
              <w:rPr>
                <w:rFonts w:ascii="宋体" w:hAnsi="宋体"/>
                <w:szCs w:val="24"/>
              </w:rPr>
              <w:t>机房所在建筑物抗震等级为 8 级；建筑结构安全等级为 A 级；机房耐火等级不低于乙级；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12</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机房活荷载承重量不低于标准值 8-10（kN/㎡）；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hint="eastAsia" w:ascii="宋体" w:hAnsi="宋体"/>
                <w:szCs w:val="24"/>
              </w:rPr>
              <w:t>1</w:t>
            </w:r>
            <w:r>
              <w:rPr>
                <w:rFonts w:ascii="宋体" w:hAnsi="宋体"/>
                <w:szCs w:val="24"/>
              </w:rPr>
              <w:t>3</w:t>
            </w:r>
          </w:p>
        </w:tc>
        <w:tc>
          <w:tcPr>
            <w:tcW w:w="1257" w:type="dxa"/>
            <w:vMerge w:val="restart"/>
            <w:vAlign w:val="center"/>
          </w:tcPr>
          <w:p>
            <w:pPr>
              <w:rPr>
                <w:rFonts w:ascii="宋体" w:hAnsi="宋体"/>
                <w:szCs w:val="24"/>
              </w:rPr>
            </w:pPr>
            <w:r>
              <w:rPr>
                <w:rFonts w:ascii="宋体" w:hAnsi="宋体"/>
                <w:szCs w:val="24"/>
              </w:rPr>
              <w:t>供配电</w:t>
            </w:r>
            <w:r>
              <w:rPr>
                <w:rFonts w:ascii="宋体" w:hAnsi="宋体"/>
                <w:szCs w:val="24"/>
              </w:rPr>
              <w:br w:type="textWrapping"/>
            </w:r>
            <w:r>
              <w:rPr>
                <w:rFonts w:ascii="宋体" w:hAnsi="宋体"/>
                <w:szCs w:val="24"/>
              </w:rPr>
              <w:t>要求</w:t>
            </w:r>
          </w:p>
        </w:tc>
        <w:tc>
          <w:tcPr>
            <w:tcW w:w="6811" w:type="dxa"/>
            <w:vAlign w:val="center"/>
          </w:tcPr>
          <w:p>
            <w:pPr>
              <w:rPr>
                <w:rFonts w:ascii="宋体" w:hAnsi="宋体"/>
                <w:szCs w:val="24"/>
              </w:rPr>
            </w:pPr>
            <w:r>
              <w:rPr>
                <w:rFonts w:ascii="宋体" w:hAnsi="宋体"/>
                <w:szCs w:val="24"/>
              </w:rPr>
              <w:t>机房采用双路市电供电，两路市电应该来自不同的供电站；</w:t>
            </w:r>
          </w:p>
        </w:tc>
      </w:tr>
      <w:tr>
        <w:tblPrEx>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14</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IT系统供电与空调等动力供电分开。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15</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末端配电：每台机柜配置 A\B 双路 PDU（来自不同的 UPS 系统供电）；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16</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 UPS 及电池均应采用有质量保证的产品，并</w:t>
            </w:r>
            <w:r>
              <w:rPr>
                <w:rFonts w:hint="eastAsia" w:ascii="宋体" w:hAnsi="宋体"/>
                <w:szCs w:val="24"/>
              </w:rPr>
              <w:t>至少</w:t>
            </w:r>
            <w:r>
              <w:rPr>
                <w:rFonts w:ascii="宋体" w:hAnsi="宋体"/>
                <w:szCs w:val="24"/>
              </w:rPr>
              <w:t>采用 3N 冗余方式。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17</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满载情况下电池后备时间应不低于 15 分钟，招标人租赁机房区域内每个机柜要求由分别来源于两路 UPS 的两路电力供应（提供竣工验收资料）；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18</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柴油发电机配备 (N+X)冗余（X=1～N）后备柴油发电机系统（提供竣工验收资料）；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8" w:type="dxa"/>
            <w:vAlign w:val="center"/>
          </w:tcPr>
          <w:p>
            <w:pPr>
              <w:rPr>
                <w:rFonts w:ascii="宋体" w:hAnsi="宋体"/>
                <w:szCs w:val="24"/>
              </w:rPr>
            </w:pPr>
            <w:r>
              <w:rPr>
                <w:rFonts w:ascii="宋体" w:hAnsi="宋体"/>
                <w:szCs w:val="24"/>
              </w:rPr>
              <w:t>19</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投标方提供服务的数据中心内应设置有大容量油库，发电机燃油储备应能满足所有发电机组满载运行不低于 8 小时，并可不停机加油。此外，投标方应与附近油站签署有优先供油保障协议，可确保发电机燃油在 8 小时内获得补充。储油设施应符合国家相关标准规范要求（提供供油保障协议）；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20</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柴油发电机组应具有自动启动、自动切换、自动停机功能，应急电源与正常电源之间必须采取防止并列运行的措施。发电机组自启动到具备供电条件的时长原则上应小于 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21</w:t>
            </w:r>
          </w:p>
        </w:tc>
        <w:tc>
          <w:tcPr>
            <w:tcW w:w="1257" w:type="dxa"/>
            <w:vMerge w:val="restart"/>
            <w:vAlign w:val="center"/>
          </w:tcPr>
          <w:p>
            <w:pPr>
              <w:rPr>
                <w:rFonts w:ascii="宋体" w:hAnsi="宋体"/>
                <w:szCs w:val="24"/>
              </w:rPr>
            </w:pPr>
            <w:r>
              <w:rPr>
                <w:rFonts w:ascii="宋体" w:hAnsi="宋体"/>
                <w:szCs w:val="24"/>
              </w:rPr>
              <w:t>制冷要</w:t>
            </w:r>
            <w:r>
              <w:rPr>
                <w:rFonts w:ascii="宋体" w:hAnsi="宋体"/>
                <w:szCs w:val="24"/>
              </w:rPr>
              <w:br w:type="textWrapping"/>
            </w:r>
            <w:r>
              <w:rPr>
                <w:rFonts w:ascii="宋体" w:hAnsi="宋体"/>
                <w:szCs w:val="24"/>
              </w:rPr>
              <w:t>求</w:t>
            </w:r>
          </w:p>
        </w:tc>
        <w:tc>
          <w:tcPr>
            <w:tcW w:w="6811" w:type="dxa"/>
            <w:vAlign w:val="center"/>
          </w:tcPr>
          <w:p>
            <w:pPr>
              <w:rPr>
                <w:rFonts w:ascii="宋体" w:hAnsi="宋体"/>
                <w:szCs w:val="24"/>
              </w:rPr>
            </w:pPr>
            <w:r>
              <w:rPr>
                <w:rFonts w:ascii="宋体" w:hAnsi="宋体"/>
                <w:szCs w:val="24"/>
              </w:rPr>
              <w:t>机房精密空调应配备 N+X 冗余（X=1～N）机房专用空调（提供竣工验收资料）；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22</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保持机房温度（开机时）23℃±1℃ ，相对湿度（开机时）40%-60%，不结露。按冷、热通道分离布置。空调机房需独立，与IT机房物理隔离；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23</w:t>
            </w:r>
          </w:p>
        </w:tc>
        <w:tc>
          <w:tcPr>
            <w:tcW w:w="1257" w:type="dxa"/>
            <w:vMerge w:val="restart"/>
            <w:vAlign w:val="center"/>
          </w:tcPr>
          <w:p>
            <w:pPr>
              <w:rPr>
                <w:rFonts w:ascii="宋体" w:hAnsi="宋体"/>
                <w:szCs w:val="24"/>
              </w:rPr>
            </w:pPr>
            <w:r>
              <w:rPr>
                <w:rFonts w:ascii="宋体" w:hAnsi="宋体"/>
                <w:szCs w:val="24"/>
              </w:rPr>
              <w:t>防雷接</w:t>
            </w:r>
            <w:r>
              <w:rPr>
                <w:rFonts w:ascii="宋体" w:hAnsi="宋体"/>
                <w:szCs w:val="24"/>
              </w:rPr>
              <w:br w:type="textWrapping"/>
            </w:r>
            <w:r>
              <w:rPr>
                <w:rFonts w:ascii="宋体" w:hAnsi="宋体"/>
                <w:szCs w:val="24"/>
              </w:rPr>
              <w:t>地要求</w:t>
            </w:r>
          </w:p>
        </w:tc>
        <w:tc>
          <w:tcPr>
            <w:tcW w:w="6811" w:type="dxa"/>
            <w:vAlign w:val="center"/>
          </w:tcPr>
          <w:p>
            <w:pPr>
              <w:rPr>
                <w:rFonts w:ascii="宋体" w:hAnsi="宋体"/>
                <w:szCs w:val="24"/>
              </w:rPr>
            </w:pPr>
            <w:r>
              <w:rPr>
                <w:rFonts w:ascii="宋体" w:hAnsi="宋体"/>
                <w:szCs w:val="24"/>
              </w:rPr>
              <w:t>机房建筑设置有避雷装置，能够防范直击雷的危害；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24</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应设置交流电源地线，应设置通过国家认证的防雷装置，投标方须提供相关资质证明。防止感应雷，采用共用接地系统，在供电系统做好三级防雷措施。（提供专业检测机构出具的《机房防雷接地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25</w:t>
            </w:r>
          </w:p>
        </w:tc>
        <w:tc>
          <w:tcPr>
            <w:tcW w:w="1257" w:type="dxa"/>
            <w:vMerge w:val="restart"/>
            <w:vAlign w:val="center"/>
          </w:tcPr>
          <w:p>
            <w:pPr>
              <w:rPr>
                <w:rFonts w:ascii="宋体" w:hAnsi="宋体"/>
                <w:szCs w:val="24"/>
              </w:rPr>
            </w:pPr>
            <w:r>
              <w:rPr>
                <w:rFonts w:ascii="宋体" w:hAnsi="宋体"/>
                <w:szCs w:val="24"/>
              </w:rPr>
              <w:t>消防要</w:t>
            </w:r>
            <w:r>
              <w:rPr>
                <w:rFonts w:ascii="宋体" w:hAnsi="宋体"/>
                <w:szCs w:val="24"/>
              </w:rPr>
              <w:br w:type="textWrapping"/>
            </w:r>
            <w:r>
              <w:rPr>
                <w:rFonts w:ascii="宋体" w:hAnsi="宋体"/>
                <w:szCs w:val="24"/>
              </w:rPr>
              <w:t>求</w:t>
            </w:r>
          </w:p>
        </w:tc>
        <w:tc>
          <w:tcPr>
            <w:tcW w:w="6811" w:type="dxa"/>
            <w:vAlign w:val="center"/>
          </w:tcPr>
          <w:p>
            <w:pPr>
              <w:rPr>
                <w:rFonts w:ascii="宋体" w:hAnsi="宋体"/>
                <w:szCs w:val="24"/>
              </w:rPr>
            </w:pPr>
            <w:r>
              <w:rPr>
                <w:rFonts w:ascii="宋体" w:hAnsi="宋体"/>
                <w:szCs w:val="24"/>
              </w:rPr>
              <w:t>机房区域的消防系统采用极早期火灾探测报警系统，火灾探测点应采取多层部署方式并应具有地址编码及电子地图，接入到火灾自动报警系统，提供集中式灭火报警系统；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26</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投标方提供服务的机房场地及配电室应设置感温、感烟双重报警系统。采用 IG541 或 FM200 环保洁净气体灭火系统。气体释放喷头应采取多路部署，分区灭火方式。无水管经过 IT 设备放置的机房区域；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27</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消防中控室应配置有 7×24 小时专职消防监控人员，实时监控火灾自动报警系统；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28</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机房内应设置有独立的消防排烟系统；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29</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hint="eastAsia" w:ascii="宋体" w:hAnsi="宋体" w:cs="MS Gothic"/>
                <w:b/>
                <w:bCs/>
                <w:szCs w:val="24"/>
              </w:rPr>
              <w:t>★</w:t>
            </w:r>
            <w:r>
              <w:rPr>
                <w:rFonts w:ascii="宋体" w:hAnsi="宋体"/>
                <w:szCs w:val="24"/>
              </w:rPr>
              <w:t>投标方提供服务的数据中心的消防设施及管理应符合消防规范要求，并通过主管部门验收和年检，投标方应提供相关证明材料；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30</w:t>
            </w:r>
          </w:p>
        </w:tc>
        <w:tc>
          <w:tcPr>
            <w:tcW w:w="1257" w:type="dxa"/>
            <w:vMerge w:val="restart"/>
            <w:vAlign w:val="center"/>
          </w:tcPr>
          <w:p>
            <w:pPr>
              <w:rPr>
                <w:rFonts w:ascii="宋体" w:hAnsi="宋体"/>
                <w:szCs w:val="24"/>
              </w:rPr>
            </w:pPr>
            <w:r>
              <w:rPr>
                <w:rFonts w:ascii="宋体" w:hAnsi="宋体"/>
                <w:szCs w:val="24"/>
              </w:rPr>
              <w:t>多运营</w:t>
            </w:r>
            <w:r>
              <w:rPr>
                <w:rFonts w:ascii="宋体" w:hAnsi="宋体"/>
                <w:szCs w:val="24"/>
              </w:rPr>
              <w:br w:type="textWrapping"/>
            </w:r>
            <w:r>
              <w:rPr>
                <w:rFonts w:ascii="宋体" w:hAnsi="宋体"/>
                <w:szCs w:val="24"/>
              </w:rPr>
              <w:t>商线路</w:t>
            </w:r>
            <w:r>
              <w:rPr>
                <w:rFonts w:ascii="宋体" w:hAnsi="宋体"/>
                <w:szCs w:val="24"/>
              </w:rPr>
              <w:br w:type="textWrapping"/>
            </w:r>
            <w:r>
              <w:rPr>
                <w:rFonts w:ascii="宋体" w:hAnsi="宋体"/>
                <w:szCs w:val="24"/>
              </w:rPr>
              <w:t>接入</w:t>
            </w:r>
          </w:p>
        </w:tc>
        <w:tc>
          <w:tcPr>
            <w:tcW w:w="6811" w:type="dxa"/>
            <w:vAlign w:val="center"/>
          </w:tcPr>
          <w:p>
            <w:pPr>
              <w:rPr>
                <w:rFonts w:ascii="宋体" w:hAnsi="宋体"/>
                <w:szCs w:val="24"/>
              </w:rPr>
            </w:pPr>
            <w:r>
              <w:rPr>
                <w:rFonts w:ascii="宋体" w:hAnsi="宋体"/>
                <w:szCs w:val="24"/>
              </w:rPr>
              <w:t>应满足全部基础运营商和运营商互联网、专线、裸光纤以及政务外网接入路由空间，满足招标人未来的网络接入；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31</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各运营商节点机房为独立空间，传输设备、管井等资源满足多条专线布设开通条件并具备后期扩展能力，传输设备应便于维护；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32</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承诺机房能够支持国家电子政务外网的接入，并提供相应的配合服务；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33</w:t>
            </w:r>
          </w:p>
        </w:tc>
        <w:tc>
          <w:tcPr>
            <w:tcW w:w="1257" w:type="dxa"/>
            <w:vMerge w:val="restart"/>
            <w:vAlign w:val="center"/>
          </w:tcPr>
          <w:p>
            <w:pPr>
              <w:rPr>
                <w:rFonts w:ascii="宋体" w:hAnsi="宋体"/>
                <w:szCs w:val="24"/>
              </w:rPr>
            </w:pPr>
            <w:r>
              <w:rPr>
                <w:rFonts w:ascii="宋体" w:hAnsi="宋体"/>
                <w:szCs w:val="24"/>
              </w:rPr>
              <w:t>机房运</w:t>
            </w:r>
            <w:r>
              <w:rPr>
                <w:rFonts w:ascii="宋体" w:hAnsi="宋体"/>
                <w:szCs w:val="24"/>
              </w:rPr>
              <w:br w:type="textWrapping"/>
            </w:r>
            <w:r>
              <w:rPr>
                <w:rFonts w:ascii="宋体" w:hAnsi="宋体"/>
                <w:szCs w:val="24"/>
              </w:rPr>
              <w:t>维要求</w:t>
            </w:r>
          </w:p>
        </w:tc>
        <w:tc>
          <w:tcPr>
            <w:tcW w:w="6811" w:type="dxa"/>
            <w:vAlign w:val="center"/>
          </w:tcPr>
          <w:p>
            <w:pPr>
              <w:rPr>
                <w:rFonts w:ascii="宋体" w:hAnsi="宋体"/>
                <w:szCs w:val="24"/>
              </w:rPr>
            </w:pPr>
            <w:r>
              <w:rPr>
                <w:rFonts w:ascii="宋体" w:hAnsi="宋体"/>
                <w:szCs w:val="24"/>
              </w:rPr>
              <w:t>机房所在建筑物入口处应安装出入控制和安全防护装置，并对出入人员和所带物品应进行安全检查；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34</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机房应配备 7×24 小时值班保安人员，负责机房的安全保卫工作；</w:t>
            </w:r>
          </w:p>
        </w:tc>
      </w:tr>
      <w:tr>
        <w:tblPrEx>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35</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数据中心设有环境监控系统，</w:t>
            </w:r>
            <w:r>
              <w:rPr>
                <w:rFonts w:hint="eastAsia" w:ascii="宋体" w:hAnsi="宋体"/>
                <w:szCs w:val="24"/>
              </w:rPr>
              <w:t>并配备监控大屏，屏幕尺寸不低于2</w:t>
            </w:r>
            <w:r>
              <w:rPr>
                <w:rFonts w:ascii="宋体" w:hAnsi="宋体"/>
                <w:szCs w:val="24"/>
              </w:rPr>
              <w:t xml:space="preserve">0 </w:t>
            </w:r>
            <w:r>
              <w:rPr>
                <w:rFonts w:hint="eastAsia" w:ascii="宋体" w:hAnsi="宋体"/>
                <w:szCs w:val="24"/>
              </w:rPr>
              <w:t>m</w:t>
            </w:r>
            <w:r>
              <w:rPr>
                <w:rFonts w:ascii="宋体" w:hAnsi="宋体"/>
                <w:szCs w:val="24"/>
              </w:rPr>
              <w:t>2，对机房相关基础设施运行状态和故障进行 7×24 小时监控；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36</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机房应配备 7×24 小时值班基础设施管理员，负责机房的日常维护、事件应急、故障处置等工作；机房的基础设施日常巡检工作，每日巡检次数不少于六次；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8" w:type="dxa"/>
            <w:vAlign w:val="center"/>
          </w:tcPr>
          <w:p>
            <w:pPr>
              <w:rPr>
                <w:rFonts w:ascii="宋体" w:hAnsi="宋体"/>
                <w:szCs w:val="24"/>
              </w:rPr>
            </w:pPr>
            <w:r>
              <w:rPr>
                <w:rFonts w:ascii="宋体" w:hAnsi="宋体"/>
                <w:szCs w:val="24"/>
              </w:rPr>
              <w:t>37</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机房区域应为独立、封闭区域，并配置有门禁访问控制措施、视频监控、安全检查措施，并有 7×24 小时安保人员值班对进出机房的人员、设备进行检查、核实、放行。有多个出入口时，每个出入口都应有周全的人员、设备进出控制措施，以确保机房安全；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8" w:type="dxa"/>
            <w:vAlign w:val="center"/>
          </w:tcPr>
          <w:p>
            <w:pPr>
              <w:rPr>
                <w:rFonts w:ascii="宋体" w:hAnsi="宋体"/>
                <w:szCs w:val="24"/>
              </w:rPr>
            </w:pPr>
            <w:r>
              <w:rPr>
                <w:rFonts w:ascii="宋体" w:hAnsi="宋体"/>
                <w:szCs w:val="24"/>
              </w:rPr>
              <w:t>38</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应为招标人租赁区域出入口设置门禁控制系统，划分不同人员进出不同区域的权限。未经招标人授权的人员（包括投标方机房工作人员）不得进入；门禁控制系统应保存有完整的人员进出记录，人员进出记录要求至少保留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39</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投标方须保证招标人及备案的项目组成员无条件（含封网期间）随时进入所租赁机房区域进行操作，并提供配合；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40</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应为招标人租赁机房区域部署高清视频监控系统，实现对所有通道、区域、设备的监控，且监控区域无死角。视频监控数据应至少保存 90 天且供招标人随时调阅查看；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vAlign w:val="center"/>
          </w:tcPr>
          <w:p>
            <w:pPr>
              <w:rPr>
                <w:rFonts w:ascii="宋体" w:hAnsi="宋体"/>
                <w:szCs w:val="24"/>
              </w:rPr>
            </w:pPr>
            <w:r>
              <w:rPr>
                <w:rFonts w:ascii="宋体" w:hAnsi="宋体"/>
                <w:szCs w:val="24"/>
              </w:rPr>
              <w:t>41</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向招标人租赁机房区域提供包括供变配电、UPS、电池、空调及新风系统的设备系统监测服务、运行区温湿度及漏水监测、末端配电监测；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42</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在进行重大变更时，应提前至少 20 个工作日通过书面方式通知可能受到影响的招标人；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43</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应至少每季度一次向招标人提供服务报告，包括监控及巡检、日常维护、应急处理工作等；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98" w:type="dxa"/>
            <w:vAlign w:val="center"/>
          </w:tcPr>
          <w:p>
            <w:pPr>
              <w:rPr>
                <w:rFonts w:ascii="宋体" w:hAnsi="宋体"/>
                <w:szCs w:val="24"/>
              </w:rPr>
            </w:pPr>
            <w:r>
              <w:rPr>
                <w:rFonts w:ascii="宋体" w:hAnsi="宋体"/>
                <w:szCs w:val="24"/>
              </w:rPr>
              <w:t>44</w:t>
            </w:r>
          </w:p>
        </w:tc>
        <w:tc>
          <w:tcPr>
            <w:tcW w:w="1257" w:type="dxa"/>
            <w:vMerge w:val="continue"/>
            <w:vAlign w:val="center"/>
          </w:tcPr>
          <w:p>
            <w:pPr>
              <w:rPr>
                <w:rFonts w:ascii="宋体" w:hAnsi="宋体"/>
                <w:szCs w:val="24"/>
              </w:rPr>
            </w:pPr>
          </w:p>
        </w:tc>
        <w:tc>
          <w:tcPr>
            <w:tcW w:w="6811" w:type="dxa"/>
            <w:vAlign w:val="center"/>
          </w:tcPr>
          <w:p>
            <w:pPr>
              <w:rPr>
                <w:rFonts w:ascii="宋体" w:hAnsi="宋体"/>
                <w:szCs w:val="24"/>
              </w:rPr>
            </w:pPr>
            <w:r>
              <w:rPr>
                <w:rFonts w:ascii="宋体" w:hAnsi="宋体"/>
                <w:szCs w:val="24"/>
              </w:rPr>
              <w:t>应提供数据中心保洁、卫生等日常工作，随时保持数据中整洁。</w:t>
            </w:r>
          </w:p>
        </w:tc>
      </w:tr>
    </w:tbl>
    <w:p>
      <w:pPr>
        <w:keepNext/>
        <w:keepLines/>
        <w:spacing w:before="280" w:after="290" w:line="377" w:lineRule="auto"/>
        <w:outlineLvl w:val="4"/>
        <w:rPr>
          <w:b/>
          <w:bCs/>
          <w:szCs w:val="24"/>
        </w:rPr>
      </w:pPr>
      <w:r>
        <w:rPr>
          <w:rFonts w:hint="eastAsia"/>
          <w:b/>
          <w:bCs/>
          <w:szCs w:val="24"/>
        </w:rPr>
        <w:t>链路资源参数要求</w:t>
      </w:r>
    </w:p>
    <w:tbl>
      <w:tblPr>
        <w:tblStyle w:val="30"/>
        <w:tblW w:w="8831" w:type="dxa"/>
        <w:jc w:val="center"/>
        <w:tblLayout w:type="fixed"/>
        <w:tblCellMar>
          <w:top w:w="0" w:type="dxa"/>
          <w:left w:w="108" w:type="dxa"/>
          <w:bottom w:w="0" w:type="dxa"/>
          <w:right w:w="108" w:type="dxa"/>
        </w:tblCellMar>
      </w:tblPr>
      <w:tblGrid>
        <w:gridCol w:w="1722"/>
        <w:gridCol w:w="7109"/>
      </w:tblGrid>
      <w:tr>
        <w:tblPrEx>
          <w:tblCellMar>
            <w:top w:w="0" w:type="dxa"/>
            <w:left w:w="108" w:type="dxa"/>
            <w:bottom w:w="0" w:type="dxa"/>
            <w:right w:w="108" w:type="dxa"/>
          </w:tblCellMar>
        </w:tblPrEx>
        <w:trPr>
          <w:trHeight w:val="600" w:hRule="atLeast"/>
          <w:jc w:val="center"/>
        </w:trPr>
        <w:tc>
          <w:tcPr>
            <w:tcW w:w="1722"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b/>
                <w:bCs/>
                <w:szCs w:val="24"/>
              </w:rPr>
            </w:pPr>
            <w:r>
              <w:rPr>
                <w:rFonts w:hint="eastAsia" w:ascii="宋体" w:hAnsi="宋体"/>
                <w:b/>
                <w:bCs/>
                <w:szCs w:val="24"/>
              </w:rPr>
              <w:t>指标内容</w:t>
            </w:r>
          </w:p>
        </w:tc>
        <w:tc>
          <w:tcPr>
            <w:tcW w:w="7109" w:type="dxa"/>
            <w:tcBorders>
              <w:top w:val="single" w:color="auto" w:sz="4" w:space="0"/>
              <w:left w:val="nil"/>
              <w:bottom w:val="single" w:color="auto" w:sz="4" w:space="0"/>
              <w:right w:val="single" w:color="auto" w:sz="4" w:space="0"/>
            </w:tcBorders>
            <w:shd w:val="clear" w:color="auto" w:fill="FFFFFF"/>
            <w:vAlign w:val="center"/>
          </w:tcPr>
          <w:p>
            <w:pPr>
              <w:rPr>
                <w:rFonts w:ascii="宋体" w:hAnsi="宋体"/>
                <w:b/>
                <w:bCs/>
                <w:szCs w:val="24"/>
              </w:rPr>
            </w:pPr>
            <w:r>
              <w:rPr>
                <w:rFonts w:hint="eastAsia" w:ascii="宋体" w:hAnsi="宋体"/>
                <w:b/>
                <w:bCs/>
                <w:szCs w:val="24"/>
              </w:rPr>
              <w:t>参数指标</w:t>
            </w:r>
          </w:p>
        </w:tc>
      </w:tr>
      <w:tr>
        <w:tblPrEx>
          <w:tblCellMar>
            <w:top w:w="0" w:type="dxa"/>
            <w:left w:w="108" w:type="dxa"/>
            <w:bottom w:w="0" w:type="dxa"/>
            <w:right w:w="108" w:type="dxa"/>
          </w:tblCellMar>
        </w:tblPrEx>
        <w:trPr>
          <w:trHeight w:val="1282"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带宽</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端到端的数据传输速率不低于1G，预留电路扩容空间，保证后期电路带宽平滑升级</w:t>
            </w:r>
          </w:p>
        </w:tc>
      </w:tr>
      <w:tr>
        <w:tblPrEx>
          <w:tblCellMar>
            <w:top w:w="0" w:type="dxa"/>
            <w:left w:w="108" w:type="dxa"/>
            <w:bottom w:w="0" w:type="dxa"/>
            <w:right w:w="108" w:type="dxa"/>
          </w:tblCellMar>
        </w:tblPrEx>
        <w:trPr>
          <w:trHeight w:val="1282"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时延</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端到端不丢包情况下的网络转发数据所用时间，包括传输时延和传输节点处理时延。跨省、跨市时延：</w:t>
            </w:r>
            <w:r>
              <w:rPr>
                <w:rFonts w:ascii="宋体" w:hAnsi="宋体"/>
                <w:szCs w:val="24"/>
              </w:rPr>
              <w:t>0.8ms/</w:t>
            </w:r>
            <w:r>
              <w:rPr>
                <w:rFonts w:hint="eastAsia" w:ascii="宋体" w:hAnsi="宋体"/>
                <w:szCs w:val="24"/>
              </w:rPr>
              <w:t>百公里（单向时延）；本地网内≤</w:t>
            </w:r>
            <w:r>
              <w:rPr>
                <w:rFonts w:ascii="宋体" w:hAnsi="宋体"/>
                <w:szCs w:val="24"/>
              </w:rPr>
              <w:t>10ms</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丢包率</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在网络稳定状态下由于网络资源缺乏造成的不能转发的数据帧和总数据帧的百分比。从客户端</w:t>
            </w:r>
            <w:r>
              <w:rPr>
                <w:rFonts w:ascii="宋体" w:hAnsi="宋体"/>
                <w:szCs w:val="24"/>
              </w:rPr>
              <w:t>PING</w:t>
            </w:r>
            <w:r>
              <w:rPr>
                <w:rFonts w:hint="eastAsia" w:ascii="宋体" w:hAnsi="宋体"/>
                <w:szCs w:val="24"/>
              </w:rPr>
              <w:t>至少</w:t>
            </w:r>
            <w:r>
              <w:rPr>
                <w:rFonts w:ascii="宋体" w:hAnsi="宋体"/>
                <w:szCs w:val="24"/>
              </w:rPr>
              <w:t>1000</w:t>
            </w:r>
            <w:r>
              <w:rPr>
                <w:rFonts w:hint="eastAsia" w:ascii="宋体" w:hAnsi="宋体"/>
                <w:szCs w:val="24"/>
              </w:rPr>
              <w:t>个</w:t>
            </w:r>
            <w:r>
              <w:rPr>
                <w:rFonts w:ascii="宋体" w:hAnsi="宋体"/>
                <w:szCs w:val="24"/>
              </w:rPr>
              <w:t>IP</w:t>
            </w:r>
            <w:r>
              <w:rPr>
                <w:rFonts w:hint="eastAsia" w:ascii="宋体" w:hAnsi="宋体"/>
                <w:szCs w:val="24"/>
              </w:rPr>
              <w:t>包，丢失的</w:t>
            </w:r>
            <w:r>
              <w:rPr>
                <w:rFonts w:ascii="宋体" w:hAnsi="宋体"/>
                <w:szCs w:val="24"/>
              </w:rPr>
              <w:t>IP</w:t>
            </w:r>
            <w:r>
              <w:rPr>
                <w:rFonts w:hint="eastAsia" w:ascii="宋体" w:hAnsi="宋体"/>
                <w:szCs w:val="24"/>
              </w:rPr>
              <w:t>包与所有</w:t>
            </w:r>
            <w:r>
              <w:rPr>
                <w:rFonts w:ascii="宋体" w:hAnsi="宋体"/>
                <w:szCs w:val="24"/>
              </w:rPr>
              <w:t>IP</w:t>
            </w:r>
            <w:r>
              <w:rPr>
                <w:rFonts w:hint="eastAsia" w:ascii="宋体" w:hAnsi="宋体"/>
                <w:szCs w:val="24"/>
              </w:rPr>
              <w:t>包的比值，在正常带宽负荷下（负荷小于</w:t>
            </w:r>
            <w:r>
              <w:rPr>
                <w:rFonts w:ascii="宋体" w:hAnsi="宋体"/>
                <w:szCs w:val="24"/>
              </w:rPr>
              <w:t>70</w:t>
            </w:r>
            <w:r>
              <w:rPr>
                <w:rFonts w:hint="eastAsia" w:ascii="宋体" w:hAnsi="宋体"/>
                <w:szCs w:val="24"/>
              </w:rPr>
              <w:t>％）≤</w:t>
            </w:r>
            <w:r>
              <w:rPr>
                <w:rFonts w:ascii="宋体" w:hAnsi="宋体"/>
                <w:szCs w:val="24"/>
              </w:rPr>
              <w:t>0.1%</w:t>
            </w:r>
            <w:r>
              <w:rPr>
                <w:rFonts w:hint="eastAsia" w:ascii="宋体" w:hAnsi="宋体"/>
                <w:szCs w:val="24"/>
              </w:rPr>
              <w:t>（挂表测试为准）</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可用率</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挂表测试、网管监控，按单条电路使用情况计算：≥</w:t>
            </w:r>
            <w:r>
              <w:rPr>
                <w:rFonts w:ascii="宋体" w:hAnsi="宋体"/>
                <w:szCs w:val="24"/>
              </w:rPr>
              <w:t>99.96%</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组网保障</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提供的</w:t>
            </w:r>
            <w:r>
              <w:rPr>
                <w:rFonts w:ascii="宋体" w:hAnsi="宋体"/>
                <w:szCs w:val="24"/>
              </w:rPr>
              <w:t>AAA级别的传输电路能够确保骨干层及局间网络两个层面的自愈保护及可监控，接入层做到物理双路由及自愈保护</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性能监控</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ascii="宋体" w:hAnsi="宋体"/>
                <w:szCs w:val="24"/>
              </w:rPr>
              <w:t>监控层面可以提供针对客户的365*24*7小时监控，确保传输设备性能、告警及业务性能如发生故障及性能下降时提前进行处理</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设备巡检</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提供应急演练及日常巡检，来随时确保业务的可用性</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故障处理</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ascii="宋体" w:hAnsi="宋体"/>
                <w:szCs w:val="24"/>
              </w:rPr>
              <w:t>如发生故障</w:t>
            </w:r>
            <w:r>
              <w:rPr>
                <w:rFonts w:hint="eastAsia" w:ascii="宋体" w:hAnsi="宋体"/>
                <w:szCs w:val="24"/>
              </w:rPr>
              <w:t>，</w:t>
            </w:r>
            <w:r>
              <w:rPr>
                <w:rFonts w:ascii="宋体" w:hAnsi="宋体"/>
                <w:szCs w:val="24"/>
              </w:rPr>
              <w:t>在2小时内对业务进行抢通恢复（除不可抗力原因外）</w:t>
            </w:r>
          </w:p>
        </w:tc>
      </w:tr>
      <w:tr>
        <w:tblPrEx>
          <w:tblCellMar>
            <w:top w:w="0" w:type="dxa"/>
            <w:left w:w="108" w:type="dxa"/>
            <w:bottom w:w="0" w:type="dxa"/>
            <w:right w:w="108" w:type="dxa"/>
          </w:tblCellMar>
        </w:tblPrEx>
        <w:trPr>
          <w:trHeight w:val="25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szCs w:val="24"/>
              </w:rPr>
              <w:t>重点业务保障</w:t>
            </w:r>
          </w:p>
        </w:tc>
        <w:tc>
          <w:tcPr>
            <w:tcW w:w="7109" w:type="dxa"/>
            <w:tcBorders>
              <w:top w:val="single" w:color="auto" w:sz="4" w:space="0"/>
              <w:left w:val="nil"/>
              <w:bottom w:val="single" w:color="auto" w:sz="4" w:space="0"/>
              <w:right w:val="single" w:color="auto" w:sz="4" w:space="0"/>
            </w:tcBorders>
            <w:vAlign w:val="center"/>
          </w:tcPr>
          <w:p>
            <w:pPr>
              <w:rPr>
                <w:rFonts w:ascii="宋体" w:hAnsi="宋体"/>
                <w:szCs w:val="24"/>
              </w:rPr>
            </w:pPr>
            <w:r>
              <w:rPr>
                <w:rFonts w:hint="eastAsia" w:ascii="宋体" w:hAnsi="宋体"/>
                <w:szCs w:val="24"/>
              </w:rPr>
              <w:t>提供故障的绿色通报申报途径，如遇到用户需重点保障及业务高峰期，可提供</w:t>
            </w:r>
            <w:r>
              <w:rPr>
                <w:rFonts w:ascii="宋体" w:hAnsi="宋体"/>
                <w:szCs w:val="24"/>
              </w:rPr>
              <w:t>7*24*365</w:t>
            </w:r>
            <w:r>
              <w:rPr>
                <w:rFonts w:hint="eastAsia" w:ascii="宋体" w:hAnsi="宋体"/>
                <w:szCs w:val="24"/>
              </w:rPr>
              <w:t>小时的重点保障</w:t>
            </w:r>
          </w:p>
        </w:tc>
      </w:tr>
    </w:tbl>
    <w:p>
      <w:pPr>
        <w:keepNext/>
        <w:keepLines/>
        <w:spacing w:before="280" w:after="290" w:line="377" w:lineRule="auto"/>
        <w:outlineLvl w:val="4"/>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容灾备份服务要求：</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6"/>
        <w:gridCol w:w="6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rPr>
            </w:pPr>
            <w:r>
              <w:rPr>
                <w:rFonts w:hint="eastAsia" w:ascii="宋体" w:hAnsi="宋体" w:eastAsia="宋体" w:cs="宋体"/>
                <w:b/>
                <w:bCs/>
                <w:kern w:val="0"/>
                <w:sz w:val="24"/>
                <w:szCs w:val="24"/>
              </w:rPr>
              <w:t>指标项</w:t>
            </w:r>
          </w:p>
        </w:tc>
        <w:tc>
          <w:tcPr>
            <w:tcW w:w="673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4"/>
                <w:szCs w:val="24"/>
              </w:rPr>
            </w:pPr>
            <w:r>
              <w:rPr>
                <w:rFonts w:hint="eastAsia" w:ascii="宋体" w:hAnsi="宋体" w:eastAsia="宋体" w:cs="宋体"/>
                <w:b/>
                <w:bCs/>
                <w:kern w:val="0"/>
                <w:sz w:val="24"/>
                <w:szCs w:val="24"/>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备份要求</w:t>
            </w:r>
          </w:p>
        </w:tc>
        <w:tc>
          <w:tcPr>
            <w:tcW w:w="6735" w:type="dxa"/>
            <w:tcBorders>
              <w:top w:val="single" w:color="000000" w:sz="4" w:space="0"/>
              <w:left w:val="nil"/>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投标人提供</w:t>
            </w:r>
            <w:r>
              <w:rPr>
                <w:rFonts w:hint="eastAsia" w:ascii="宋体" w:hAnsi="宋体" w:cs="宋体"/>
                <w:kern w:val="0"/>
                <w:szCs w:val="21"/>
                <w:lang w:val="en-US" w:eastAsia="zh-CN"/>
              </w:rPr>
              <w:t>30</w:t>
            </w:r>
            <w:r>
              <w:rPr>
                <w:rFonts w:hint="eastAsia" w:ascii="宋体" w:hAnsi="宋体" w:eastAsia="宋体" w:cs="宋体"/>
                <w:kern w:val="0"/>
                <w:szCs w:val="21"/>
              </w:rPr>
              <w:t>T数据备份存储容量，包含配套的备份软硬件及</w:t>
            </w:r>
            <w:r>
              <w:rPr>
                <w:rFonts w:hint="eastAsia" w:ascii="宋体" w:hAnsi="宋体" w:eastAsia="宋体" w:cs="宋体"/>
                <w:kern w:val="0"/>
                <w:szCs w:val="21"/>
                <w:lang w:val="en-US" w:eastAsia="zh-CN"/>
              </w:rPr>
              <w:t>一条100M</w:t>
            </w:r>
            <w:r>
              <w:rPr>
                <w:rFonts w:hint="eastAsia" w:ascii="宋体" w:hAnsi="宋体" w:eastAsia="宋体" w:cs="宋体"/>
                <w:kern w:val="0"/>
                <w:szCs w:val="21"/>
              </w:rPr>
              <w:t>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选址要求</w:t>
            </w:r>
          </w:p>
        </w:tc>
        <w:tc>
          <w:tcPr>
            <w:tcW w:w="6735"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数据灾备机房应满足建设在距离生产中心300公里范围以外。</w:t>
            </w:r>
          </w:p>
          <w:p>
            <w:pPr>
              <w:rPr>
                <w:rFonts w:hint="eastAsia" w:ascii="宋体" w:hAnsi="宋体" w:eastAsia="宋体" w:cs="宋体"/>
                <w:kern w:val="0"/>
                <w:szCs w:val="21"/>
              </w:rPr>
            </w:pPr>
            <w:r>
              <w:rPr>
                <w:rFonts w:hint="eastAsia" w:ascii="宋体" w:hAnsi="宋体" w:eastAsia="宋体" w:cs="宋体"/>
                <w:kern w:val="0"/>
                <w:szCs w:val="21"/>
              </w:rPr>
              <w:t>数据灾备机房建设标准必须满足《信息安全等级保护管理办法》第三级安全保护标准，提供公安机关出具的证书文件。</w:t>
            </w:r>
          </w:p>
          <w:p>
            <w:pPr>
              <w:rPr>
                <w:rFonts w:hint="eastAsia" w:ascii="仿宋_GB2312" w:hAnsi="仿宋_GB2312" w:eastAsia="仿宋_GB2312" w:cs="仿宋_GB2312"/>
                <w:sz w:val="21"/>
                <w:szCs w:val="21"/>
              </w:rPr>
            </w:pPr>
            <w:r>
              <w:rPr>
                <w:rFonts w:hint="eastAsia" w:ascii="宋体" w:hAnsi="宋体" w:eastAsia="宋体" w:cs="宋体"/>
                <w:kern w:val="0"/>
                <w:szCs w:val="21"/>
              </w:rPr>
              <w:t>投标方提供的机房建设标准必须满足国家标准《数据中心设计规范》（GB 50174-2017）A级机房标准或国际T3标准，提供相关证明材料。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主控平台(Acesure/Boxsure)</w:t>
            </w:r>
          </w:p>
        </w:tc>
        <w:tc>
          <w:tcPr>
            <w:tcW w:w="6735" w:type="dxa"/>
            <w:tcBorders>
              <w:top w:val="single" w:color="000000" w:sz="4" w:space="0"/>
              <w:left w:val="nil"/>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灾备服务端主控平台，基于Web方式管理，对整个灾备平台软硬件资源统一管控，平台包含计算、存储节点功能；通过组合授权实现对物理机、虚拟机、云主机的操作系统、业务应用、数据等的整体实时容灾保护；可选择主机数实现业务应用的备份、仿真测试、容灾功能；支持Oracle RAC、微软双机的集群数据一致性保护；支持本/异地容灾复制功能，实现异地容灾；支持多个主控平台间级联。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256" w:type="dxa"/>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备份容量授权</w:t>
            </w:r>
          </w:p>
        </w:tc>
        <w:tc>
          <w:tcPr>
            <w:tcW w:w="6735" w:type="dxa"/>
            <w:tcBorders>
              <w:top w:val="nil"/>
              <w:left w:val="nil"/>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提供基于X86物理机、虚拟机、云主机的操作系统、业务应用、数据等的整体备份容量的授权使用；选择备份容量不限备份服务器数量。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256" w:type="dxa"/>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集群支持模块</w:t>
            </w:r>
          </w:p>
        </w:tc>
        <w:tc>
          <w:tcPr>
            <w:tcW w:w="6735" w:type="dxa"/>
            <w:tcBorders>
              <w:top w:val="nil"/>
              <w:left w:val="nil"/>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Windows/Linux平台下Oracle RAC数据库的一致性保护；微软双机系统数据一致性保护；以主控平台为单位，平台内不限Oracle RAC、微软MSCS数量。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2256" w:type="dxa"/>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产品基础服务</w:t>
            </w:r>
          </w:p>
        </w:tc>
        <w:tc>
          <w:tcPr>
            <w:tcW w:w="6735" w:type="dxa"/>
            <w:tcBorders>
              <w:top w:val="nil"/>
              <w:left w:val="nil"/>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1.软件升级服务：在服务年限内提供免费产品版本升级。</w:t>
            </w:r>
            <w:r>
              <w:rPr>
                <w:rFonts w:hint="eastAsia" w:ascii="宋体" w:hAnsi="宋体" w:eastAsia="宋体" w:cs="宋体"/>
                <w:kern w:val="0"/>
                <w:szCs w:val="21"/>
              </w:rPr>
              <w:br w:type="textWrapping"/>
            </w:r>
            <w:r>
              <w:rPr>
                <w:rFonts w:hint="eastAsia" w:ascii="宋体" w:hAnsi="宋体" w:eastAsia="宋体" w:cs="宋体"/>
                <w:kern w:val="0"/>
                <w:szCs w:val="21"/>
              </w:rPr>
              <w:t>2.技术支持服务：提供技术咨询，产品使用培训，安装指导，容灾恢复演练。</w:t>
            </w:r>
            <w:r>
              <w:rPr>
                <w:rFonts w:hint="eastAsia" w:ascii="宋体" w:hAnsi="宋体" w:eastAsia="宋体" w:cs="宋体"/>
                <w:kern w:val="0"/>
                <w:szCs w:val="21"/>
              </w:rPr>
              <w:br w:type="textWrapping"/>
            </w:r>
            <w:r>
              <w:rPr>
                <w:rFonts w:hint="eastAsia" w:ascii="宋体" w:hAnsi="宋体" w:eastAsia="宋体" w:cs="宋体"/>
                <w:kern w:val="0"/>
                <w:szCs w:val="21"/>
              </w:rPr>
              <w:t>3.产品基础服务提供支持形式包括：电话咨询，邮件等，提供7*24小时支持响应；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256" w:type="dxa"/>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安装服务</w:t>
            </w:r>
          </w:p>
        </w:tc>
        <w:tc>
          <w:tcPr>
            <w:tcW w:w="6735" w:type="dxa"/>
            <w:tcBorders>
              <w:top w:val="nil"/>
              <w:left w:val="nil"/>
              <w:bottom w:val="single" w:color="auto"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根据交付场景需要提供远程或现场首次安装交付服务，提供交付方案，完成设备上架，客户端和管理平台安装，首次安装灾备配置和部署，完成首次灾备演练测试，完成交付报告。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现场专家服务</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提供现场技术支持服务，24小时到达现场；现场专家服务根据需求提供：技术培训，故障排除，巡检，灾备演练，紧急救援等服务。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val="en-US" w:eastAsia="zh-CN"/>
              </w:rPr>
            </w:pPr>
            <w:r>
              <w:rPr>
                <w:rFonts w:hint="eastAsia" w:ascii="宋体" w:hAnsi="宋体" w:eastAsia="宋体" w:cs="宋体"/>
                <w:b/>
                <w:bCs/>
                <w:kern w:val="0"/>
                <w:szCs w:val="21"/>
              </w:rPr>
              <w:t>安全服务</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val="en-US" w:eastAsia="zh-CN"/>
              </w:rPr>
            </w:pPr>
            <w:r>
              <w:rPr>
                <w:rFonts w:hint="eastAsia" w:ascii="宋体" w:hAnsi="宋体" w:eastAsia="宋体" w:cs="宋体"/>
                <w:kern w:val="0"/>
                <w:szCs w:val="21"/>
              </w:rPr>
              <w:t>提供基础风险评估服务、每年4次以上的漏洞扫描服务、每半年1次的安全基线检查服务、每年4次以上的Web扫描服务、每年1次的渗透测试服务、安全值守服务、安全应急响应服务、安全培训服务、技术支持服务、网络安全规划服务、网络安全标准建设服务、网络安全知识转移服务、安全加固指导服务、优化建议服务、网络整改及优化和信息安全体系构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rPr>
              <w:t>数据备份</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提供数据备份服务，数据定期备份至异地数据中心，包含60T可用备份空间，链路以及配套软硬件。</w:t>
            </w:r>
          </w:p>
        </w:tc>
      </w:tr>
    </w:tbl>
    <w:p>
      <w:pPr>
        <w:keepNext/>
        <w:keepLines/>
        <w:spacing w:before="280" w:after="290" w:line="377" w:lineRule="auto"/>
        <w:outlineLvl w:val="4"/>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容灾备份云</w:t>
      </w:r>
      <w:r>
        <w:rPr>
          <w:rFonts w:hint="eastAsia" w:cs="Times New Roman"/>
          <w:b/>
          <w:bCs/>
          <w:szCs w:val="24"/>
          <w:lang w:val="en-US" w:eastAsia="zh-CN"/>
        </w:rPr>
        <w:t>服务器</w:t>
      </w:r>
      <w:r>
        <w:rPr>
          <w:rFonts w:hint="eastAsia" w:ascii="Times New Roman" w:hAnsi="Times New Roman" w:cs="Times New Roman"/>
          <w:b/>
          <w:bCs/>
          <w:szCs w:val="24"/>
          <w:lang w:val="en-US" w:eastAsia="zh-CN"/>
        </w:rPr>
        <w:t>资源环境及能力要求：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087"/>
        <w:gridCol w:w="2340"/>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3"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7704" w:type="dxa"/>
            <w:gridSpan w:val="3"/>
            <w:noWrap w:val="0"/>
            <w:vAlign w:val="center"/>
          </w:tcPr>
          <w:p>
            <w:pPr>
              <w:jc w:val="center"/>
              <w:rPr>
                <w:rFonts w:hint="eastAsia" w:ascii="宋体" w:hAnsi="宋体" w:eastAsia="宋体" w:cs="宋体"/>
                <w:b/>
                <w:bCs/>
                <w:sz w:val="24"/>
                <w:szCs w:val="24"/>
              </w:rPr>
            </w:pPr>
            <w:r>
              <w:rPr>
                <w:rFonts w:hint="eastAsia" w:ascii="宋体" w:hAnsi="宋体" w:eastAsia="宋体" w:cs="宋体"/>
                <w:b/>
                <w:bCs/>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23" w:type="dxa"/>
            <w:vMerge w:val="restart"/>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资源要求</w:t>
            </w:r>
          </w:p>
        </w:tc>
        <w:tc>
          <w:tcPr>
            <w:tcW w:w="2087" w:type="dxa"/>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CPU（核）</w:t>
            </w:r>
          </w:p>
        </w:tc>
        <w:tc>
          <w:tcPr>
            <w:tcW w:w="2340" w:type="dxa"/>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内存（GB）</w:t>
            </w:r>
          </w:p>
        </w:tc>
        <w:tc>
          <w:tcPr>
            <w:tcW w:w="3277" w:type="dxa"/>
            <w:noWrap w:val="0"/>
            <w:vAlign w:val="center"/>
          </w:tcPr>
          <w:p>
            <w:pPr>
              <w:jc w:val="center"/>
              <w:rPr>
                <w:rFonts w:hint="eastAsia" w:ascii="宋体" w:hAnsi="宋体" w:eastAsia="宋体" w:cs="宋体"/>
                <w:kern w:val="0"/>
                <w:szCs w:val="21"/>
              </w:rPr>
            </w:pPr>
            <w:r>
              <w:rPr>
                <w:rFonts w:hint="eastAsia" w:ascii="宋体" w:hAnsi="宋体" w:eastAsia="宋体" w:cs="宋体"/>
                <w:kern w:val="0"/>
                <w:szCs w:val="21"/>
              </w:rPr>
              <w:t>存储空间（TB）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2087" w:type="dxa"/>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160</w:t>
            </w:r>
          </w:p>
        </w:tc>
        <w:tc>
          <w:tcPr>
            <w:tcW w:w="2340" w:type="dxa"/>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320</w:t>
            </w:r>
          </w:p>
        </w:tc>
        <w:tc>
          <w:tcPr>
            <w:tcW w:w="3277" w:type="dxa"/>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23" w:type="dxa"/>
            <w:vMerge w:val="continue"/>
            <w:noWrap w:val="0"/>
            <w:vAlign w:val="center"/>
          </w:tcPr>
          <w:p>
            <w:pPr>
              <w:jc w:val="cente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投标人提供的云资源，招标人享有独立使用权，独立的网络，不接受公有云模式；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23" w:type="dxa"/>
            <w:vMerge w:val="restart"/>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基本要求</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虚拟机可以实现物理机的全部功能，如具有自己的资源（内存、CPU、网卡、存储），可以指定单独的IP地址、MAC地址等。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虚拟机之间可以做到隔离保护，其中每一个虚拟机发生故障都不会影响同一个物理机上的其它虚拟机运行，每个虚拟机上的用户权限只限于本虚拟机之内，以保障系统平台的安全性。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提供统一的虚拟机管理界面，在同一界面上提供虚拟机启动、暂停、恢复、休眠、重启、安全关闭、关闭电源、克隆、迁移、备份、快照、克隆为模板、修改等生命周期管理功能。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23" w:type="dxa"/>
            <w:vMerge w:val="continue"/>
            <w:noWrap w:val="0"/>
            <w:vAlign w:val="center"/>
          </w:tcPr>
          <w:p>
            <w:pPr>
              <w:jc w:val="cente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支持虚拟机规格的在线和离线调整，包括CPU、内存、硬盘、网卡等资源，当虚拟机操作系统本身的前提下，热添加的CPU/内存可以即时生效。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23" w:type="dxa"/>
            <w:vMerge w:val="restart"/>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宋体" w:hAnsi="宋体" w:eastAsia="宋体" w:cs="宋体"/>
                <w:b/>
                <w:bCs/>
                <w:kern w:val="0"/>
                <w:szCs w:val="21"/>
              </w:rPr>
              <w:t>资源管理能力</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支持批量修改虚拟机的配置参数，包括：CPU调度优先级、CPU个数、内存大小、I/O优先级、启动优先级、是否自动迁移、tools自动升级等，提供产品截图证明。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集群动态资源调度功能，可基于主机的CPU、内存、网络流量、连接数、磁盘IO、存储容量等资源利用率对虚拟机进行动态资源调度，实现全自动化的资源分配和负载平衡功能，主动确保云环境的服务水平，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配合负载均衡设备根据业务的负载情况实现业务系统虚拟机的动态扩展和回收，能够根据虚拟机CPU、内存、连接数、存储容量、磁盘IO等参数动态的克隆虚拟机或删除虚拟机，满足业务突发流量响应需求，实现资源的随需而动，提升资源利用率，节约投资，提供产品截图和至少3份用户使用证明。</w:t>
            </w:r>
          </w:p>
        </w:tc>
      </w:tr>
      <w:tr>
        <w:tblPrEx>
          <w:tblCellMar>
            <w:top w:w="0" w:type="dxa"/>
            <w:left w:w="108" w:type="dxa"/>
            <w:bottom w:w="0" w:type="dxa"/>
            <w:right w:w="108" w:type="dxa"/>
          </w:tblCellMar>
        </w:tblPrEx>
        <w:trPr>
          <w:trHeight w:val="696" w:hRule="atLeast"/>
          <w:jc w:val="center"/>
        </w:trPr>
        <w:tc>
          <w:tcPr>
            <w:tcW w:w="1423" w:type="dxa"/>
            <w:vMerge w:val="continue"/>
            <w:noWrap w:val="0"/>
            <w:vAlign w:val="center"/>
          </w:tcPr>
          <w:p>
            <w:pPr>
              <w:jc w:val="cente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支持当虚拟机的CPU、内存利用率超过设置的阈值时，在虚拟机操作系统本身支持资源热添加的前提下，系统将自动为该虚拟机增加相应的CPU和内存资源，无需人工干预。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23" w:type="dxa"/>
            <w:vMerge w:val="restart"/>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数据安全</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提供虚拟机快照功能，支持设置手工和定时快照将虚拟机磁盘文件和内存状态信息保存到镜像文件中。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提供虚拟机回收站功能，统一管理被删除的虚拟机，防止因虚拟机误删除导致数据丢失，支持设置回收站文件保存周期，超期的文件将被自动删除，支持批量销毁或还原虚拟机。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支持虚拟机迁移历史记录功能，记录中包含迁移的操作员、迁移方式、源主机、目的主机、开始时间、迁移耗时等信息，便于对虚拟机的迁移路径进行回溯。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423" w:type="dxa"/>
            <w:vMerge w:val="restart"/>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运维能力</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支持使用一键鼠标按钮分析虚拟机、主机历史资源使用情况，提供规划决策数据支撑。提供产品功能截图。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使用一键鼠标按钮分析后端存储上的无效镜像文件，并提供一键清理和释放存储空间能力，提升资源利用率，保障投资。要求提供CNAS认可的检测机构出具的检测报告检测结果及检测结果截图页并有制造商盖章作为证明材料，未提供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使用一键鼠标按钮快速查看、启动、删除、批量启动和批量删除长时间未使用且处于关闭状态的虚拟机，进行资源利用率统计，降低运维工作量与难度，保障投资。要求提供CNAS认可的检测机构出具的检测报告检测结果并有制造商盖章作为证明材料，未提供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支持一键切换大屏展示功能，直观展示虚拟化资源池的健康度、告警、资源使用情况等虚拟化环境，同时支持展示内容用户自定义，方便用户日常监控。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23" w:type="dxa"/>
            <w:vMerge w:val="restart"/>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防病毒能力</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虚拟化内核集成虚拟化安全防护功能模块为虚拟机提供防护，无需单独占用虚拟机资源安装安全防护功能模块，只需在虚拟化环境底层安装安全防护功能模块，不需要在每台虚拟机上安装，对每个虚拟机没有资源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23" w:type="dxa"/>
            <w:vMerge w:val="continue"/>
            <w:noWrap w:val="0"/>
            <w:vAlign w:val="center"/>
          </w:tcPr>
          <w:p>
            <w:pPr>
              <w:rPr>
                <w:rFonts w:hint="eastAsia" w:ascii="仿宋_GB2312" w:hAnsi="仿宋_GB2312" w:eastAsia="仿宋_GB2312" w:cs="仿宋_GB2312"/>
                <w:sz w:val="21"/>
                <w:szCs w:val="21"/>
              </w:rPr>
            </w:pP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支持主流Windows和Linux操作系统无代理底层防病毒能力，不需要在虚拟服务器或虚拟桌面中部署安全防护代理。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23" w:type="dxa"/>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杀毒授权</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配置杀毒AV和DPI授权，能够实现虚拟主机无代理杀毒，配置不限主机数量授权。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3" w:type="dxa"/>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迁移服务</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投标人需要提供迁移服务，负责招标人现有业务系统虚拟机和数据迁移，需要保障业务和数据的完整性。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3" w:type="dxa"/>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宋体" w:hAnsi="宋体" w:eastAsia="宋体" w:cs="宋体"/>
                <w:b/>
                <w:bCs/>
                <w:kern w:val="0"/>
                <w:szCs w:val="21"/>
              </w:rPr>
              <w:t>信息安全技术网络安全等级保护</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投标人所提供的</w:t>
            </w:r>
            <w:r>
              <w:rPr>
                <w:rFonts w:hint="eastAsia" w:ascii="宋体" w:hAnsi="宋体" w:eastAsia="宋体" w:cs="宋体"/>
                <w:kern w:val="0"/>
                <w:szCs w:val="21"/>
                <w:lang w:eastAsia="zh-CN"/>
              </w:rPr>
              <w:t>容灾备份云</w:t>
            </w:r>
            <w:r>
              <w:rPr>
                <w:rFonts w:hint="eastAsia" w:ascii="宋体" w:hAnsi="宋体" w:cs="宋体"/>
                <w:kern w:val="0"/>
                <w:szCs w:val="21"/>
                <w:lang w:val="en-US" w:eastAsia="zh-CN"/>
              </w:rPr>
              <w:t>服务器</w:t>
            </w:r>
            <w:r>
              <w:rPr>
                <w:rFonts w:hint="eastAsia" w:ascii="宋体" w:hAnsi="宋体" w:eastAsia="宋体" w:cs="宋体"/>
                <w:kern w:val="0"/>
                <w:szCs w:val="21"/>
                <w:lang w:eastAsia="zh-CN"/>
              </w:rPr>
              <w:t>资源</w:t>
            </w:r>
            <w:r>
              <w:rPr>
                <w:rFonts w:hint="eastAsia" w:ascii="宋体" w:hAnsi="宋体" w:eastAsia="宋体" w:cs="宋体"/>
                <w:kern w:val="0"/>
                <w:szCs w:val="21"/>
              </w:rPr>
              <w:t>需要满足《信息安全技术网络安全等级保护基本要求》第三级安全保护标准，等保测评得分</w:t>
            </w:r>
            <w:r>
              <w:rPr>
                <w:rFonts w:hint="eastAsia" w:ascii="宋体" w:hAnsi="宋体" w:eastAsia="宋体" w:cs="宋体"/>
                <w:kern w:val="0"/>
                <w:szCs w:val="21"/>
                <w:lang w:val="en-US" w:eastAsia="zh-CN"/>
              </w:rPr>
              <w:t>需</w:t>
            </w:r>
            <w:r>
              <w:rPr>
                <w:rFonts w:hint="eastAsia" w:ascii="宋体" w:hAnsi="宋体" w:eastAsia="宋体" w:cs="宋体"/>
                <w:kern w:val="0"/>
                <w:szCs w:val="21"/>
              </w:rPr>
              <w:t>在85分以上</w:t>
            </w:r>
            <w:r>
              <w:rPr>
                <w:rFonts w:hint="eastAsia" w:ascii="宋体" w:hAnsi="宋体" w:eastAsia="宋体" w:cs="宋体"/>
                <w:kern w:val="0"/>
                <w:szCs w:val="21"/>
                <w:lang w:val="en-US" w:eastAsia="zh-CN"/>
              </w:rPr>
              <w:t>并提供测评报告</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3" w:type="dxa"/>
            <w:noWrap w:val="0"/>
            <w:vAlign w:val="center"/>
          </w:tcPr>
          <w:p>
            <w:pPr>
              <w:ind w:left="0" w:leftChars="0" w:firstLine="0" w:firstLineChars="0"/>
              <w:jc w:val="both"/>
              <w:rPr>
                <w:rFonts w:hint="eastAsia" w:ascii="仿宋_GB2312" w:hAnsi="仿宋_GB2312" w:eastAsia="仿宋_GB2312" w:cs="仿宋_GB2312"/>
                <w:sz w:val="21"/>
                <w:szCs w:val="21"/>
              </w:rPr>
            </w:pPr>
            <w:r>
              <w:rPr>
                <w:rFonts w:hint="eastAsia" w:ascii="宋体" w:hAnsi="宋体" w:eastAsia="宋体" w:cs="宋体"/>
                <w:b/>
                <w:bCs/>
                <w:kern w:val="0"/>
                <w:szCs w:val="21"/>
              </w:rPr>
              <w:t>商用密码应用安全性评估</w:t>
            </w:r>
          </w:p>
        </w:tc>
        <w:tc>
          <w:tcPr>
            <w:tcW w:w="7704" w:type="dxa"/>
            <w:gridSpan w:val="3"/>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投标人所提供的</w:t>
            </w:r>
            <w:r>
              <w:rPr>
                <w:rFonts w:hint="eastAsia" w:ascii="宋体" w:hAnsi="宋体" w:eastAsia="宋体" w:cs="宋体"/>
                <w:kern w:val="0"/>
                <w:szCs w:val="21"/>
                <w:lang w:eastAsia="zh-CN"/>
              </w:rPr>
              <w:t>容灾备份云</w:t>
            </w:r>
            <w:r>
              <w:rPr>
                <w:rFonts w:hint="eastAsia" w:ascii="宋体" w:hAnsi="宋体" w:cs="宋体"/>
                <w:kern w:val="0"/>
                <w:szCs w:val="21"/>
                <w:lang w:val="en-US" w:eastAsia="zh-CN"/>
              </w:rPr>
              <w:t>服务器</w:t>
            </w:r>
            <w:r>
              <w:rPr>
                <w:rFonts w:hint="eastAsia" w:ascii="宋体" w:hAnsi="宋体" w:eastAsia="宋体" w:cs="宋体"/>
                <w:kern w:val="0"/>
                <w:szCs w:val="21"/>
                <w:lang w:eastAsia="zh-CN"/>
              </w:rPr>
              <w:t>资源</w:t>
            </w:r>
            <w:r>
              <w:rPr>
                <w:rFonts w:hint="eastAsia" w:ascii="宋体" w:hAnsi="宋体" w:eastAsia="宋体" w:cs="宋体"/>
                <w:kern w:val="0"/>
                <w:szCs w:val="21"/>
              </w:rPr>
              <w:t>在通过《信息安全技术 网络安全等级保护基本要求》第三级安全保护标准评测后，需要通过商用密码应用安全性评估，密码测评得分需到70分及以上并提供测评报告。</w:t>
            </w:r>
          </w:p>
        </w:tc>
      </w:tr>
    </w:tbl>
    <w:p>
      <w:pPr>
        <w:keepNext/>
        <w:keepLines/>
        <w:spacing w:before="280" w:after="290" w:line="377" w:lineRule="auto"/>
        <w:outlineLvl w:val="4"/>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容灾备份云</w:t>
      </w:r>
      <w:r>
        <w:rPr>
          <w:rFonts w:hint="eastAsia" w:cs="Times New Roman"/>
          <w:b/>
          <w:bCs/>
          <w:szCs w:val="24"/>
          <w:lang w:val="en-US" w:eastAsia="zh-CN"/>
        </w:rPr>
        <w:t>服务器</w:t>
      </w:r>
      <w:r>
        <w:rPr>
          <w:rFonts w:hint="eastAsia" w:ascii="Times New Roman" w:hAnsi="Times New Roman" w:cs="Times New Roman"/>
          <w:b/>
          <w:bCs/>
          <w:szCs w:val="24"/>
          <w:lang w:val="en-US" w:eastAsia="zh-CN"/>
        </w:rPr>
        <w:t>资源硬件环境要求：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Header/>
          <w:jc w:val="center"/>
        </w:trPr>
        <w:tc>
          <w:tcPr>
            <w:tcW w:w="1257" w:type="dxa"/>
            <w:noWrap w:val="0"/>
            <w:vAlign w:val="center"/>
          </w:tcPr>
          <w:p>
            <w:pPr>
              <w:ind w:left="0" w:leftChars="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指标项</w:t>
            </w:r>
          </w:p>
        </w:tc>
        <w:tc>
          <w:tcPr>
            <w:tcW w:w="7951" w:type="dxa"/>
            <w:noWrap w:val="0"/>
            <w:vAlign w:val="center"/>
          </w:tcPr>
          <w:p>
            <w:pPr>
              <w:ind w:left="0" w:leftChars="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机房总</w:t>
            </w:r>
            <w:r>
              <w:rPr>
                <w:rFonts w:hint="eastAsia" w:ascii="宋体" w:hAnsi="宋体" w:eastAsia="宋体" w:cs="宋体"/>
                <w:b/>
                <w:bCs/>
                <w:kern w:val="0"/>
                <w:szCs w:val="21"/>
              </w:rPr>
              <w:br w:type="textWrapping"/>
            </w:r>
            <w:r>
              <w:rPr>
                <w:rFonts w:hint="eastAsia" w:ascii="宋体" w:hAnsi="宋体" w:eastAsia="宋体" w:cs="宋体"/>
                <w:b/>
                <w:bCs/>
                <w:kern w:val="0"/>
                <w:szCs w:val="21"/>
              </w:rPr>
              <w:t>体要求</w:t>
            </w:r>
          </w:p>
        </w:tc>
        <w:tc>
          <w:tcPr>
            <w:tcW w:w="7951" w:type="dxa"/>
            <w:noWrap w:val="0"/>
            <w:vAlign w:val="center"/>
          </w:tcPr>
          <w:p>
            <w:pPr>
              <w:rPr>
                <w:rFonts w:hint="eastAsia" w:ascii="仿宋_GB2312" w:hAnsi="仿宋_GB2312" w:eastAsia="仿宋_GB2312" w:cs="仿宋_GB2312"/>
                <w:i/>
                <w:sz w:val="21"/>
                <w:szCs w:val="21"/>
                <w:u w:val="single"/>
              </w:rPr>
            </w:pPr>
            <w:r>
              <w:rPr>
                <w:rFonts w:hint="eastAsia" w:ascii="宋体" w:hAnsi="宋体" w:eastAsia="宋体" w:cs="宋体"/>
                <w:kern w:val="0"/>
                <w:szCs w:val="21"/>
              </w:rPr>
              <w:t>★投标方提供的机房建设标准必须满足《信息安全等级保护管理办法》第三级安全保护标准，提供公安机关出具的证书文件。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★投标方提供的机房建设标准必须满足国家标准《数据中心设计规范》（GB 50174-2017）A 级机房标准或国际T3标准，提供相关证明材料。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机房所在地应交通方便，周边 500 米范围内不得有下列危险：水灾、泥石流等灾害威胁、国家重点基础设施或重大军事目标、强腐蚀源、污染源、强电磁、有害气体、强震动源、容易发生群体事件场所、易燃易爆源；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投标方提供服务的数据中心应具有极高的安全性、可用性设计，包括建筑结构、系统冗余能力、物理安全考虑、人员设备控制、消防安全考虑、应急能力、防电磁辐射、防雷、防水、防静电等；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投标机房产权所有人应提供房屋所有权证明文件或由政府批复的土地使用确认证明，并提供相应的证明文件；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noWrap w:val="0"/>
            <w:vAlign w:val="center"/>
          </w:tcPr>
          <w:p>
            <w:pPr>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宋体" w:hAnsi="宋体" w:eastAsia="宋体" w:cs="宋体"/>
                <w:b/>
                <w:bCs/>
                <w:kern w:val="0"/>
                <w:szCs w:val="21"/>
              </w:rPr>
              <w:t>机房定</w:t>
            </w:r>
            <w:r>
              <w:rPr>
                <w:rFonts w:hint="eastAsia" w:ascii="宋体" w:hAnsi="宋体" w:eastAsia="宋体" w:cs="宋体"/>
                <w:b/>
                <w:bCs/>
                <w:kern w:val="0"/>
                <w:szCs w:val="21"/>
              </w:rPr>
              <w:br w:type="textWrapping"/>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制化要</w:t>
            </w:r>
            <w:r>
              <w:rPr>
                <w:rFonts w:hint="eastAsia" w:ascii="宋体" w:hAnsi="宋体" w:eastAsia="宋体" w:cs="宋体"/>
                <w:b/>
                <w:bCs/>
                <w:kern w:val="0"/>
                <w:szCs w:val="21"/>
              </w:rPr>
              <w:br w:type="textWrapping"/>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求</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★提供租赁机房区域要求为独立连续的空间内（须提供图纸）。</w:t>
            </w:r>
          </w:p>
          <w:p>
            <w:pPr>
              <w:rPr>
                <w:rFonts w:hint="eastAsia" w:ascii="仿宋_GB2312" w:hAnsi="仿宋_GB2312" w:eastAsia="仿宋_GB2312" w:cs="仿宋_GB2312"/>
                <w:color w:val="000000"/>
                <w:sz w:val="21"/>
                <w:szCs w:val="21"/>
              </w:rPr>
            </w:pPr>
            <w:r>
              <w:rPr>
                <w:rFonts w:hint="eastAsia" w:ascii="宋体" w:hAnsi="宋体" w:eastAsia="宋体" w:cs="宋体"/>
                <w:kern w:val="0"/>
                <w:szCs w:val="21"/>
              </w:rPr>
              <w:t>所在专有区域需安装视频监控录像装置，连续视频监控记录应保存至少90天，机房实行封闭式管理，并按照门禁系统，机房应设置防盗报警系统。应对机房所在区域出入人员身份执行审批审核流程，并记录出入人员信息、进出时间、工作内容等，相关记录应保存至少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noWrap w:val="0"/>
            <w:vAlign w:val="center"/>
          </w:tcPr>
          <w:p>
            <w:pPr>
              <w:ind w:left="0" w:leftChars="0" w:firstLine="0" w:firstLineChars="0"/>
              <w:rPr>
                <w:rFonts w:hint="eastAsia" w:ascii="仿宋_GB2312" w:hAnsi="仿宋_GB2312" w:eastAsia="仿宋_GB2312" w:cs="仿宋_GB2312"/>
                <w:color w:val="000000"/>
                <w:sz w:val="21"/>
                <w:szCs w:val="21"/>
              </w:rPr>
            </w:pPr>
            <w:r>
              <w:rPr>
                <w:rFonts w:hint="eastAsia" w:ascii="宋体" w:hAnsi="宋体" w:eastAsia="宋体" w:cs="宋体"/>
                <w:b/>
                <w:bCs/>
                <w:kern w:val="0"/>
                <w:szCs w:val="21"/>
              </w:rPr>
              <w:t>机柜要求</w:t>
            </w:r>
          </w:p>
        </w:tc>
        <w:tc>
          <w:tcPr>
            <w:tcW w:w="7951" w:type="dxa"/>
            <w:noWrap w:val="0"/>
            <w:vAlign w:val="center"/>
          </w:tcPr>
          <w:p>
            <w:pPr>
              <w:rPr>
                <w:rFonts w:hint="eastAsia" w:ascii="仿宋_GB2312" w:hAnsi="仿宋_GB2312" w:eastAsia="仿宋_GB2312" w:cs="仿宋_GB2312"/>
                <w:color w:val="000000"/>
                <w:sz w:val="21"/>
                <w:szCs w:val="21"/>
              </w:rPr>
            </w:pPr>
            <w:r>
              <w:rPr>
                <w:rFonts w:hint="eastAsia" w:ascii="宋体" w:hAnsi="宋体" w:eastAsia="宋体" w:cs="宋体"/>
                <w:kern w:val="0"/>
                <w:szCs w:val="21"/>
              </w:rPr>
              <w:t>提供同模块连续机柜（含电费），单机柜额定功率不低于4.5KW（如不满足，可根据功率核算，调整机柜数量），机柜须满足标准19英寸机架设备安装上架要求，机柜尺寸不小于600×1200×2000mm，可用空间不小于42U。（须提供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机房综</w:t>
            </w:r>
            <w:r>
              <w:rPr>
                <w:rFonts w:hint="eastAsia" w:ascii="宋体" w:hAnsi="宋体" w:eastAsia="宋体" w:cs="宋体"/>
                <w:b/>
                <w:bCs/>
                <w:kern w:val="0"/>
                <w:szCs w:val="21"/>
              </w:rPr>
              <w:br w:type="textWrapping"/>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合布线</w:t>
            </w:r>
            <w:r>
              <w:rPr>
                <w:rFonts w:hint="eastAsia" w:ascii="宋体" w:hAnsi="宋体" w:eastAsia="宋体" w:cs="宋体"/>
                <w:b/>
                <w:bCs/>
                <w:kern w:val="0"/>
                <w:szCs w:val="21"/>
              </w:rPr>
              <w:br w:type="textWrapping"/>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要求</w:t>
            </w: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投标方须提供根据招标方需求在机柜所在机房区域内完成综合布线，线缆敷设在所在区域桥架机柜内，对强弱电进行分离，规范整齐。所在区域内的线缆按照招标方要求进行标签标识；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缆线采用线槽或桥架敷设时，线槽或桥架的安装位置应与建筑装饰、电气、空调、消防等专业协调一致。应将通信线缆铺设在专用线槽内，强弱电缆需隔离铺设间隔不小于300mm，并进行统一标识；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综合布线系统应选用有质量保证产品；综合布线系统应满足ANSI/TIA/EIA 568B、ANSI/TIA/EIA 569A、NSI/TIA/EIA-606、ANSI/TIA/EIA-607/《综合布线系统工程设计规范》GB50311-2016/《综合布线系统工程验收规范》GB50312-2016等标准要求；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rPr>
              <w:t>机房建</w:t>
            </w:r>
            <w:r>
              <w:rPr>
                <w:rFonts w:hint="eastAsia" w:ascii="宋体" w:hAnsi="宋体" w:eastAsia="宋体" w:cs="宋体"/>
                <w:b/>
                <w:bCs/>
                <w:kern w:val="0"/>
                <w:szCs w:val="21"/>
              </w:rPr>
              <w:br w:type="textWrapping"/>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筑要求</w:t>
            </w: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机房所在建筑物须为机房专用的独栋建筑，建筑内不含有数据中心以外其他不相关业务用途；并根据信息系统机房应用的特点和特殊需要，在功能分区划分和平面布置、建筑结构上采取相应的技术措施；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机房所在建筑物抗震等级为 8 级；建筑结构安全等级为 A 级；机房耐火等级不低于乙级；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机房活荷载承重量不低于标准值 8-10（kN/㎡）；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供配电</w:t>
            </w:r>
            <w:r>
              <w:rPr>
                <w:rFonts w:hint="eastAsia" w:ascii="宋体" w:hAnsi="宋体" w:eastAsia="宋体" w:cs="宋体"/>
                <w:b/>
                <w:bCs/>
                <w:kern w:val="0"/>
                <w:szCs w:val="21"/>
              </w:rPr>
              <w:br w:type="textWrapping"/>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要求</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机房采用双路市电供电，两路市电应该来自不同的供电站；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IT系统供电与空调等动力供电分开。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末端配电：每台机柜配置 A\B 双路 PDU（来自不同的 UPS 系统供电）；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 UPS 及电池均应采用有质量保证的产品，并至少采用 3N 冗余方式。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满载情况下电池后备时间应不低于 15 分钟，招标人租赁机房区域内每个机柜要求由分别来源于两路 UPS 的两路电力供应（提供竣工验收资料）；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柴油发电机配备 (N+X)冗余（X=1～N）后备柴油发电机系统（提供竣工验收资料）；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投标方提供服务的数据中心内应设置有大容量油库，发电机燃油储备应能满足所有发电机组满载运行不低于 8 小时，并可不停机加油。此外，投标方应与附近油站签署有优先供油保障协议，可确保发电机燃油在 8 小时内获得补充。储油设施应符合国家相关标准规范要求（提供供油保障协议）；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柴油发电机组应具有自动启动、自动切换、自动停机功能，应急电源与正常电源之间必须采取防止并列运行的措施。发电机组自启动到具备供电条件的时长原则上应小于 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制冷要求</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机房精密空调应配备 N+X 冗余（X=1～N）机房专用空调（提供竣工验收资料）；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保持机房温度（开机时）23℃±1℃ ，相对湿度（开机时）40%-60%，不结露。按冷、热通道分离布置。空调机房需独立，与IT机房物理隔离；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防雷接</w:t>
            </w:r>
            <w:r>
              <w:rPr>
                <w:rFonts w:hint="eastAsia" w:ascii="宋体" w:hAnsi="宋体" w:eastAsia="宋体" w:cs="宋体"/>
                <w:b/>
                <w:bCs/>
                <w:kern w:val="0"/>
                <w:szCs w:val="21"/>
                <w:lang w:val="en-US" w:eastAsia="zh-CN"/>
              </w:rPr>
              <w:br w:type="textWrapping"/>
            </w:r>
            <w:r>
              <w:rPr>
                <w:rFonts w:hint="eastAsia" w:ascii="宋体" w:hAnsi="宋体" w:eastAsia="宋体" w:cs="宋体"/>
                <w:b/>
                <w:bCs/>
                <w:kern w:val="0"/>
                <w:szCs w:val="21"/>
                <w:lang w:val="en-US" w:eastAsia="zh-CN"/>
              </w:rPr>
              <w:t xml:space="preserve"> 地要求</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机房建筑设置有避雷装置，能够防范直击雷的危害；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应设置交流电源地线，应设置通过国家认证的防雷装置，投标方须提供相关资质证明。防止感应雷，采用共用接地系统，在供电系统做好三级防雷措施。（提供专业检测机构出具的《机房防雷接地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消防要求</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机房区域的消防系统采用极早期火灾探测报警系统，火灾探测点应采取多层部署方式并应具有地址编码及电子地图，接入到火灾自动报警系统，提供集中式灭火报警系统；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投标方提供服务的机房场地及配电室应设置感温、感烟双重报警系统。采用 IG541 或 FM200 环保洁净气体灭火系统。气体释放喷头应采取多路部署，分区灭火方式。无水管经过 IT 设备放置的机房区域；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消防中控室应配置有 7×24 小时专职消防监控人员，实时监控火灾自动报警系统；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机房内应设置有独立的消防排烟系统；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投标方提供服务的数据中心的消防设施及管理应符合消防规范要求，并通过主管部门验收和年检，投标方应提供相关证明材料；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 xml:space="preserve"> 多运营</w:t>
            </w:r>
            <w:r>
              <w:rPr>
                <w:rFonts w:hint="eastAsia" w:ascii="宋体" w:hAnsi="宋体" w:eastAsia="宋体" w:cs="宋体"/>
                <w:b/>
                <w:bCs/>
                <w:kern w:val="0"/>
                <w:szCs w:val="21"/>
                <w:lang w:val="en-US" w:eastAsia="zh-CN"/>
              </w:rPr>
              <w:br w:type="textWrapping"/>
            </w:r>
            <w:r>
              <w:rPr>
                <w:rFonts w:hint="eastAsia" w:ascii="宋体" w:hAnsi="宋体" w:eastAsia="宋体" w:cs="宋体"/>
                <w:b/>
                <w:bCs/>
                <w:kern w:val="0"/>
                <w:szCs w:val="21"/>
                <w:lang w:val="en-US" w:eastAsia="zh-CN"/>
              </w:rPr>
              <w:t xml:space="preserve"> 商线路</w:t>
            </w:r>
            <w:r>
              <w:rPr>
                <w:rFonts w:hint="eastAsia" w:ascii="宋体" w:hAnsi="宋体" w:eastAsia="宋体" w:cs="宋体"/>
                <w:b/>
                <w:bCs/>
                <w:kern w:val="0"/>
                <w:szCs w:val="21"/>
                <w:lang w:val="en-US" w:eastAsia="zh-CN"/>
              </w:rPr>
              <w:br w:type="textWrapping"/>
            </w:r>
            <w:r>
              <w:rPr>
                <w:rFonts w:hint="eastAsia" w:ascii="宋体" w:hAnsi="宋体" w:eastAsia="宋体" w:cs="宋体"/>
                <w:b/>
                <w:bCs/>
                <w:kern w:val="0"/>
                <w:szCs w:val="21"/>
                <w:lang w:val="en-US" w:eastAsia="zh-CN"/>
              </w:rPr>
              <w:t xml:space="preserve"> 接入</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应满足全部基础运营商和运营商互联网、专线、裸光纤以及政务外网接入路由空间，满足招标人未来的网络接入；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各运营商节点机房为独立空间，传输设备、管井等资源满足多条专线布设开通条件并具备后期扩展能力，传输设备应便于维护；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承诺机房能够支持国家电子政务外网的接入，并提供相应的配合服务；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restart"/>
            <w:noWrap w:val="0"/>
            <w:vAlign w:val="center"/>
          </w:tcPr>
          <w:p>
            <w:pPr>
              <w:ind w:left="0" w:leftChars="0" w:firstLine="0" w:firstLineChars="0"/>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 xml:space="preserve">  机房运</w:t>
            </w:r>
            <w:r>
              <w:rPr>
                <w:rFonts w:hint="eastAsia" w:ascii="宋体" w:hAnsi="宋体" w:eastAsia="宋体" w:cs="宋体"/>
                <w:b/>
                <w:bCs/>
                <w:kern w:val="0"/>
                <w:szCs w:val="21"/>
                <w:lang w:val="en-US" w:eastAsia="zh-CN"/>
              </w:rPr>
              <w:br w:type="textWrapping"/>
            </w:r>
            <w:r>
              <w:rPr>
                <w:rFonts w:hint="eastAsia" w:ascii="宋体" w:hAnsi="宋体" w:eastAsia="宋体" w:cs="宋体"/>
                <w:b/>
                <w:bCs/>
                <w:kern w:val="0"/>
                <w:szCs w:val="21"/>
                <w:lang w:val="en-US" w:eastAsia="zh-CN"/>
              </w:rPr>
              <w:t xml:space="preserve">  维要求</w:t>
            </w: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机房所在建筑物入口处应安装出入控制和安全防护装置，并对出入人员和所带物品应进行安全检查；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机房应配备 7×24 小时值班保安人员，负责机房的安全保卫工作；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数据中心设有环境监控系统，并配备监控大屏，屏幕尺寸不低于20 m2，对机房相关基础设施运行状态和故障进行 7×24 小时监控；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机房应配备 7×24 小时值班基础设施管理员，负责机房的日常维护、事件应急、故障处置等工作；机房的基础设施日常巡检工作，每日巡检次数不少于六次；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机房区域应为独立、封闭区域，并配置有门禁访问控制措施、视频监控、安全检查措施，并有 7×24 小时安保人员值班对进出机房的人员、设备进行检查、核实、放行。有多个出入口时，每个出入口都应有周全的人员、设备进出控制措施，以确保机房安全；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应为招标人租赁区域出入口设置门禁控制系统，划分不同人员进出不同区域的权限。未经招标人授权的人员（包括投标方机房工作人员）不得进入；门禁控制系统应保存有完整的人员进出记录，人员进出记录要求至少保留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投标方须保证招标人及备案的项目组成员无条件（含封网期间）随时进入所租赁机房区域进行操作，并提供配合；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应为招标人租赁机房区域部署高清视频监控系统，实现对所有通道、区域、设备的监控，且监控区域无死角。视频监控数据应至少保存 90 天且供招标人随时调阅查看；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向招标人租赁机房区域提供包括供变配电、UPS、电池、空调及新风系统的设备系统监测服务、运行区温湿度及漏水监测、末端配电监测；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在进行重大变更时，应提前至少 20 个工作日通过书面方式通知可能受到影响的招标人；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应至少每季度一次向招标人提供服务报告，包括监控及巡检、日常维护、应急处理工作等；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57" w:type="dxa"/>
            <w:vMerge w:val="continue"/>
            <w:noWrap w:val="0"/>
            <w:vAlign w:val="center"/>
          </w:tcPr>
          <w:p>
            <w:pPr>
              <w:rPr>
                <w:rFonts w:hint="eastAsia" w:ascii="仿宋_GB2312" w:hAnsi="仿宋_GB2312" w:eastAsia="仿宋_GB2312" w:cs="仿宋_GB2312"/>
                <w:sz w:val="21"/>
                <w:szCs w:val="21"/>
              </w:rPr>
            </w:pPr>
          </w:p>
        </w:tc>
        <w:tc>
          <w:tcPr>
            <w:tcW w:w="7951" w:type="dxa"/>
            <w:noWrap w:val="0"/>
            <w:vAlign w:val="center"/>
          </w:tcPr>
          <w:p>
            <w:pPr>
              <w:rPr>
                <w:rFonts w:hint="eastAsia" w:ascii="宋体" w:hAnsi="宋体" w:eastAsia="宋体" w:cs="宋体"/>
                <w:kern w:val="0"/>
                <w:szCs w:val="21"/>
              </w:rPr>
            </w:pPr>
            <w:r>
              <w:rPr>
                <w:rFonts w:hint="eastAsia" w:ascii="宋体" w:hAnsi="宋体" w:eastAsia="宋体" w:cs="宋体"/>
                <w:kern w:val="0"/>
                <w:szCs w:val="21"/>
              </w:rPr>
              <w:t>应提供数据中心保洁、卫生等日常工作，随时保持数据中整洁。</w:t>
            </w:r>
          </w:p>
        </w:tc>
      </w:tr>
    </w:tbl>
    <w:p>
      <w:pPr>
        <w:keepNext/>
        <w:keepLines/>
        <w:spacing w:before="280" w:after="290" w:line="377" w:lineRule="auto"/>
        <w:outlineLvl w:val="4"/>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容灾备份服务链路资源要求：</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1"/>
        <w:gridCol w:w="7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指标内容</w:t>
            </w:r>
          </w:p>
        </w:tc>
        <w:tc>
          <w:tcPr>
            <w:tcW w:w="7863"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 xml:space="preserve">  带宽</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kern w:val="0"/>
                <w:szCs w:val="21"/>
              </w:rPr>
              <w:t>端到端的数据传输</w:t>
            </w:r>
            <w:r>
              <w:rPr>
                <w:rFonts w:hint="eastAsia" w:ascii="宋体" w:hAnsi="宋体" w:eastAsia="宋体" w:cs="宋体"/>
                <w:kern w:val="0"/>
                <w:szCs w:val="21"/>
                <w:lang w:val="en-US" w:eastAsia="zh-CN"/>
              </w:rPr>
              <w:t>带宽</w:t>
            </w:r>
            <w:r>
              <w:rPr>
                <w:rFonts w:hint="eastAsia" w:ascii="宋体" w:hAnsi="宋体" w:eastAsia="宋体" w:cs="宋体"/>
                <w:kern w:val="0"/>
                <w:szCs w:val="21"/>
              </w:rPr>
              <w:t>不低于</w:t>
            </w:r>
            <w:r>
              <w:rPr>
                <w:rFonts w:hint="eastAsia" w:ascii="宋体" w:hAnsi="宋体" w:eastAsia="宋体" w:cs="宋体"/>
                <w:kern w:val="0"/>
                <w:szCs w:val="21"/>
                <w:lang w:val="en-US" w:eastAsia="zh-CN"/>
              </w:rPr>
              <w:t>100m</w:t>
            </w:r>
            <w:r>
              <w:rPr>
                <w:rFonts w:hint="eastAsia" w:ascii="宋体" w:hAnsi="宋体" w:eastAsia="宋体" w:cs="宋体"/>
                <w:kern w:val="0"/>
                <w:szCs w:val="21"/>
              </w:rPr>
              <w:t>，预留电路扩容空间，保证后期电路带宽平滑升级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时延</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端到端不丢包情况下的网络转发数据所用时间，包括传输时延和传输节点处理时延。跨省、跨市时延：0.8ms/百公里（单向时延）；本地网内≤10ms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丢包率</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在网络稳定状态下由于网络资源缺乏造成的不能转发的数据帧和总数据帧的百分比。从客户端PING至少1000个IP包，丢失的IP包与所有IP包的比值，在正常带宽负荷下（负荷小于70％）≤0.1%（挂表测试为准）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可用率</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挂表测试、网管监控，按单条电路使用情况计算：≥99.96%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 xml:space="preserve"> 组网保障</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提供的AAA级别的传输电路能够确保骨干层及局间网络两个层面的自愈保护及可监控，接入层做到物理双路由及自愈保护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 xml:space="preserve">  性能监控</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监控层面可以提供针对客户的365*24*7小时监控，确保传输设备性能、告警及业务性能如发生故障及性能下降时提前进行处理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宋体" w:hAnsi="宋体" w:eastAsia="宋体" w:cs="宋体"/>
                <w:b/>
                <w:bCs/>
                <w:kern w:val="0"/>
                <w:szCs w:val="21"/>
                <w:lang w:val="en-US" w:eastAsia="zh-CN"/>
              </w:rPr>
              <w:t>设备巡检</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提供应急演练及日常巡检，来随时确保业务的可用性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 xml:space="preserve"> 故障处理</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如发生故障，在2小时内对业务进行抢通恢复（除不可抗力原因外）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仿宋_GB2312" w:hAnsi="仿宋_GB2312" w:eastAsia="仿宋_GB2312" w:cs="仿宋_GB2312"/>
                <w:sz w:val="21"/>
                <w:szCs w:val="21"/>
              </w:rPr>
            </w:pPr>
            <w:r>
              <w:rPr>
                <w:rFonts w:hint="eastAsia" w:ascii="宋体" w:hAnsi="宋体" w:eastAsia="宋体" w:cs="宋体"/>
                <w:b/>
                <w:bCs/>
                <w:kern w:val="0"/>
                <w:szCs w:val="21"/>
                <w:lang w:val="en-US" w:eastAsia="zh-CN"/>
              </w:rPr>
              <w:t>重点业务保障</w:t>
            </w:r>
          </w:p>
        </w:tc>
        <w:tc>
          <w:tcPr>
            <w:tcW w:w="7863"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kern w:val="0"/>
                <w:szCs w:val="21"/>
              </w:rPr>
              <w:t>提供故障的绿色通报申报途径，如遇到用户需重点保障及业务高峰期，可提供7*24*365小时的重点保障</w:t>
            </w:r>
          </w:p>
        </w:tc>
      </w:tr>
    </w:tbl>
    <w:p/>
    <w:sectPr>
      <w:footerReference r:id="rId7" w:type="first"/>
      <w:footerReference r:id="rId5" w:type="default"/>
      <w:footerReference r:id="rId6" w:type="even"/>
      <w:pgSz w:w="11906" w:h="16838"/>
      <w:pgMar w:top="1418" w:right="1588" w:bottom="1418" w:left="1365" w:header="851" w:footer="907" w:gutter="0"/>
      <w:cols w:space="720" w:num="1"/>
      <w:titlePg/>
      <w:docGrid w:type="lines" w:linePitch="2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169"/>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96850"/>
              <wp:effectExtent l="0" t="0" r="0" b="3175"/>
              <wp:wrapNone/>
              <wp:docPr id="2" name="文本框 13"/>
              <wp:cNvGraphicFramePr/>
              <a:graphic xmlns:a="http://schemas.openxmlformats.org/drawingml/2006/main">
                <a:graphicData uri="http://schemas.microsoft.com/office/word/2010/wordprocessingShape">
                  <wps:wsp>
                    <wps:cNvSpPr>
                      <a:spLocks noChangeArrowheads="1"/>
                    </wps:cNvSpPr>
                    <wps:spPr bwMode="auto">
                      <a:xfrm>
                        <a:off x="0" y="0"/>
                        <a:ext cx="114935" cy="19685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13" o:spid="_x0000_s1026" o:spt="1" style="position:absolute;left:0pt;margin-top:0pt;height:15.5pt;width:9.05pt;mso-position-horizontal:center;mso-position-horizontal-relative:margin;mso-wrap-style:none;z-index:251660288;mso-width-relative:page;mso-height-relative:page;" filled="f" stroked="f" coordsize="21600,21600" o:gfxdata="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jFFy0QAAAAMBAAAPAAAAAAAAAAEAIAAAACIAAABkcnMvZG93&#10;bnJldi54bWxQSwECFAAUAAAACACHTuJAIyfRYAcCAAD5AwAADgAAAAAAAAABACAAAAAg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rect>
          </w:pict>
        </mc:Fallback>
      </mc:AlternateContent>
    </w:r>
  </w:p>
  <w:p>
    <w:pPr>
      <w:pStyle w:val="20"/>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169"/>
      </w:rPr>
    </w:pPr>
    <w:r>
      <w:fldChar w:fldCharType="begin"/>
    </w:r>
    <w:r>
      <w:rPr>
        <w:rStyle w:val="169"/>
      </w:rPr>
      <w:instrText xml:space="preserve">PAGE  </w:instrText>
    </w:r>
    <w:r>
      <w:fldChar w:fldCharType="separate"/>
    </w:r>
    <w:r>
      <w:rPr>
        <w:rStyle w:val="169"/>
      </w:rPr>
      <w:t>1</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3175"/>
              <wp:wrapNone/>
              <wp:docPr id="1" name="文本框 12"/>
              <wp:cNvGraphicFramePr/>
              <a:graphic xmlns:a="http://schemas.openxmlformats.org/drawingml/2006/main">
                <a:graphicData uri="http://schemas.microsoft.com/office/word/2010/wordprocessingShape">
                  <wps:wsp>
                    <wps:cNvSpPr>
                      <a:spLocks noChangeArrowheads="1"/>
                    </wps:cNvSpPr>
                    <wps:spPr bwMode="auto">
                      <a:xfrm>
                        <a:off x="0" y="0"/>
                        <a:ext cx="114935" cy="19685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12" o:spid="_x0000_s1026" o:spt="1"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MUXLRAAAAAwEAAA8AAAAAAAAAAQAgAAAAIgAAAGRycy9kb3du&#10;cmV2LnhtbFBLAQIUABQAAAAIAIdO4kAoTLghBgIAAPkDAAAOAAAAAAAAAAEAIAAAACA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00000002"/>
    <w:multiLevelType w:val="singleLevel"/>
    <w:tmpl w:val="00000002"/>
    <w:lvl w:ilvl="0" w:tentative="0">
      <w:start w:val="1"/>
      <w:numFmt w:val="upperLetter"/>
      <w:pStyle w:val="111"/>
      <w:lvlText w:val="附录%1."/>
      <w:lvlJc w:val="left"/>
      <w:pPr>
        <w:tabs>
          <w:tab w:val="left" w:pos="907"/>
        </w:tabs>
        <w:ind w:left="907" w:hanging="907"/>
      </w:pPr>
      <w:rPr>
        <w:rFonts w:hint="eastAsia"/>
      </w:rPr>
    </w:lvl>
  </w:abstractNum>
  <w:abstractNum w:abstractNumId="2">
    <w:nsid w:val="00000003"/>
    <w:multiLevelType w:val="multilevel"/>
    <w:tmpl w:val="00000003"/>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4"/>
    <w:multiLevelType w:val="multilevel"/>
    <w:tmpl w:val="00000004"/>
    <w:lvl w:ilvl="0" w:tentative="0">
      <w:start w:val="1"/>
      <w:numFmt w:val="bullet"/>
      <w:pStyle w:val="7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00000005"/>
    <w:multiLevelType w:val="multilevel"/>
    <w:tmpl w:val="00000005"/>
    <w:lvl w:ilvl="0" w:tentative="0">
      <w:start w:val="1"/>
      <w:numFmt w:val="decimal"/>
      <w:pStyle w:val="78"/>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6"/>
    <w:multiLevelType w:val="singleLevel"/>
    <w:tmpl w:val="00000006"/>
    <w:lvl w:ilvl="0" w:tentative="0">
      <w:start w:val="1"/>
      <w:numFmt w:val="decimal"/>
      <w:pStyle w:val="154"/>
      <w:lvlText w:val="%1."/>
      <w:lvlJc w:val="left"/>
      <w:pPr>
        <w:tabs>
          <w:tab w:val="left" w:pos="680"/>
        </w:tabs>
        <w:ind w:left="0" w:firstLine="284"/>
      </w:pPr>
      <w:rPr>
        <w:rFonts w:hint="eastAsia"/>
      </w:rPr>
    </w:lvl>
  </w:abstractNum>
  <w:abstractNum w:abstractNumId="6">
    <w:nsid w:val="0000000B"/>
    <w:multiLevelType w:val="multilevel"/>
    <w:tmpl w:val="0000000B"/>
    <w:lvl w:ilvl="0" w:tentative="0">
      <w:start w:val="1"/>
      <w:numFmt w:val="bullet"/>
      <w:pStyle w:val="6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0000000C"/>
    <w:multiLevelType w:val="multilevel"/>
    <w:tmpl w:val="0000000C"/>
    <w:lvl w:ilvl="0" w:tentative="0">
      <w:start w:val="1"/>
      <w:numFmt w:val="decimal"/>
      <w:pStyle w:val="151"/>
      <w:lvlText w:val="（%1）"/>
      <w:lvlJc w:val="left"/>
      <w:pPr>
        <w:ind w:left="1155" w:hanging="420"/>
      </w:pPr>
      <w:rPr>
        <w:rFonts w:hint="default" w:ascii="Times New Roman" w:hAnsi="Times New Roman" w:cs="Times New Roman"/>
        <w:lang w:val="en-US"/>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8">
    <w:nsid w:val="3F20111D"/>
    <w:multiLevelType w:val="singleLevel"/>
    <w:tmpl w:val="3F20111D"/>
    <w:lvl w:ilvl="0" w:tentative="0">
      <w:start w:val="1"/>
      <w:numFmt w:val="decimal"/>
      <w:lvlText w:val="%1."/>
      <w:lvlJc w:val="left"/>
      <w:pPr>
        <w:tabs>
          <w:tab w:val="left" w:pos="312"/>
        </w:tabs>
      </w:pPr>
    </w:lvl>
  </w:abstractNum>
  <w:abstractNum w:abstractNumId="9">
    <w:nsid w:val="4FE54F5A"/>
    <w:multiLevelType w:val="multilevel"/>
    <w:tmpl w:val="4FE54F5A"/>
    <w:lvl w:ilvl="0" w:tentative="0">
      <w:start w:val="1"/>
      <w:numFmt w:val="decimal"/>
      <w:pStyle w:val="130"/>
      <w:suff w:val="space"/>
      <w:lvlText w:val="第%1章"/>
      <w:lvlJc w:val="left"/>
      <w:pPr>
        <w:ind w:left="567" w:firstLine="0"/>
      </w:pPr>
      <w:rPr>
        <w:rFonts w:hint="eastAsia" w:ascii="黑体" w:eastAsia="黑体"/>
        <w:b w:val="0"/>
        <w:i w:val="0"/>
      </w:rPr>
    </w:lvl>
    <w:lvl w:ilvl="1" w:tentative="0">
      <w:start w:val="1"/>
      <w:numFmt w:val="decimal"/>
      <w:pStyle w:val="157"/>
      <w:suff w:val="space"/>
      <w:lvlText w:val="%1.%2"/>
      <w:lvlJc w:val="left"/>
      <w:pPr>
        <w:ind w:left="426" w:firstLine="0"/>
      </w:pPr>
      <w:rPr>
        <w:rFonts w:hint="eastAsia" w:ascii="黑体" w:eastAsia="黑体"/>
        <w:b w:val="0"/>
        <w:i w:val="0"/>
      </w:rPr>
    </w:lvl>
    <w:lvl w:ilvl="2" w:tentative="0">
      <w:start w:val="1"/>
      <w:numFmt w:val="decimal"/>
      <w:pStyle w:val="162"/>
      <w:suff w:val="space"/>
      <w:lvlText w:val="%1.%2.%3"/>
      <w:lvlJc w:val="left"/>
      <w:pPr>
        <w:ind w:left="-54" w:firstLine="0"/>
      </w:pPr>
      <w:rPr>
        <w:rFonts w:hint="eastAsia" w:ascii="黑体" w:eastAsia="黑体"/>
        <w:b w:val="0"/>
        <w:i w:val="0"/>
      </w:rPr>
    </w:lvl>
    <w:lvl w:ilvl="3" w:tentative="0">
      <w:start w:val="1"/>
      <w:numFmt w:val="decimal"/>
      <w:pStyle w:val="82"/>
      <w:suff w:val="space"/>
      <w:lvlText w:val="%1.%2.%3.%4"/>
      <w:lvlJc w:val="left"/>
      <w:pPr>
        <w:ind w:left="-54" w:firstLine="0"/>
      </w:pPr>
      <w:rPr>
        <w:rFonts w:hint="eastAsia" w:ascii="黑体" w:eastAsia="黑体"/>
        <w:b w:val="0"/>
        <w:i w:val="0"/>
      </w:rPr>
    </w:lvl>
    <w:lvl w:ilvl="4" w:tentative="0">
      <w:start w:val="1"/>
      <w:numFmt w:val="decimal"/>
      <w:pStyle w:val="134"/>
      <w:suff w:val="space"/>
      <w:lvlText w:val="%1.%2.%3.%4.%5"/>
      <w:lvlJc w:val="left"/>
      <w:pPr>
        <w:ind w:left="851" w:firstLine="0"/>
      </w:pPr>
      <w:rPr>
        <w:rFonts w:hint="eastAsia" w:ascii="黑体" w:eastAsia="黑体"/>
        <w:b w:val="0"/>
        <w:i w:val="0"/>
      </w:rPr>
    </w:lvl>
    <w:lvl w:ilvl="5" w:tentative="0">
      <w:start w:val="1"/>
      <w:numFmt w:val="decimal"/>
      <w:pStyle w:val="135"/>
      <w:suff w:val="space"/>
      <w:lvlText w:val="%1.%2.%3.%4.%5.%6"/>
      <w:lvlJc w:val="left"/>
      <w:pPr>
        <w:ind w:left="-54" w:firstLine="0"/>
      </w:pPr>
      <w:rPr>
        <w:rFonts w:hint="eastAsia" w:ascii="黑体" w:eastAsia="黑体"/>
        <w:b w:val="0"/>
        <w:i w:val="0"/>
      </w:rPr>
    </w:lvl>
    <w:lvl w:ilvl="6" w:tentative="0">
      <w:start w:val="1"/>
      <w:numFmt w:val="none"/>
      <w:suff w:val="nothing"/>
      <w:lvlText w:val=""/>
      <w:lvlJc w:val="left"/>
      <w:pPr>
        <w:ind w:left="-54" w:firstLine="0"/>
      </w:pPr>
      <w:rPr>
        <w:rFonts w:hint="eastAsia"/>
      </w:rPr>
    </w:lvl>
    <w:lvl w:ilvl="7" w:tentative="0">
      <w:start w:val="1"/>
      <w:numFmt w:val="none"/>
      <w:suff w:val="nothing"/>
      <w:lvlText w:val=""/>
      <w:lvlJc w:val="left"/>
      <w:pPr>
        <w:ind w:left="-54" w:firstLine="0"/>
      </w:pPr>
      <w:rPr>
        <w:rFonts w:hint="eastAsia"/>
      </w:rPr>
    </w:lvl>
    <w:lvl w:ilvl="8" w:tentative="0">
      <w:start w:val="1"/>
      <w:numFmt w:val="none"/>
      <w:suff w:val="nothing"/>
      <w:lvlText w:val=""/>
      <w:lvlJc w:val="left"/>
      <w:pPr>
        <w:ind w:left="-54" w:firstLine="0"/>
      </w:pPr>
      <w:rPr>
        <w:rFonts w:hint="eastAsia"/>
      </w:rPr>
    </w:lvl>
  </w:abstractNum>
  <w:num w:numId="1">
    <w:abstractNumId w:val="0"/>
  </w:num>
  <w:num w:numId="2">
    <w:abstractNumId w:val="6"/>
  </w:num>
  <w:num w:numId="3">
    <w:abstractNumId w:val="2"/>
  </w:num>
  <w:num w:numId="4">
    <w:abstractNumId w:val="3"/>
  </w:num>
  <w:num w:numId="5">
    <w:abstractNumId w:val="4"/>
  </w:num>
  <w:num w:numId="6">
    <w:abstractNumId w:val="9"/>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drawingGridHorizontalSpacing w:val="105"/>
  <w:drawingGridVerticalSpacing w:val="14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jOGRlMmYwZjIwYmI1NGQzMDM0OTA1ZTYxYzk0ZmMifQ=="/>
  </w:docVars>
  <w:rsids>
    <w:rsidRoot w:val="004143A4"/>
    <w:rsid w:val="001955C3"/>
    <w:rsid w:val="004143A4"/>
    <w:rsid w:val="004A25F0"/>
    <w:rsid w:val="005A4418"/>
    <w:rsid w:val="00866E49"/>
    <w:rsid w:val="008A54C0"/>
    <w:rsid w:val="009762D5"/>
    <w:rsid w:val="00A44229"/>
    <w:rsid w:val="00C96F7A"/>
    <w:rsid w:val="00D0351B"/>
    <w:rsid w:val="00D71DA1"/>
    <w:rsid w:val="00DA7CE6"/>
    <w:rsid w:val="00F90F25"/>
    <w:rsid w:val="01A4790E"/>
    <w:rsid w:val="0533553B"/>
    <w:rsid w:val="07BE007D"/>
    <w:rsid w:val="09831F82"/>
    <w:rsid w:val="09DC4F7C"/>
    <w:rsid w:val="0EF67A1C"/>
    <w:rsid w:val="0F575A71"/>
    <w:rsid w:val="10E1763F"/>
    <w:rsid w:val="115B7900"/>
    <w:rsid w:val="12C52218"/>
    <w:rsid w:val="12F11306"/>
    <w:rsid w:val="13D632FF"/>
    <w:rsid w:val="14ED01F3"/>
    <w:rsid w:val="155142DE"/>
    <w:rsid w:val="156150C8"/>
    <w:rsid w:val="169326D4"/>
    <w:rsid w:val="18784A17"/>
    <w:rsid w:val="1CCC3A66"/>
    <w:rsid w:val="20BE67B6"/>
    <w:rsid w:val="213D605E"/>
    <w:rsid w:val="22290CA3"/>
    <w:rsid w:val="25BB4D3F"/>
    <w:rsid w:val="27415D56"/>
    <w:rsid w:val="27B80082"/>
    <w:rsid w:val="28735A61"/>
    <w:rsid w:val="292D061E"/>
    <w:rsid w:val="2AEA4671"/>
    <w:rsid w:val="2B996BCC"/>
    <w:rsid w:val="2D267106"/>
    <w:rsid w:val="2E072E74"/>
    <w:rsid w:val="2E782484"/>
    <w:rsid w:val="320749B4"/>
    <w:rsid w:val="340E6583"/>
    <w:rsid w:val="358B7F89"/>
    <w:rsid w:val="35947920"/>
    <w:rsid w:val="361E5958"/>
    <w:rsid w:val="397C5719"/>
    <w:rsid w:val="39AD1B7B"/>
    <w:rsid w:val="3A9621CD"/>
    <w:rsid w:val="3BF2386B"/>
    <w:rsid w:val="3C5709F4"/>
    <w:rsid w:val="3C75048B"/>
    <w:rsid w:val="3D080568"/>
    <w:rsid w:val="3DD71CE0"/>
    <w:rsid w:val="3E4A1CA7"/>
    <w:rsid w:val="3F074FF5"/>
    <w:rsid w:val="3F830C89"/>
    <w:rsid w:val="3FDD65EB"/>
    <w:rsid w:val="443A4751"/>
    <w:rsid w:val="4697261D"/>
    <w:rsid w:val="484B24C2"/>
    <w:rsid w:val="49CD097C"/>
    <w:rsid w:val="4B3E58F2"/>
    <w:rsid w:val="4BD52BA8"/>
    <w:rsid w:val="4C3A2406"/>
    <w:rsid w:val="4C4762BF"/>
    <w:rsid w:val="51647812"/>
    <w:rsid w:val="52690CC3"/>
    <w:rsid w:val="52C61160"/>
    <w:rsid w:val="53EC109A"/>
    <w:rsid w:val="56E976CE"/>
    <w:rsid w:val="591E3AA4"/>
    <w:rsid w:val="5B2240AE"/>
    <w:rsid w:val="5D25733C"/>
    <w:rsid w:val="60A94588"/>
    <w:rsid w:val="622A2508"/>
    <w:rsid w:val="6246694B"/>
    <w:rsid w:val="627B2768"/>
    <w:rsid w:val="62945DE0"/>
    <w:rsid w:val="63233A39"/>
    <w:rsid w:val="665825B8"/>
    <w:rsid w:val="68997ABF"/>
    <w:rsid w:val="69F45026"/>
    <w:rsid w:val="6AD064AE"/>
    <w:rsid w:val="6C4A673A"/>
    <w:rsid w:val="6CCE18C2"/>
    <w:rsid w:val="6CE7569A"/>
    <w:rsid w:val="6EB1130A"/>
    <w:rsid w:val="6FBB7363"/>
    <w:rsid w:val="6FD61CA6"/>
    <w:rsid w:val="72702DF4"/>
    <w:rsid w:val="756F1ADF"/>
    <w:rsid w:val="76162DE0"/>
    <w:rsid w:val="76876CD5"/>
    <w:rsid w:val="784405D2"/>
    <w:rsid w:val="78A57431"/>
    <w:rsid w:val="7CAA6E14"/>
    <w:rsid w:val="7D741635"/>
    <w:rsid w:val="7FB0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172"/>
    <w:autoRedefine/>
    <w:qFormat/>
    <w:uiPriority w:val="0"/>
    <w:pPr>
      <w:keepNext/>
      <w:jc w:val="center"/>
      <w:outlineLvl w:val="0"/>
    </w:pPr>
    <w:rPr>
      <w:rFonts w:ascii="楷体_GB2312" w:eastAsia="楷体_GB2312"/>
      <w:sz w:val="28"/>
      <w:szCs w:val="28"/>
    </w:rPr>
  </w:style>
  <w:style w:type="paragraph" w:styleId="3">
    <w:name w:val="heading 2"/>
    <w:basedOn w:val="1"/>
    <w:next w:val="1"/>
    <w:link w:val="173"/>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1"/>
    <w:link w:val="174"/>
    <w:autoRedefine/>
    <w:qFormat/>
    <w:uiPriority w:val="0"/>
    <w:pPr>
      <w:keepNext/>
      <w:keepLines/>
      <w:spacing w:before="260" w:after="260" w:line="416" w:lineRule="auto"/>
      <w:outlineLvl w:val="2"/>
    </w:pPr>
    <w:rPr>
      <w:b/>
      <w:bCs/>
      <w:sz w:val="32"/>
      <w:szCs w:val="32"/>
    </w:rPr>
  </w:style>
  <w:style w:type="paragraph" w:styleId="5">
    <w:name w:val="heading 4"/>
    <w:basedOn w:val="1"/>
    <w:next w:val="6"/>
    <w:link w:val="175"/>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6"/>
    <w:link w:val="177"/>
    <w:autoRedefine/>
    <w:qFormat/>
    <w:uiPriority w:val="0"/>
    <w:pPr>
      <w:keepNext/>
      <w:autoSpaceDE w:val="0"/>
      <w:autoSpaceDN w:val="0"/>
      <w:adjustRightInd w:val="0"/>
      <w:outlineLvl w:val="4"/>
    </w:pPr>
    <w:rPr>
      <w:rFonts w:ascii="宋体"/>
      <w:color w:val="000000"/>
      <w:sz w:val="28"/>
      <w:szCs w:val="28"/>
    </w:rPr>
  </w:style>
  <w:style w:type="paragraph" w:styleId="8">
    <w:name w:val="heading 6"/>
    <w:basedOn w:val="1"/>
    <w:next w:val="1"/>
    <w:link w:val="178"/>
    <w:autoRedefine/>
    <w:qFormat/>
    <w:uiPriority w:val="0"/>
    <w:pPr>
      <w:keepNext/>
      <w:keepLines/>
      <w:numPr>
        <w:ilvl w:val="5"/>
        <w:numId w:val="1"/>
      </w:numPr>
      <w:spacing w:before="240" w:after="64" w:line="320" w:lineRule="auto"/>
      <w:outlineLvl w:val="5"/>
    </w:pPr>
    <w:rPr>
      <w:rFonts w:ascii="Arial" w:hAnsi="Arial" w:eastAsia="黑体"/>
      <w:b/>
      <w:bCs/>
      <w:szCs w:val="24"/>
    </w:rPr>
  </w:style>
  <w:style w:type="paragraph" w:styleId="9">
    <w:name w:val="heading 7"/>
    <w:basedOn w:val="1"/>
    <w:next w:val="1"/>
    <w:link w:val="179"/>
    <w:autoRedefine/>
    <w:qFormat/>
    <w:uiPriority w:val="0"/>
    <w:pPr>
      <w:keepNext/>
      <w:keepLines/>
      <w:numPr>
        <w:ilvl w:val="6"/>
        <w:numId w:val="1"/>
      </w:numPr>
      <w:spacing w:before="240" w:after="64" w:line="320" w:lineRule="auto"/>
      <w:outlineLvl w:val="6"/>
    </w:pPr>
    <w:rPr>
      <w:b/>
      <w:bCs/>
      <w:szCs w:val="24"/>
    </w:rPr>
  </w:style>
  <w:style w:type="paragraph" w:styleId="10">
    <w:name w:val="heading 8"/>
    <w:basedOn w:val="1"/>
    <w:next w:val="1"/>
    <w:link w:val="180"/>
    <w:autoRedefine/>
    <w:qFormat/>
    <w:uiPriority w:val="0"/>
    <w:pPr>
      <w:keepNext/>
      <w:keepLines/>
      <w:numPr>
        <w:ilvl w:val="7"/>
        <w:numId w:val="1"/>
      </w:numPr>
      <w:spacing w:before="240" w:after="64" w:line="320" w:lineRule="auto"/>
      <w:outlineLvl w:val="7"/>
    </w:pPr>
    <w:rPr>
      <w:rFonts w:ascii="Arial" w:hAnsi="Arial" w:eastAsia="黑体"/>
      <w:szCs w:val="24"/>
    </w:rPr>
  </w:style>
  <w:style w:type="paragraph" w:styleId="11">
    <w:name w:val="heading 9"/>
    <w:basedOn w:val="1"/>
    <w:next w:val="1"/>
    <w:link w:val="18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6">
    <w:name w:val="正文缩进1"/>
    <w:basedOn w:val="1"/>
    <w:link w:val="176"/>
    <w:autoRedefine/>
    <w:qFormat/>
    <w:uiPriority w:val="0"/>
    <w:pPr>
      <w:ind w:firstLine="420"/>
    </w:pPr>
    <w:rPr>
      <w:sz w:val="21"/>
    </w:rPr>
  </w:style>
  <w:style w:type="paragraph" w:styleId="12">
    <w:name w:val="toc 7"/>
    <w:basedOn w:val="1"/>
    <w:next w:val="1"/>
    <w:autoRedefine/>
    <w:qFormat/>
    <w:uiPriority w:val="0"/>
    <w:pPr>
      <w:ind w:left="1260"/>
      <w:jc w:val="left"/>
    </w:p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annotation text"/>
    <w:basedOn w:val="1"/>
    <w:link w:val="183"/>
    <w:autoRedefine/>
    <w:qFormat/>
    <w:uiPriority w:val="0"/>
    <w:pPr>
      <w:jc w:val="left"/>
    </w:pPr>
  </w:style>
  <w:style w:type="paragraph" w:styleId="15">
    <w:name w:val="Body Text"/>
    <w:basedOn w:val="1"/>
    <w:next w:val="16"/>
    <w:link w:val="184"/>
    <w:autoRedefine/>
    <w:qFormat/>
    <w:uiPriority w:val="0"/>
    <w:rPr>
      <w:rFonts w:ascii="楷体_GB2312" w:hAnsi="Arial" w:eastAsia="楷体_GB2312"/>
      <w:sz w:val="28"/>
      <w:szCs w:val="28"/>
    </w:rPr>
  </w:style>
  <w:style w:type="paragraph" w:customStyle="1" w:styleId="16">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7">
    <w:name w:val="toc 5"/>
    <w:basedOn w:val="1"/>
    <w:next w:val="1"/>
    <w:autoRedefine/>
    <w:qFormat/>
    <w:uiPriority w:val="0"/>
    <w:pPr>
      <w:ind w:left="840"/>
      <w:jc w:val="left"/>
    </w:pPr>
  </w:style>
  <w:style w:type="paragraph" w:styleId="18">
    <w:name w:val="toc 3"/>
    <w:basedOn w:val="1"/>
    <w:next w:val="1"/>
    <w:autoRedefine/>
    <w:qFormat/>
    <w:uiPriority w:val="0"/>
    <w:pPr>
      <w:ind w:left="420"/>
      <w:jc w:val="left"/>
    </w:pPr>
    <w:rPr>
      <w:i/>
      <w:iCs/>
      <w:szCs w:val="24"/>
    </w:rPr>
  </w:style>
  <w:style w:type="paragraph" w:styleId="19">
    <w:name w:val="toc 8"/>
    <w:basedOn w:val="1"/>
    <w:next w:val="1"/>
    <w:autoRedefine/>
    <w:qFormat/>
    <w:uiPriority w:val="0"/>
    <w:pPr>
      <w:ind w:left="1470"/>
      <w:jc w:val="left"/>
    </w:pPr>
  </w:style>
  <w:style w:type="paragraph" w:styleId="20">
    <w:name w:val="footer"/>
    <w:basedOn w:val="1"/>
    <w:link w:val="190"/>
    <w:autoRedefine/>
    <w:qFormat/>
    <w:uiPriority w:val="0"/>
    <w:pPr>
      <w:tabs>
        <w:tab w:val="center" w:pos="4153"/>
        <w:tab w:val="right" w:pos="8306"/>
      </w:tabs>
      <w:snapToGrid w:val="0"/>
      <w:jc w:val="left"/>
    </w:pPr>
    <w:rPr>
      <w:sz w:val="18"/>
      <w:szCs w:val="18"/>
    </w:rPr>
  </w:style>
  <w:style w:type="paragraph" w:styleId="21">
    <w:name w:val="header"/>
    <w:basedOn w:val="1"/>
    <w:link w:val="19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720"/>
      </w:tabs>
      <w:spacing w:before="120" w:after="120" w:line="400" w:lineRule="exact"/>
      <w:jc w:val="left"/>
    </w:pPr>
    <w:rPr>
      <w:rFonts w:ascii="宋体" w:hAnsi="宋体"/>
      <w:caps/>
      <w:szCs w:val="24"/>
    </w:rPr>
  </w:style>
  <w:style w:type="paragraph" w:styleId="23">
    <w:name w:val="toc 4"/>
    <w:basedOn w:val="1"/>
    <w:next w:val="1"/>
    <w:autoRedefine/>
    <w:qFormat/>
    <w:uiPriority w:val="0"/>
    <w:pPr>
      <w:ind w:left="630"/>
      <w:jc w:val="left"/>
    </w:pPr>
  </w:style>
  <w:style w:type="paragraph" w:styleId="24">
    <w:name w:val="Subtitle"/>
    <w:basedOn w:val="1"/>
    <w:next w:val="1"/>
    <w:link w:val="192"/>
    <w:autoRedefine/>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193"/>
    <w:autoRedefine/>
    <w:qFormat/>
    <w:uiPriority w:val="0"/>
    <w:pPr>
      <w:snapToGrid w:val="0"/>
      <w:spacing w:line="240" w:lineRule="auto"/>
      <w:jc w:val="left"/>
    </w:pPr>
    <w:rPr>
      <w:sz w:val="18"/>
      <w:szCs w:val="18"/>
    </w:rPr>
  </w:style>
  <w:style w:type="paragraph" w:styleId="26">
    <w:name w:val="toc 6"/>
    <w:basedOn w:val="1"/>
    <w:next w:val="1"/>
    <w:autoRedefine/>
    <w:qFormat/>
    <w:uiPriority w:val="0"/>
    <w:pPr>
      <w:ind w:left="1050"/>
      <w:jc w:val="left"/>
    </w:pPr>
  </w:style>
  <w:style w:type="paragraph" w:styleId="27">
    <w:name w:val="toc 2"/>
    <w:basedOn w:val="1"/>
    <w:next w:val="1"/>
    <w:autoRedefine/>
    <w:qFormat/>
    <w:uiPriority w:val="0"/>
    <w:pPr>
      <w:ind w:left="210"/>
      <w:jc w:val="left"/>
    </w:pPr>
    <w:rPr>
      <w:smallCaps/>
      <w:szCs w:val="24"/>
    </w:rPr>
  </w:style>
  <w:style w:type="paragraph" w:styleId="28">
    <w:name w:val="toc 9"/>
    <w:basedOn w:val="1"/>
    <w:next w:val="1"/>
    <w:autoRedefine/>
    <w:qFormat/>
    <w:uiPriority w:val="0"/>
    <w:pPr>
      <w:ind w:left="1680"/>
      <w:jc w:val="left"/>
    </w:pPr>
  </w:style>
  <w:style w:type="paragraph" w:styleId="29">
    <w:name w:val="Title"/>
    <w:basedOn w:val="1"/>
    <w:next w:val="1"/>
    <w:link w:val="195"/>
    <w:autoRedefine/>
    <w:qFormat/>
    <w:uiPriority w:val="0"/>
    <w:pPr>
      <w:spacing w:before="240" w:after="60" w:line="240" w:lineRule="auto"/>
      <w:jc w:val="center"/>
      <w:outlineLvl w:val="0"/>
    </w:pPr>
    <w:rPr>
      <w:rFonts w:ascii="Cambria" w:hAnsi="Cambria"/>
      <w:b/>
      <w:bCs/>
      <w:sz w:val="32"/>
      <w:szCs w:val="32"/>
    </w:rPr>
  </w:style>
  <w:style w:type="character" w:styleId="32">
    <w:name w:val="Strong"/>
    <w:autoRedefine/>
    <w:qFormat/>
    <w:uiPriority w:val="0"/>
    <w:rPr>
      <w:b/>
      <w:bCs/>
    </w:rPr>
  </w:style>
  <w:style w:type="character" w:styleId="33">
    <w:name w:val="FollowedHyperlink"/>
    <w:autoRedefine/>
    <w:qFormat/>
    <w:uiPriority w:val="0"/>
    <w:rPr>
      <w:color w:val="800080"/>
      <w:u w:val="single"/>
    </w:rPr>
  </w:style>
  <w:style w:type="character" w:styleId="34">
    <w:name w:val="Emphasis"/>
    <w:autoRedefine/>
    <w:qFormat/>
    <w:uiPriority w:val="0"/>
    <w:rPr>
      <w:i/>
      <w:iCs/>
    </w:rPr>
  </w:style>
  <w:style w:type="character" w:styleId="35">
    <w:name w:val="Hyperlink"/>
    <w:autoRedefine/>
    <w:qFormat/>
    <w:uiPriority w:val="0"/>
    <w:rPr>
      <w:color w:val="0000FF"/>
      <w:u w:val="single"/>
    </w:rPr>
  </w:style>
  <w:style w:type="character" w:styleId="36">
    <w:name w:val="footnote reference"/>
    <w:autoRedefine/>
    <w:qFormat/>
    <w:uiPriority w:val="0"/>
    <w:rPr>
      <w:vertAlign w:val="superscript"/>
    </w:rPr>
  </w:style>
  <w:style w:type="paragraph" w:customStyle="1" w:styleId="37">
    <w:name w:val="Body Text First Indent"/>
    <w:basedOn w:val="15"/>
    <w:autoRedefine/>
    <w:qFormat/>
    <w:uiPriority w:val="0"/>
    <w:pPr>
      <w:spacing w:after="120" w:afterLines="0"/>
      <w:ind w:firstLine="420" w:firstLineChars="100"/>
    </w:pPr>
  </w:style>
  <w:style w:type="character" w:customStyle="1" w:styleId="38">
    <w:name w:val="正文首行缩进 Char"/>
    <w:link w:val="39"/>
    <w:autoRedefine/>
    <w:semiHidden/>
    <w:qFormat/>
    <w:uiPriority w:val="0"/>
    <w:rPr>
      <w:rFonts w:ascii="Calibri" w:hAnsi="Calibri"/>
      <w:szCs w:val="24"/>
    </w:rPr>
  </w:style>
  <w:style w:type="paragraph" w:customStyle="1" w:styleId="39">
    <w:name w:val="正文首行缩进1"/>
    <w:basedOn w:val="15"/>
    <w:link w:val="38"/>
    <w:autoRedefine/>
    <w:qFormat/>
    <w:uiPriority w:val="0"/>
    <w:pPr>
      <w:spacing w:after="120" w:line="240" w:lineRule="auto"/>
      <w:ind w:firstLine="420" w:firstLineChars="100"/>
    </w:pPr>
    <w:rPr>
      <w:rFonts w:ascii="Calibri" w:hAnsi="Calibri"/>
      <w:szCs w:val="24"/>
    </w:rPr>
  </w:style>
  <w:style w:type="paragraph" w:customStyle="1" w:styleId="40">
    <w:name w:val="索引 61"/>
    <w:basedOn w:val="1"/>
    <w:next w:val="1"/>
    <w:autoRedefine/>
    <w:qFormat/>
    <w:uiPriority w:val="0"/>
    <w:pPr>
      <w:ind w:left="2100"/>
    </w:pPr>
  </w:style>
  <w:style w:type="paragraph" w:customStyle="1" w:styleId="41">
    <w:name w:val="宏文本1"/>
    <w:link w:val="17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customStyle="1" w:styleId="42">
    <w:name w:val="列表 31"/>
    <w:basedOn w:val="1"/>
    <w:autoRedefine/>
    <w:qFormat/>
    <w:uiPriority w:val="0"/>
    <w:pPr>
      <w:ind w:left="100" w:leftChars="400" w:hanging="200" w:hangingChars="200"/>
    </w:pPr>
  </w:style>
  <w:style w:type="paragraph" w:customStyle="1" w:styleId="43">
    <w:name w:val="文档结构图1"/>
    <w:basedOn w:val="1"/>
    <w:link w:val="182"/>
    <w:autoRedefine/>
    <w:qFormat/>
    <w:uiPriority w:val="0"/>
    <w:pPr>
      <w:shd w:val="clear" w:color="auto" w:fill="000080"/>
    </w:pPr>
    <w:rPr>
      <w:shd w:val="clear" w:color="auto" w:fill="000080"/>
    </w:rPr>
  </w:style>
  <w:style w:type="paragraph" w:customStyle="1" w:styleId="44">
    <w:name w:val="正文文本 31"/>
    <w:basedOn w:val="1"/>
    <w:autoRedefine/>
    <w:qFormat/>
    <w:uiPriority w:val="0"/>
    <w:rPr>
      <w:rFonts w:ascii="仿宋_GB2312" w:hAnsi="Arial" w:eastAsia="仿宋_GB2312"/>
      <w:sz w:val="32"/>
      <w:szCs w:val="32"/>
    </w:rPr>
  </w:style>
  <w:style w:type="paragraph" w:customStyle="1" w:styleId="45">
    <w:name w:val="正文文本缩进1"/>
    <w:basedOn w:val="1"/>
    <w:link w:val="185"/>
    <w:autoRedefine/>
    <w:qFormat/>
    <w:uiPriority w:val="0"/>
    <w:pPr>
      <w:ind w:firstLine="645"/>
    </w:pPr>
    <w:rPr>
      <w:rFonts w:ascii="楷体_GB2312" w:eastAsia="楷体_GB2312"/>
      <w:sz w:val="32"/>
      <w:szCs w:val="32"/>
    </w:rPr>
  </w:style>
  <w:style w:type="paragraph" w:customStyle="1" w:styleId="46">
    <w:name w:val="列表 21"/>
    <w:basedOn w:val="1"/>
    <w:autoRedefine/>
    <w:qFormat/>
    <w:uiPriority w:val="0"/>
    <w:pPr>
      <w:ind w:left="100" w:leftChars="200" w:hanging="200" w:hangingChars="200"/>
    </w:pPr>
  </w:style>
  <w:style w:type="paragraph" w:customStyle="1" w:styleId="47">
    <w:name w:val="HTML 地址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48">
    <w:name w:val="纯文本1"/>
    <w:basedOn w:val="1"/>
    <w:link w:val="186"/>
    <w:autoRedefine/>
    <w:qFormat/>
    <w:uiPriority w:val="0"/>
    <w:rPr>
      <w:rFonts w:ascii="宋体" w:hAnsi="Courier New" w:cs="Courier New"/>
    </w:rPr>
  </w:style>
  <w:style w:type="paragraph" w:customStyle="1" w:styleId="49">
    <w:name w:val="日期1"/>
    <w:basedOn w:val="1"/>
    <w:next w:val="1"/>
    <w:link w:val="187"/>
    <w:autoRedefine/>
    <w:qFormat/>
    <w:uiPriority w:val="0"/>
    <w:rPr>
      <w:szCs w:val="24"/>
    </w:rPr>
  </w:style>
  <w:style w:type="paragraph" w:customStyle="1" w:styleId="50">
    <w:name w:val="正文文本缩进 21"/>
    <w:basedOn w:val="1"/>
    <w:link w:val="188"/>
    <w:autoRedefine/>
    <w:qFormat/>
    <w:uiPriority w:val="0"/>
    <w:pPr>
      <w:ind w:left="630" w:firstLine="645"/>
    </w:pPr>
    <w:rPr>
      <w:rFonts w:ascii="Arial" w:hAnsi="Arial" w:eastAsia="仿宋_GB2312" w:cs="Arial"/>
      <w:sz w:val="32"/>
      <w:szCs w:val="32"/>
    </w:rPr>
  </w:style>
  <w:style w:type="paragraph" w:customStyle="1" w:styleId="51">
    <w:name w:val="索引标题1"/>
    <w:basedOn w:val="1"/>
    <w:next w:val="52"/>
    <w:autoRedefine/>
    <w:qFormat/>
    <w:uiPriority w:val="0"/>
    <w:pPr>
      <w:spacing w:line="240" w:lineRule="auto"/>
    </w:pPr>
    <w:rPr>
      <w:sz w:val="21"/>
      <w:szCs w:val="24"/>
    </w:rPr>
  </w:style>
  <w:style w:type="paragraph" w:customStyle="1" w:styleId="52">
    <w:name w:val="索引 11"/>
    <w:basedOn w:val="1"/>
    <w:next w:val="1"/>
    <w:autoRedefine/>
    <w:qFormat/>
    <w:uiPriority w:val="0"/>
    <w:pPr>
      <w:spacing w:line="240" w:lineRule="atLeast"/>
    </w:pPr>
    <w:rPr>
      <w:b/>
      <w:bCs/>
    </w:rPr>
  </w:style>
  <w:style w:type="paragraph" w:customStyle="1" w:styleId="53">
    <w:name w:val="列表1"/>
    <w:basedOn w:val="1"/>
    <w:autoRedefine/>
    <w:qFormat/>
    <w:uiPriority w:val="0"/>
    <w:pPr>
      <w:ind w:left="200" w:hanging="200" w:hangingChars="200"/>
    </w:pPr>
  </w:style>
  <w:style w:type="paragraph" w:customStyle="1" w:styleId="54">
    <w:name w:val="正文文本缩进 31"/>
    <w:basedOn w:val="1"/>
    <w:link w:val="194"/>
    <w:autoRedefine/>
    <w:qFormat/>
    <w:uiPriority w:val="0"/>
    <w:pPr>
      <w:ind w:left="645" w:firstLine="645"/>
    </w:pPr>
    <w:rPr>
      <w:rFonts w:ascii="Arial" w:hAnsi="Arial" w:eastAsia="仿宋_GB2312" w:cs="Arial"/>
      <w:color w:val="FFFF00"/>
      <w:sz w:val="32"/>
      <w:szCs w:val="32"/>
    </w:rPr>
  </w:style>
  <w:style w:type="paragraph" w:customStyle="1" w:styleId="55">
    <w:name w:val="图表目录1"/>
    <w:basedOn w:val="1"/>
    <w:next w:val="1"/>
    <w:autoRedefine/>
    <w:qFormat/>
    <w:uiPriority w:val="0"/>
    <w:pPr>
      <w:ind w:left="840" w:hanging="420"/>
    </w:pPr>
  </w:style>
  <w:style w:type="paragraph" w:customStyle="1" w:styleId="56">
    <w:name w:val="正文文本 21"/>
    <w:basedOn w:val="1"/>
    <w:autoRedefine/>
    <w:qFormat/>
    <w:uiPriority w:val="0"/>
    <w:pPr>
      <w:widowControl/>
      <w:jc w:val="center"/>
    </w:pPr>
    <w:rPr>
      <w:rFonts w:ascii="楷体_GB2312" w:eastAsia="楷体_GB2312"/>
      <w:sz w:val="28"/>
      <w:szCs w:val="28"/>
    </w:rPr>
  </w:style>
  <w:style w:type="paragraph" w:customStyle="1" w:styleId="57">
    <w:name w:val="正文首行缩进2"/>
    <w:basedOn w:val="1"/>
    <w:link w:val="197"/>
    <w:autoRedefine/>
    <w:qFormat/>
    <w:uiPriority w:val="0"/>
    <w:pPr>
      <w:ind w:firstLine="200" w:firstLineChars="200"/>
    </w:pPr>
    <w:rPr>
      <w:rFonts w:ascii="仿宋_GB2312" w:eastAsia="仿宋_GB2312"/>
      <w:sz w:val="30"/>
      <w:szCs w:val="30"/>
    </w:rPr>
  </w:style>
  <w:style w:type="paragraph" w:customStyle="1" w:styleId="58">
    <w:name w:val="正文首行缩进 21"/>
    <w:basedOn w:val="45"/>
    <w:autoRedefine/>
    <w:qFormat/>
    <w:uiPriority w:val="0"/>
    <w:pPr>
      <w:ind w:firstLine="420" w:firstLineChars="200"/>
    </w:pPr>
    <w:rPr>
      <w:rFonts w:ascii="宋体" w:hAnsi="宋体" w:eastAsia="宋体"/>
      <w:sz w:val="21"/>
      <w:szCs w:val="20"/>
    </w:rPr>
  </w:style>
  <w:style w:type="paragraph" w:customStyle="1" w:styleId="59">
    <w:name w:val="批注主题11"/>
    <w:basedOn w:val="14"/>
    <w:next w:val="14"/>
    <w:link w:val="196"/>
    <w:autoRedefine/>
    <w:qFormat/>
    <w:uiPriority w:val="0"/>
    <w:rPr>
      <w:b/>
      <w:bCs/>
    </w:rPr>
  </w:style>
  <w:style w:type="paragraph" w:customStyle="1" w:styleId="60">
    <w:name w:val="批注框文本1"/>
    <w:basedOn w:val="1"/>
    <w:link w:val="189"/>
    <w:autoRedefine/>
    <w:qFormat/>
    <w:uiPriority w:val="0"/>
    <w:rPr>
      <w:sz w:val="18"/>
      <w:szCs w:val="18"/>
    </w:rPr>
  </w:style>
  <w:style w:type="paragraph" w:customStyle="1" w:styleId="61">
    <w:name w:val="我的正文"/>
    <w:basedOn w:val="1"/>
    <w:link w:val="199"/>
    <w:autoRedefine/>
    <w:qFormat/>
    <w:uiPriority w:val="0"/>
    <w:pPr>
      <w:widowControl/>
      <w:ind w:firstLine="200" w:firstLineChars="200"/>
    </w:pPr>
    <w:rPr>
      <w:rFonts w:eastAsia="仿宋_GB2312"/>
      <w:sz w:val="28"/>
      <w:szCs w:val="28"/>
    </w:rPr>
  </w:style>
  <w:style w:type="paragraph" w:customStyle="1" w:styleId="62">
    <w:name w:val="小条目"/>
    <w:basedOn w:val="63"/>
    <w:link w:val="200"/>
    <w:autoRedefine/>
    <w:qFormat/>
    <w:uiPriority w:val="0"/>
    <w:pPr>
      <w:numPr>
        <w:ilvl w:val="0"/>
        <w:numId w:val="2"/>
      </w:numPr>
      <w:ind w:firstLine="0" w:firstLineChars="0"/>
    </w:pPr>
    <w:rPr>
      <w:szCs w:val="24"/>
    </w:rPr>
  </w:style>
  <w:style w:type="paragraph" w:customStyle="1" w:styleId="63">
    <w:name w:val="工可正文"/>
    <w:basedOn w:val="64"/>
    <w:link w:val="201"/>
    <w:autoRedefine/>
    <w:qFormat/>
    <w:uiPriority w:val="0"/>
    <w:pPr>
      <w:ind w:firstLine="560" w:firstLineChars="200"/>
    </w:pPr>
    <w:rPr>
      <w:kern w:val="0"/>
      <w:sz w:val="28"/>
    </w:rPr>
  </w:style>
  <w:style w:type="paragraph" w:customStyle="1" w:styleId="64">
    <w:name w:val="纯文本11"/>
    <w:basedOn w:val="1"/>
    <w:autoRedefine/>
    <w:qFormat/>
    <w:uiPriority w:val="0"/>
    <w:pPr>
      <w:spacing w:line="240" w:lineRule="auto"/>
    </w:pPr>
    <w:rPr>
      <w:rFonts w:ascii="宋体" w:hAnsi="Courier New"/>
      <w:sz w:val="21"/>
      <w:szCs w:val="20"/>
    </w:rPr>
  </w:style>
  <w:style w:type="paragraph" w:customStyle="1" w:styleId="65">
    <w:name w:val="图注"/>
    <w:basedOn w:val="1"/>
    <w:link w:val="204"/>
    <w:autoRedefine/>
    <w:qFormat/>
    <w:uiPriority w:val="0"/>
    <w:pPr>
      <w:spacing w:beforeLines="50" w:afterLines="50" w:line="240" w:lineRule="auto"/>
      <w:jc w:val="center"/>
      <w:outlineLvl w:val="4"/>
    </w:pPr>
    <w:rPr>
      <w:rFonts w:ascii="宋体" w:hAnsi="宋体"/>
      <w:szCs w:val="24"/>
    </w:rPr>
  </w:style>
  <w:style w:type="paragraph" w:customStyle="1" w:styleId="66">
    <w:name w:val="一级小编号"/>
    <w:link w:val="206"/>
    <w:autoRedefine/>
    <w:qFormat/>
    <w:uiPriority w:val="0"/>
    <w:rPr>
      <w:rFonts w:ascii="宋体" w:hAnsi="Courier New" w:eastAsia="宋体" w:cs="Times New Roman"/>
      <w:b/>
      <w:kern w:val="2"/>
      <w:sz w:val="28"/>
      <w:szCs w:val="24"/>
      <w:lang w:val="en-US" w:eastAsia="zh-CN" w:bidi="ar-SA"/>
    </w:rPr>
  </w:style>
  <w:style w:type="paragraph" w:customStyle="1" w:styleId="67">
    <w:name w:val="无间隔1"/>
    <w:link w:val="207"/>
    <w:autoRedefine/>
    <w:qFormat/>
    <w:uiPriority w:val="0"/>
    <w:rPr>
      <w:rFonts w:ascii="Times New Roman" w:hAnsi="Times New Roman" w:eastAsia="宋体" w:cs="Times New Roman"/>
      <w:kern w:val="2"/>
      <w:sz w:val="22"/>
      <w:szCs w:val="22"/>
      <w:lang w:val="en-US" w:eastAsia="zh-CN" w:bidi="ar-SA"/>
    </w:rPr>
  </w:style>
  <w:style w:type="paragraph" w:customStyle="1" w:styleId="68">
    <w:name w:val="日期11"/>
    <w:basedOn w:val="1"/>
    <w:next w:val="1"/>
    <w:link w:val="209"/>
    <w:autoRedefine/>
    <w:qFormat/>
    <w:uiPriority w:val="0"/>
    <w:pPr>
      <w:spacing w:line="240" w:lineRule="auto"/>
    </w:pPr>
    <w:rPr>
      <w:szCs w:val="24"/>
    </w:rPr>
  </w:style>
  <w:style w:type="paragraph" w:customStyle="1" w:styleId="69">
    <w:name w:val="样式2"/>
    <w:basedOn w:val="1"/>
    <w:link w:val="210"/>
    <w:autoRedefine/>
    <w:qFormat/>
    <w:uiPriority w:val="0"/>
    <w:pPr>
      <w:tabs>
        <w:tab w:val="left" w:pos="5604"/>
      </w:tabs>
      <w:adjustRightInd w:val="0"/>
      <w:snapToGrid w:val="0"/>
      <w:spacing w:beforeLines="50" w:afterLines="50"/>
      <w:ind w:firstLine="560" w:firstLineChars="200"/>
    </w:pPr>
    <w:rPr>
      <w:kern w:val="24"/>
      <w:sz w:val="28"/>
      <w:szCs w:val="28"/>
    </w:rPr>
  </w:style>
  <w:style w:type="paragraph" w:customStyle="1" w:styleId="70">
    <w:name w:val="研究报告正文"/>
    <w:basedOn w:val="1"/>
    <w:link w:val="213"/>
    <w:autoRedefine/>
    <w:qFormat/>
    <w:uiPriority w:val="0"/>
    <w:pPr>
      <w:spacing w:beforeLines="20" w:afterLines="20"/>
      <w:ind w:firstLine="200" w:firstLineChars="200"/>
    </w:pPr>
    <w:rPr>
      <w:sz w:val="28"/>
      <w:szCs w:val="24"/>
    </w:rPr>
  </w:style>
  <w:style w:type="paragraph" w:customStyle="1" w:styleId="71">
    <w:name w:val="批注主题1"/>
    <w:basedOn w:val="14"/>
    <w:next w:val="14"/>
    <w:link w:val="214"/>
    <w:autoRedefine/>
    <w:qFormat/>
    <w:uiPriority w:val="0"/>
    <w:pPr>
      <w:spacing w:line="240" w:lineRule="auto"/>
    </w:pPr>
    <w:rPr>
      <w:b/>
      <w:bCs/>
      <w:szCs w:val="24"/>
    </w:rPr>
  </w:style>
  <w:style w:type="paragraph" w:customStyle="1" w:styleId="72">
    <w:name w:val="样式1"/>
    <w:basedOn w:val="1"/>
    <w:link w:val="215"/>
    <w:autoRedefine/>
    <w:qFormat/>
    <w:uiPriority w:val="0"/>
    <w:pPr>
      <w:numPr>
        <w:ilvl w:val="0"/>
        <w:numId w:val="3"/>
      </w:numPr>
      <w:adjustRightInd w:val="0"/>
      <w:textAlignment w:val="baseline"/>
    </w:pPr>
    <w:rPr>
      <w:rFonts w:ascii="宋体" w:hAnsi="宋体"/>
    </w:rPr>
  </w:style>
  <w:style w:type="paragraph" w:customStyle="1" w:styleId="73">
    <w:name w:val="二级目录"/>
    <w:next w:val="1"/>
    <w:link w:val="218"/>
    <w:autoRedefine/>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74">
    <w:name w:val="文档结构图11"/>
    <w:basedOn w:val="1"/>
    <w:link w:val="222"/>
    <w:autoRedefine/>
    <w:qFormat/>
    <w:uiPriority w:val="0"/>
    <w:pPr>
      <w:shd w:val="clear" w:color="auto" w:fill="000080"/>
      <w:spacing w:line="240" w:lineRule="auto"/>
    </w:pPr>
    <w:rPr>
      <w:sz w:val="28"/>
      <w:shd w:val="clear" w:color="auto" w:fill="000080"/>
    </w:rPr>
  </w:style>
  <w:style w:type="paragraph" w:customStyle="1" w:styleId="75">
    <w:name w:val="正文1"/>
    <w:link w:val="223"/>
    <w:autoRedefine/>
    <w:qFormat/>
    <w:uiPriority w:val="0"/>
    <w:pPr>
      <w:widowControl w:val="0"/>
      <w:adjustRightInd w:val="0"/>
      <w:ind w:firstLine="560" w:firstLineChars="200"/>
      <w:jc w:val="both"/>
    </w:pPr>
    <w:rPr>
      <w:rFonts w:ascii="Times New Roman" w:hAnsi="Arial" w:eastAsia="宋体" w:cs="Arial"/>
      <w:kern w:val="2"/>
      <w:sz w:val="28"/>
      <w:szCs w:val="28"/>
      <w:lang w:val="en-US" w:eastAsia="zh-CN" w:bidi="ar-SA"/>
    </w:rPr>
  </w:style>
  <w:style w:type="paragraph" w:customStyle="1" w:styleId="76">
    <w:name w:val="我的列表"/>
    <w:basedOn w:val="61"/>
    <w:next w:val="61"/>
    <w:link w:val="226"/>
    <w:autoRedefine/>
    <w:qFormat/>
    <w:uiPriority w:val="0"/>
    <w:pPr>
      <w:numPr>
        <w:ilvl w:val="0"/>
        <w:numId w:val="4"/>
      </w:numPr>
      <w:tabs>
        <w:tab w:val="left" w:pos="1022"/>
        <w:tab w:val="clear" w:pos="900"/>
      </w:tabs>
      <w:spacing w:line="240" w:lineRule="auto"/>
      <w:ind w:firstLine="0" w:firstLineChars="0"/>
    </w:pPr>
    <w:rPr>
      <w:rFonts w:ascii="仿宋_GB2312" w:hAnsi="Arial"/>
      <w:szCs w:val="18"/>
    </w:rPr>
  </w:style>
  <w:style w:type="paragraph" w:customStyle="1" w:styleId="77">
    <w:name w:val="正文文本缩进11"/>
    <w:basedOn w:val="1"/>
    <w:link w:val="228"/>
    <w:autoRedefine/>
    <w:qFormat/>
    <w:uiPriority w:val="0"/>
    <w:pPr>
      <w:spacing w:after="120" w:line="240" w:lineRule="auto"/>
      <w:ind w:left="420" w:leftChars="200"/>
    </w:pPr>
    <w:rPr>
      <w:rFonts w:ascii="Calibri" w:hAnsi="Calibri"/>
      <w:szCs w:val="24"/>
    </w:rPr>
  </w:style>
  <w:style w:type="paragraph" w:customStyle="1" w:styleId="78">
    <w:name w:val="二级小编号"/>
    <w:basedOn w:val="77"/>
    <w:link w:val="230"/>
    <w:autoRedefine/>
    <w:qFormat/>
    <w:uiPriority w:val="0"/>
    <w:pPr>
      <w:numPr>
        <w:ilvl w:val="0"/>
        <w:numId w:val="5"/>
      </w:numPr>
      <w:tabs>
        <w:tab w:val="left" w:pos="1440"/>
      </w:tabs>
      <w:spacing w:after="0"/>
      <w:ind w:left="1440" w:leftChars="0" w:hanging="1440"/>
    </w:pPr>
    <w:rPr>
      <w:sz w:val="28"/>
      <w:szCs w:val="28"/>
    </w:rPr>
  </w:style>
  <w:style w:type="paragraph" w:customStyle="1" w:styleId="79">
    <w:name w:val="正文文本缩进 311"/>
    <w:basedOn w:val="1"/>
    <w:link w:val="231"/>
    <w:autoRedefine/>
    <w:qFormat/>
    <w:uiPriority w:val="0"/>
    <w:pPr>
      <w:spacing w:line="240" w:lineRule="auto"/>
      <w:ind w:firstLine="524"/>
    </w:pPr>
    <w:rPr>
      <w:rFonts w:ascii="宋体"/>
      <w:color w:val="FF00FF"/>
      <w:sz w:val="28"/>
      <w:szCs w:val="24"/>
    </w:rPr>
  </w:style>
  <w:style w:type="paragraph" w:customStyle="1" w:styleId="80">
    <w:name w:val="样式 工可正文 + 首行缩进:  2 字符1"/>
    <w:basedOn w:val="1"/>
    <w:autoRedefine/>
    <w:qFormat/>
    <w:uiPriority w:val="0"/>
    <w:pPr>
      <w:adjustRightInd w:val="0"/>
      <w:spacing w:line="360" w:lineRule="atLeast"/>
      <w:ind w:firstLine="480"/>
      <w:textAlignment w:val="baseline"/>
    </w:pPr>
    <w:rPr>
      <w:rFonts w:cs="宋体"/>
      <w:szCs w:val="20"/>
    </w:rPr>
  </w:style>
  <w:style w:type="paragraph" w:customStyle="1" w:styleId="81">
    <w:name w:val="文档正文 Char"/>
    <w:basedOn w:val="1"/>
    <w:autoRedefine/>
    <w:qFormat/>
    <w:uiPriority w:val="0"/>
    <w:pPr>
      <w:adjustRightInd w:val="0"/>
      <w:spacing w:line="500" w:lineRule="exact"/>
      <w:ind w:firstLine="567"/>
      <w:textAlignment w:val="baseline"/>
    </w:pPr>
    <w:rPr>
      <w:rFonts w:ascii="仿宋_GB2312" w:eastAsia="仿宋_GB2312"/>
      <w:sz w:val="28"/>
      <w:szCs w:val="24"/>
    </w:rPr>
  </w:style>
  <w:style w:type="paragraph" w:customStyle="1" w:styleId="82">
    <w:name w:val="GP标题4"/>
    <w:basedOn w:val="1"/>
    <w:next w:val="1"/>
    <w:autoRedefine/>
    <w:qFormat/>
    <w:uiPriority w:val="0"/>
    <w:pPr>
      <w:numPr>
        <w:ilvl w:val="3"/>
        <w:numId w:val="6"/>
      </w:numPr>
      <w:spacing w:beforeLines="50" w:afterLines="50"/>
      <w:outlineLvl w:val="3"/>
    </w:pPr>
    <w:rPr>
      <w:rFonts w:ascii="华文细黑" w:hAnsi="华文细黑" w:eastAsia="华文细黑"/>
      <w:sz w:val="28"/>
    </w:rPr>
  </w:style>
  <w:style w:type="paragraph" w:customStyle="1" w:styleId="83">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Cs w:val="20"/>
    </w:rPr>
  </w:style>
  <w:style w:type="paragraph" w:customStyle="1" w:styleId="84">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85">
    <w:name w:val="默认段落字体 Para Char Char Char Char Char Char Char"/>
    <w:basedOn w:val="1"/>
    <w:autoRedefine/>
    <w:qFormat/>
    <w:uiPriority w:val="0"/>
    <w:pPr>
      <w:spacing w:line="240" w:lineRule="auto"/>
    </w:pPr>
    <w:rPr>
      <w:rFonts w:ascii="Tahoma" w:hAnsi="Tahoma"/>
      <w:szCs w:val="20"/>
    </w:rPr>
  </w:style>
  <w:style w:type="paragraph" w:customStyle="1" w:styleId="86">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87">
    <w:name w:val="普通(网站)1"/>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88">
    <w:name w:val="Char Char Char Char"/>
    <w:basedOn w:val="43"/>
    <w:autoRedefine/>
    <w:qFormat/>
    <w:uiPriority w:val="0"/>
    <w:pPr>
      <w:adjustRightInd w:val="0"/>
      <w:snapToGrid w:val="0"/>
    </w:pPr>
    <w:rPr>
      <w:rFonts w:ascii="Tahoma" w:hAnsi="Tahoma"/>
      <w:szCs w:val="24"/>
    </w:rPr>
  </w:style>
  <w:style w:type="paragraph" w:customStyle="1" w:styleId="89">
    <w:name w:val="我的图片"/>
    <w:basedOn w:val="61"/>
    <w:next w:val="61"/>
    <w:autoRedefine/>
    <w:qFormat/>
    <w:uiPriority w:val="0"/>
    <w:pPr>
      <w:widowControl w:val="0"/>
      <w:ind w:firstLine="0" w:firstLineChars="0"/>
      <w:jc w:val="center"/>
    </w:pPr>
    <w:rPr>
      <w:rFonts w:ascii="仿宋_GB2312" w:hAnsi="宋体" w:eastAsia="楷体_GB2312"/>
      <w:szCs w:val="24"/>
    </w:rPr>
  </w:style>
  <w:style w:type="paragraph" w:customStyle="1" w:styleId="90">
    <w:name w:val="列出段落1"/>
    <w:basedOn w:val="1"/>
    <w:autoRedefine/>
    <w:qFormat/>
    <w:uiPriority w:val="0"/>
    <w:pPr>
      <w:spacing w:line="240" w:lineRule="auto"/>
      <w:ind w:firstLine="420" w:firstLineChars="200"/>
    </w:pPr>
    <w:rPr>
      <w:sz w:val="21"/>
      <w:szCs w:val="24"/>
    </w:rPr>
  </w:style>
  <w:style w:type="paragraph" w:customStyle="1" w:styleId="91">
    <w:name w:val="我的表格文字"/>
    <w:basedOn w:val="61"/>
    <w:autoRedefine/>
    <w:qFormat/>
    <w:uiPriority w:val="0"/>
    <w:pPr>
      <w:spacing w:line="240" w:lineRule="auto"/>
      <w:ind w:firstLine="0" w:firstLineChars="0"/>
    </w:pPr>
    <w:rPr>
      <w:rFonts w:ascii="仿宋_GB2312" w:hAnsi="Arial"/>
      <w:szCs w:val="18"/>
    </w:rPr>
  </w:style>
  <w:style w:type="paragraph" w:customStyle="1" w:styleId="92">
    <w:name w:val="正文2"/>
    <w:basedOn w:val="1"/>
    <w:autoRedefine/>
    <w:qFormat/>
    <w:uiPriority w:val="0"/>
    <w:pPr>
      <w:widowControl/>
      <w:spacing w:after="160"/>
      <w:ind w:firstLine="200" w:firstLineChars="200"/>
      <w:jc w:val="left"/>
    </w:pPr>
    <w:rPr>
      <w:rFonts w:ascii="Verdana" w:hAnsi="Verdana" w:eastAsia="黑体"/>
      <w:kern w:val="0"/>
      <w:sz w:val="21"/>
      <w:szCs w:val="20"/>
      <w:lang w:eastAsia="en-US"/>
    </w:rPr>
  </w:style>
  <w:style w:type="paragraph" w:customStyle="1" w:styleId="93">
    <w:name w:val="默认段落字体 Para Char Char Char Char Char Char Char Char Char Char Char Char Char Char"/>
    <w:autoRedefine/>
    <w:qFormat/>
    <w:uiPriority w:val="0"/>
    <w:pPr>
      <w:shd w:val="clear" w:color="auto" w:fill="000080"/>
    </w:pPr>
    <w:rPr>
      <w:rFonts w:ascii="Tahoma" w:hAnsi="Tahoma" w:eastAsia="宋体" w:cs="Times New Roman"/>
      <w:sz w:val="24"/>
      <w:lang w:val="en-US" w:eastAsia="zh-CN" w:bidi="ar-SA"/>
    </w:rPr>
  </w:style>
  <w:style w:type="paragraph" w:customStyle="1" w:styleId="94">
    <w:name w:val="默认段落字体 Para Char Char Char Char"/>
    <w:basedOn w:val="1"/>
    <w:autoRedefine/>
    <w:qFormat/>
    <w:uiPriority w:val="0"/>
    <w:pPr>
      <w:spacing w:line="240" w:lineRule="auto"/>
    </w:pPr>
    <w:rPr>
      <w:szCs w:val="24"/>
    </w:rPr>
  </w:style>
  <w:style w:type="paragraph" w:customStyle="1" w:styleId="95">
    <w:name w:val="正文缩进11"/>
    <w:basedOn w:val="1"/>
    <w:autoRedefine/>
    <w:qFormat/>
    <w:uiPriority w:val="0"/>
    <w:pPr>
      <w:spacing w:line="240" w:lineRule="auto"/>
      <w:ind w:firstLine="420"/>
    </w:pPr>
    <w:rPr>
      <w:rFonts w:ascii="Calibri" w:hAnsi="Calibri"/>
      <w:kern w:val="0"/>
      <w:sz w:val="20"/>
      <w:szCs w:val="24"/>
    </w:rPr>
  </w:style>
  <w:style w:type="paragraph" w:customStyle="1" w:styleId="96">
    <w:name w:val="text2"/>
    <w:basedOn w:val="1"/>
    <w:autoRedefine/>
    <w:qFormat/>
    <w:uiPriority w:val="0"/>
    <w:pPr>
      <w:widowControl/>
      <w:spacing w:before="100" w:beforeAutospacing="1" w:after="100" w:afterAutospacing="1" w:line="240" w:lineRule="auto"/>
      <w:jc w:val="left"/>
    </w:pPr>
    <w:rPr>
      <w:rFonts w:ascii="宋体" w:hAnsi="宋体" w:cs="宋体"/>
      <w:color w:val="333366"/>
      <w:kern w:val="0"/>
      <w:sz w:val="18"/>
      <w:szCs w:val="18"/>
    </w:rPr>
  </w:style>
  <w:style w:type="paragraph" w:customStyle="1" w:styleId="97">
    <w:name w:val="样式 首行缩进:  0 字符"/>
    <w:basedOn w:val="1"/>
    <w:autoRedefine/>
    <w:qFormat/>
    <w:uiPriority w:val="0"/>
    <w:pPr>
      <w:spacing w:line="480" w:lineRule="exact"/>
      <w:ind w:firstLine="680"/>
    </w:pPr>
    <w:rPr>
      <w:rFonts w:cs="宋体"/>
      <w:kern w:val="16"/>
      <w:sz w:val="28"/>
      <w:szCs w:val="20"/>
    </w:rPr>
  </w:style>
  <w:style w:type="paragraph" w:customStyle="1" w:styleId="98">
    <w:name w:val="规划正文"/>
    <w:basedOn w:val="1"/>
    <w:autoRedefine/>
    <w:qFormat/>
    <w:uiPriority w:val="0"/>
    <w:pPr>
      <w:widowControl/>
      <w:ind w:firstLine="200"/>
      <w:jc w:val="left"/>
    </w:pPr>
    <w:rPr>
      <w:kern w:val="0"/>
      <w:sz w:val="28"/>
      <w:szCs w:val="20"/>
    </w:rPr>
  </w:style>
  <w:style w:type="paragraph" w:customStyle="1" w:styleId="99">
    <w:name w:val="表格正文"/>
    <w:basedOn w:val="1"/>
    <w:autoRedefine/>
    <w:qFormat/>
    <w:uiPriority w:val="0"/>
    <w:pPr>
      <w:spacing w:line="240" w:lineRule="auto"/>
    </w:pPr>
    <w:rPr>
      <w:rFonts w:eastAsia="仿宋"/>
      <w:sz w:val="28"/>
      <w:szCs w:val="24"/>
    </w:rPr>
  </w:style>
  <w:style w:type="paragraph" w:customStyle="1" w:styleId="100">
    <w:name w:val="普通正文"/>
    <w:basedOn w:val="1"/>
    <w:autoRedefine/>
    <w:qFormat/>
    <w:uiPriority w:val="0"/>
    <w:pPr>
      <w:adjustRightInd w:val="0"/>
      <w:spacing w:before="120" w:after="120"/>
      <w:ind w:firstLine="480"/>
      <w:jc w:val="left"/>
      <w:textAlignment w:val="baseline"/>
    </w:pPr>
    <w:rPr>
      <w:rFonts w:ascii="Arial" w:hAnsi="Arial"/>
      <w:kern w:val="0"/>
      <w:szCs w:val="24"/>
    </w:rPr>
  </w:style>
  <w:style w:type="paragraph" w:customStyle="1" w:styleId="101">
    <w:name w:val="Char Char Char Char Char Char Char"/>
    <w:basedOn w:val="43"/>
    <w:autoRedefine/>
    <w:qFormat/>
    <w:uiPriority w:val="0"/>
    <w:pPr>
      <w:adjustRightInd w:val="0"/>
      <w:snapToGrid w:val="0"/>
    </w:pPr>
    <w:rPr>
      <w:rFonts w:ascii="Tahoma" w:hAnsi="Tahoma"/>
      <w:szCs w:val="24"/>
    </w:rPr>
  </w:style>
  <w:style w:type="paragraph" w:customStyle="1" w:styleId="102">
    <w:name w:val="我的标题6"/>
    <w:basedOn w:val="1"/>
    <w:next w:val="61"/>
    <w:autoRedefine/>
    <w:qFormat/>
    <w:uiPriority w:val="0"/>
    <w:pPr>
      <w:keepNext/>
      <w:widowControl/>
      <w:ind w:firstLine="200" w:firstLineChars="200"/>
      <w:outlineLvl w:val="5"/>
    </w:pPr>
    <w:rPr>
      <w:rFonts w:ascii="仿宋_GB2312" w:hAnsi="Arial" w:eastAsia="仿宋_GB2312"/>
      <w:b/>
      <w:sz w:val="28"/>
      <w:szCs w:val="18"/>
    </w:rPr>
  </w:style>
  <w:style w:type="paragraph" w:customStyle="1" w:styleId="103">
    <w:name w:val="中等深浅网格 21"/>
    <w:autoRedefine/>
    <w:qFormat/>
    <w:uiPriority w:val="0"/>
    <w:rPr>
      <w:rFonts w:ascii="Calibri" w:hAnsi="Calibri" w:eastAsia="宋体" w:cs="Times New Roman"/>
      <w:sz w:val="22"/>
      <w:szCs w:val="22"/>
      <w:lang w:val="en-US" w:eastAsia="zh-CN" w:bidi="ar-SA"/>
    </w:rPr>
  </w:style>
  <w:style w:type="paragraph" w:customStyle="1" w:styleId="104">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Cs w:val="24"/>
    </w:rPr>
  </w:style>
  <w:style w:type="paragraph" w:customStyle="1" w:styleId="105">
    <w:name w:val="索引 111"/>
    <w:basedOn w:val="1"/>
    <w:next w:val="1"/>
    <w:autoRedefine/>
    <w:qFormat/>
    <w:uiPriority w:val="0"/>
    <w:pPr>
      <w:adjustRightInd w:val="0"/>
      <w:spacing w:line="240" w:lineRule="auto"/>
      <w:jc w:val="center"/>
      <w:textAlignment w:val="top"/>
    </w:pPr>
    <w:rPr>
      <w:b/>
      <w:color w:val="0000FF"/>
      <w:kern w:val="0"/>
      <w:sz w:val="28"/>
      <w:szCs w:val="20"/>
    </w:rPr>
  </w:style>
  <w:style w:type="paragraph" w:customStyle="1" w:styleId="106">
    <w:name w:val="一级目录"/>
    <w:next w:val="1"/>
    <w:autoRedefine/>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07">
    <w:name w:val="Body Text(ch)"/>
    <w:basedOn w:val="1"/>
    <w:next w:val="15"/>
    <w:autoRedefine/>
    <w:qFormat/>
    <w:uiPriority w:val="0"/>
    <w:pPr>
      <w:spacing w:after="120"/>
    </w:pPr>
    <w:rPr>
      <w:rFonts w:ascii="宋体" w:hAnsi="Arial"/>
      <w:bCs/>
      <w:iCs/>
      <w:szCs w:val="24"/>
    </w:rPr>
  </w:style>
  <w:style w:type="paragraph" w:customStyle="1" w:styleId="108">
    <w:name w:val="普通(网站)2"/>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09">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Cs w:val="24"/>
    </w:rPr>
  </w:style>
  <w:style w:type="paragraph" w:customStyle="1" w:styleId="110">
    <w:name w:val="简单回函地址"/>
    <w:basedOn w:val="1"/>
    <w:autoRedefine/>
    <w:qFormat/>
    <w:uiPriority w:val="0"/>
    <w:pPr>
      <w:adjustRightInd w:val="0"/>
      <w:spacing w:line="312" w:lineRule="atLeast"/>
      <w:textAlignment w:val="baseline"/>
    </w:pPr>
    <w:rPr>
      <w:rFonts w:ascii="宋体" w:hAnsi="Century Schoolbook"/>
      <w:kern w:val="28"/>
      <w:sz w:val="28"/>
      <w:szCs w:val="20"/>
    </w:rPr>
  </w:style>
  <w:style w:type="paragraph" w:customStyle="1" w:styleId="111">
    <w:name w:val="附录1"/>
    <w:autoRedefine/>
    <w:qFormat/>
    <w:uiPriority w:val="0"/>
    <w:pPr>
      <w:numPr>
        <w:ilvl w:val="0"/>
        <w:numId w:val="7"/>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12">
    <w:name w:val="缺省文本"/>
    <w:basedOn w:val="1"/>
    <w:autoRedefine/>
    <w:qFormat/>
    <w:uiPriority w:val="0"/>
    <w:pPr>
      <w:widowControl/>
      <w:tabs>
        <w:tab w:val="left" w:pos="360"/>
      </w:tabs>
      <w:autoSpaceDE w:val="0"/>
      <w:autoSpaceDN w:val="0"/>
      <w:adjustRightInd w:val="0"/>
      <w:spacing w:line="240" w:lineRule="auto"/>
      <w:jc w:val="left"/>
    </w:pPr>
    <w:rPr>
      <w:kern w:val="0"/>
      <w:szCs w:val="20"/>
    </w:rPr>
  </w:style>
  <w:style w:type="paragraph" w:customStyle="1" w:styleId="113">
    <w:name w:val="样式 宋体 小四 行距: 1.5 倍行距"/>
    <w:basedOn w:val="1"/>
    <w:autoRedefine/>
    <w:qFormat/>
    <w:uiPriority w:val="0"/>
    <w:pPr>
      <w:spacing w:line="240" w:lineRule="auto"/>
    </w:pPr>
    <w:rPr>
      <w:rFonts w:ascii="宋体" w:hAnsi="宋体"/>
      <w:szCs w:val="20"/>
    </w:rPr>
  </w:style>
  <w:style w:type="paragraph" w:customStyle="1" w:styleId="114">
    <w:name w:val="TOC 标题1"/>
    <w:basedOn w:val="2"/>
    <w:next w:val="1"/>
    <w:autoRedefine/>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115">
    <w:name w:val="4"/>
    <w:basedOn w:val="1"/>
    <w:next w:val="54"/>
    <w:autoRedefine/>
    <w:qFormat/>
    <w:uiPriority w:val="0"/>
    <w:pPr>
      <w:ind w:firstLine="420"/>
    </w:pPr>
    <w:rPr>
      <w:color w:val="FF0000"/>
      <w:szCs w:val="24"/>
    </w:rPr>
  </w:style>
  <w:style w:type="paragraph" w:customStyle="1" w:styleId="116">
    <w:name w:val="报告正文"/>
    <w:basedOn w:val="1"/>
    <w:autoRedefine/>
    <w:qFormat/>
    <w:uiPriority w:val="0"/>
    <w:pPr>
      <w:widowControl/>
      <w:overflowPunct w:val="0"/>
      <w:autoSpaceDE w:val="0"/>
      <w:autoSpaceDN w:val="0"/>
      <w:adjustRightInd w:val="0"/>
      <w:spacing w:after="80" w:line="480" w:lineRule="auto"/>
      <w:ind w:right="210" w:rightChars="100" w:firstLine="420"/>
      <w:textAlignment w:val="baseline"/>
    </w:pPr>
    <w:rPr>
      <w:rFonts w:ascii="宋体" w:hAnsi="宋体"/>
      <w:kern w:val="0"/>
      <w:szCs w:val="20"/>
    </w:rPr>
  </w:style>
  <w:style w:type="paragraph" w:customStyle="1" w:styleId="117">
    <w:name w:val="标题2 Char Char Char"/>
    <w:basedOn w:val="3"/>
    <w:autoRedefine/>
    <w:qFormat/>
    <w:uiPriority w:val="0"/>
    <w:pPr>
      <w:spacing w:beforeLines="50" w:afterLines="50" w:line="360" w:lineRule="auto"/>
      <w:jc w:val="left"/>
    </w:pPr>
    <w:rPr>
      <w:rFonts w:eastAsia="宋体" w:cs="Times New Roman"/>
      <w:kern w:val="0"/>
      <w:sz w:val="28"/>
      <w:szCs w:val="32"/>
    </w:rPr>
  </w:style>
  <w:style w:type="paragraph" w:customStyle="1" w:styleId="118">
    <w:name w:val="@@正文"/>
    <w:autoRedefine/>
    <w:qFormat/>
    <w:uiPriority w:val="0"/>
    <w:pPr>
      <w:spacing w:line="360" w:lineRule="auto"/>
      <w:ind w:firstLine="200" w:firstLineChars="200"/>
    </w:pPr>
    <w:rPr>
      <w:rFonts w:ascii="Calibri" w:hAnsi="Calibri" w:eastAsia="仿宋_GB2312" w:cs="Times New Roman"/>
      <w:kern w:val="2"/>
      <w:sz w:val="28"/>
      <w:szCs w:val="22"/>
      <w:lang w:val="en-US" w:eastAsia="zh-CN" w:bidi="ar-SA"/>
    </w:rPr>
  </w:style>
  <w:style w:type="paragraph" w:customStyle="1" w:styleId="119">
    <w:name w:val="@图片"/>
    <w:next w:val="1"/>
    <w:autoRedefine/>
    <w:qFormat/>
    <w:uiPriority w:val="0"/>
    <w:pPr>
      <w:jc w:val="center"/>
    </w:pPr>
    <w:rPr>
      <w:rFonts w:ascii="Calibri" w:hAnsi="Calibri" w:eastAsia="宋体" w:cs="Times New Roman"/>
      <w:kern w:val="2"/>
      <w:sz w:val="21"/>
      <w:szCs w:val="22"/>
      <w:lang w:val="en-US" w:eastAsia="zh-CN" w:bidi="ar-SA"/>
    </w:rPr>
  </w:style>
  <w:style w:type="paragraph" w:customStyle="1" w:styleId="120">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Cs w:val="24"/>
    </w:rPr>
  </w:style>
  <w:style w:type="paragraph" w:customStyle="1" w:styleId="121">
    <w:name w:val="默认段落字体 Para Char"/>
    <w:basedOn w:val="1"/>
    <w:autoRedefine/>
    <w:qFormat/>
    <w:uiPriority w:val="0"/>
    <w:pPr>
      <w:spacing w:line="240" w:lineRule="auto"/>
    </w:pPr>
    <w:rPr>
      <w:sz w:val="21"/>
      <w:szCs w:val="24"/>
    </w:rPr>
  </w:style>
  <w:style w:type="paragraph" w:customStyle="1" w:styleId="122">
    <w:name w:val="标书正文样式"/>
    <w:basedOn w:val="1"/>
    <w:autoRedefine/>
    <w:qFormat/>
    <w:uiPriority w:val="0"/>
    <w:pPr>
      <w:ind w:firstLine="560" w:firstLineChars="200"/>
    </w:pPr>
    <w:rPr>
      <w:rFonts w:eastAsia="仿宋_GB2312"/>
      <w:sz w:val="28"/>
      <w:szCs w:val="28"/>
    </w:rPr>
  </w:style>
  <w:style w:type="paragraph" w:customStyle="1" w:styleId="123">
    <w:name w:val="table_lines"/>
    <w:basedOn w:val="1"/>
    <w:autoRedefine/>
    <w:qFormat/>
    <w:uiPriority w:val="0"/>
    <w:pPr>
      <w:widowControl/>
      <w:jc w:val="left"/>
    </w:pPr>
    <w:rPr>
      <w:kern w:val="0"/>
      <w:sz w:val="20"/>
      <w:szCs w:val="20"/>
    </w:rPr>
  </w:style>
  <w:style w:type="paragraph" w:customStyle="1" w:styleId="124">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25">
    <w:name w:val="Char Char Char Char Char Char Char Char Char Char"/>
    <w:basedOn w:val="1"/>
    <w:autoRedefine/>
    <w:qFormat/>
    <w:uiPriority w:val="0"/>
    <w:pPr>
      <w:adjustRightInd w:val="0"/>
    </w:pPr>
    <w:rPr>
      <w:kern w:val="0"/>
      <w:szCs w:val="20"/>
    </w:rPr>
  </w:style>
  <w:style w:type="paragraph" w:customStyle="1" w:styleId="126">
    <w:name w:val="Char"/>
    <w:basedOn w:val="1"/>
    <w:autoRedefine/>
    <w:qFormat/>
    <w:uiPriority w:val="0"/>
    <w:pPr>
      <w:tabs>
        <w:tab w:val="left" w:pos="360"/>
      </w:tabs>
    </w:pPr>
    <w:rPr>
      <w:szCs w:val="24"/>
    </w:rPr>
  </w:style>
  <w:style w:type="paragraph" w:customStyle="1" w:styleId="127">
    <w:name w:val="my正文"/>
    <w:basedOn w:val="1"/>
    <w:autoRedefine/>
    <w:qFormat/>
    <w:uiPriority w:val="0"/>
    <w:pPr>
      <w:ind w:firstLine="480" w:firstLineChars="200"/>
    </w:pPr>
    <w:rPr>
      <w:szCs w:val="24"/>
    </w:rPr>
  </w:style>
  <w:style w:type="paragraph" w:customStyle="1" w:styleId="128">
    <w:name w:val="表格标题"/>
    <w:basedOn w:val="1"/>
    <w:autoRedefine/>
    <w:qFormat/>
    <w:uiPriority w:val="0"/>
    <w:pPr>
      <w:spacing w:line="240" w:lineRule="auto"/>
      <w:ind w:left="980" w:hanging="420"/>
      <w:jc w:val="center"/>
    </w:pPr>
    <w:rPr>
      <w:rFonts w:ascii="宋体" w:hAnsi="宋体" w:cs="宋体"/>
      <w:b/>
      <w:bCs/>
      <w:sz w:val="18"/>
      <w:szCs w:val="18"/>
    </w:rPr>
  </w:style>
  <w:style w:type="paragraph" w:customStyle="1" w:styleId="129">
    <w:name w:val="Char1 Char Char Char Char Char Char"/>
    <w:basedOn w:val="1"/>
    <w:autoRedefine/>
    <w:qFormat/>
    <w:uiPriority w:val="0"/>
    <w:pPr>
      <w:spacing w:line="240" w:lineRule="auto"/>
    </w:pPr>
    <w:rPr>
      <w:kern w:val="1"/>
      <w:sz w:val="21"/>
      <w:szCs w:val="24"/>
      <w:lang w:eastAsia="ar-SA"/>
    </w:rPr>
  </w:style>
  <w:style w:type="paragraph" w:customStyle="1" w:styleId="130">
    <w:name w:val="GP标题1"/>
    <w:basedOn w:val="1"/>
    <w:next w:val="1"/>
    <w:autoRedefine/>
    <w:qFormat/>
    <w:uiPriority w:val="0"/>
    <w:pPr>
      <w:numPr>
        <w:ilvl w:val="0"/>
        <w:numId w:val="6"/>
      </w:numPr>
      <w:spacing w:beforeLines="100" w:afterLines="100"/>
      <w:jc w:val="center"/>
      <w:outlineLvl w:val="0"/>
    </w:pPr>
    <w:rPr>
      <w:rFonts w:ascii="黑体" w:hAnsi="黑体" w:eastAsia="黑体"/>
      <w:b/>
      <w:sz w:val="36"/>
    </w:rPr>
  </w:style>
  <w:style w:type="paragraph" w:customStyle="1" w:styleId="131">
    <w:name w:val="书 正文"/>
    <w:basedOn w:val="1"/>
    <w:autoRedefine/>
    <w:qFormat/>
    <w:uiPriority w:val="0"/>
    <w:pPr>
      <w:spacing w:line="300" w:lineRule="auto"/>
      <w:ind w:firstLine="425"/>
    </w:pPr>
    <w:rPr>
      <w:rFonts w:ascii="宋体"/>
      <w:sz w:val="21"/>
    </w:rPr>
  </w:style>
  <w:style w:type="paragraph" w:customStyle="1" w:styleId="13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33">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34">
    <w:name w:val="GP标题5"/>
    <w:basedOn w:val="1"/>
    <w:next w:val="1"/>
    <w:autoRedefine/>
    <w:qFormat/>
    <w:uiPriority w:val="0"/>
    <w:pPr>
      <w:numPr>
        <w:ilvl w:val="4"/>
        <w:numId w:val="6"/>
      </w:numPr>
      <w:spacing w:beforeLines="50" w:afterLines="50"/>
      <w:outlineLvl w:val="4"/>
    </w:pPr>
    <w:rPr>
      <w:rFonts w:ascii="华文细黑" w:hAnsi="华文细黑" w:eastAsia="华文细黑"/>
      <w:b/>
    </w:rPr>
  </w:style>
  <w:style w:type="paragraph" w:customStyle="1" w:styleId="135">
    <w:name w:val="GP标题6"/>
    <w:basedOn w:val="1"/>
    <w:next w:val="1"/>
    <w:autoRedefine/>
    <w:qFormat/>
    <w:uiPriority w:val="0"/>
    <w:pPr>
      <w:numPr>
        <w:ilvl w:val="5"/>
        <w:numId w:val="6"/>
      </w:numPr>
      <w:spacing w:before="156" w:after="156"/>
      <w:outlineLvl w:val="5"/>
    </w:pPr>
    <w:rPr>
      <w:rFonts w:ascii="华文细黑" w:eastAsia="华文细黑"/>
      <w:b/>
    </w:rPr>
  </w:style>
  <w:style w:type="paragraph" w:customStyle="1" w:styleId="136">
    <w:name w:val="table_1stline"/>
    <w:basedOn w:val="1"/>
    <w:autoRedefine/>
    <w:qFormat/>
    <w:uiPriority w:val="0"/>
    <w:pPr>
      <w:widowControl/>
      <w:spacing w:before="120"/>
      <w:jc w:val="left"/>
    </w:pPr>
    <w:rPr>
      <w:bCs/>
      <w:kern w:val="0"/>
      <w:sz w:val="20"/>
      <w:szCs w:val="20"/>
    </w:rPr>
  </w:style>
  <w:style w:type="paragraph" w:customStyle="1" w:styleId="137">
    <w:name w:val="Char Char Char Char Char Char Char Char Char"/>
    <w:basedOn w:val="1"/>
    <w:autoRedefine/>
    <w:qFormat/>
    <w:uiPriority w:val="0"/>
    <w:pPr>
      <w:snapToGrid w:val="0"/>
    </w:pPr>
    <w:rPr>
      <w:rFonts w:ascii="Tahoma" w:hAnsi="Tahoma"/>
      <w:szCs w:val="20"/>
    </w:rPr>
  </w:style>
  <w:style w:type="paragraph" w:customStyle="1" w:styleId="138">
    <w:name w:val="TOC 标题2"/>
    <w:basedOn w:val="2"/>
    <w:next w:val="1"/>
    <w:autoRedefine/>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139">
    <w:name w:val="Char Char Char"/>
    <w:basedOn w:val="1"/>
    <w:autoRedefine/>
    <w:qFormat/>
    <w:uiPriority w:val="0"/>
    <w:rPr>
      <w:rFonts w:ascii="Tahoma" w:hAnsi="Tahoma"/>
      <w:szCs w:val="20"/>
    </w:rPr>
  </w:style>
  <w:style w:type="paragraph" w:customStyle="1" w:styleId="140">
    <w:name w:val="Char1"/>
    <w:basedOn w:val="1"/>
    <w:autoRedefine/>
    <w:qFormat/>
    <w:uiPriority w:val="0"/>
    <w:pPr>
      <w:tabs>
        <w:tab w:val="left" w:pos="360"/>
      </w:tabs>
      <w:spacing w:line="240" w:lineRule="auto"/>
      <w:ind w:left="360" w:hanging="360" w:hangingChars="200"/>
    </w:pPr>
    <w:rPr>
      <w:szCs w:val="24"/>
    </w:rPr>
  </w:style>
  <w:style w:type="paragraph" w:customStyle="1" w:styleId="141">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142">
    <w:name w:val="文档正文"/>
    <w:basedOn w:val="1"/>
    <w:autoRedefine/>
    <w:qFormat/>
    <w:uiPriority w:val="0"/>
    <w:pPr>
      <w:adjustRightInd w:val="0"/>
      <w:spacing w:line="480" w:lineRule="atLeast"/>
      <w:ind w:firstLine="567"/>
      <w:textAlignment w:val="baseline"/>
    </w:pPr>
    <w:rPr>
      <w:rFonts w:ascii="长城仿宋" w:eastAsia="长城仿宋"/>
      <w:kern w:val="0"/>
      <w:sz w:val="28"/>
      <w:szCs w:val="20"/>
    </w:rPr>
  </w:style>
  <w:style w:type="paragraph" w:customStyle="1" w:styleId="143">
    <w:name w:val="a"/>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44">
    <w:name w:val="表格文字"/>
    <w:basedOn w:val="1"/>
    <w:autoRedefine/>
    <w:qFormat/>
    <w:uiPriority w:val="0"/>
    <w:pPr>
      <w:spacing w:line="240" w:lineRule="auto"/>
      <w:jc w:val="left"/>
    </w:pPr>
    <w:rPr>
      <w:rFonts w:ascii="宋体" w:hAnsi="宋体" w:cs="宋体"/>
      <w:sz w:val="18"/>
      <w:szCs w:val="18"/>
    </w:rPr>
  </w:style>
  <w:style w:type="paragraph" w:customStyle="1" w:styleId="1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146">
    <w:name w:val="样式4"/>
    <w:basedOn w:val="1"/>
    <w:autoRedefine/>
    <w:qFormat/>
    <w:uiPriority w:val="0"/>
    <w:pPr>
      <w:spacing w:line="240" w:lineRule="auto"/>
      <w:ind w:hanging="2"/>
      <w:jc w:val="center"/>
    </w:pPr>
    <w:rPr>
      <w:spacing w:val="-12"/>
      <w:szCs w:val="24"/>
    </w:rPr>
  </w:style>
  <w:style w:type="paragraph" w:customStyle="1" w:styleId="147">
    <w:name w:val="正文文本缩进 211"/>
    <w:basedOn w:val="1"/>
    <w:autoRedefine/>
    <w:qFormat/>
    <w:uiPriority w:val="0"/>
    <w:pPr>
      <w:autoSpaceDE w:val="0"/>
      <w:autoSpaceDN w:val="0"/>
      <w:adjustRightInd w:val="0"/>
      <w:spacing w:line="480" w:lineRule="atLeast"/>
      <w:ind w:firstLine="567"/>
      <w:textAlignment w:val="baseline"/>
    </w:pPr>
    <w:rPr>
      <w:rFonts w:ascii="仿宋_GB2312" w:eastAsia="仿宋_GB2312"/>
      <w:kern w:val="0"/>
      <w:sz w:val="28"/>
      <w:szCs w:val="20"/>
    </w:rPr>
  </w:style>
  <w:style w:type="paragraph" w:customStyle="1" w:styleId="148">
    <w:name w:val="普通 (Web)"/>
    <w:basedOn w:val="1"/>
    <w:autoRedefine/>
    <w:qFormat/>
    <w:uiPriority w:val="0"/>
    <w:pPr>
      <w:widowControl/>
      <w:spacing w:before="100" w:beforeAutospacing="1" w:after="100" w:afterAutospacing="1"/>
      <w:jc w:val="left"/>
    </w:pPr>
    <w:rPr>
      <w:rFonts w:ascii="宋体" w:hAnsi="宋体"/>
      <w:kern w:val="0"/>
      <w:szCs w:val="24"/>
    </w:rPr>
  </w:style>
  <w:style w:type="paragraph" w:customStyle="1" w:styleId="149">
    <w:name w:val="网格表 31"/>
    <w:basedOn w:val="2"/>
    <w:next w:val="1"/>
    <w:autoRedefine/>
    <w:qFormat/>
    <w:uiPriority w:val="0"/>
    <w:pPr>
      <w:keepLines/>
      <w:pageBreakBefore/>
      <w:widowControl/>
      <w:spacing w:before="480" w:line="276" w:lineRule="auto"/>
      <w:jc w:val="left"/>
      <w:outlineLvl w:val="9"/>
    </w:pPr>
    <w:rPr>
      <w:rFonts w:ascii="Cambria" w:hAnsi="Cambria" w:eastAsia="黑体"/>
      <w:b/>
      <w:bCs/>
      <w:color w:val="365F91"/>
      <w:kern w:val="0"/>
    </w:rPr>
  </w:style>
  <w:style w:type="paragraph" w:customStyle="1" w:styleId="15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1">
    <w:name w:val="工可大编号"/>
    <w:basedOn w:val="1"/>
    <w:autoRedefine/>
    <w:qFormat/>
    <w:uiPriority w:val="0"/>
    <w:pPr>
      <w:numPr>
        <w:ilvl w:val="0"/>
        <w:numId w:val="8"/>
      </w:numPr>
      <w:tabs>
        <w:tab w:val="left" w:pos="360"/>
      </w:tabs>
      <w:adjustRightInd w:val="0"/>
      <w:spacing w:line="240" w:lineRule="auto"/>
    </w:pPr>
    <w:rPr>
      <w:kern w:val="0"/>
      <w:sz w:val="28"/>
      <w:szCs w:val="22"/>
    </w:rPr>
  </w:style>
  <w:style w:type="paragraph" w:customStyle="1" w:styleId="152">
    <w:name w:val="我的修改正文"/>
    <w:basedOn w:val="15"/>
    <w:next w:val="15"/>
    <w:autoRedefine/>
    <w:qFormat/>
    <w:uiPriority w:val="0"/>
    <w:pPr>
      <w:ind w:firstLine="200" w:firstLineChars="200"/>
      <w:jc w:val="left"/>
    </w:pPr>
    <w:rPr>
      <w:rFonts w:ascii="Calibri" w:hAnsi="Calibri" w:eastAsia="宋体"/>
      <w:kern w:val="0"/>
      <w:szCs w:val="20"/>
    </w:rPr>
  </w:style>
  <w:style w:type="paragraph" w:customStyle="1" w:styleId="153">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4">
    <w:name w:val="列表11"/>
    <w:basedOn w:val="1"/>
    <w:autoRedefine/>
    <w:qFormat/>
    <w:uiPriority w:val="0"/>
    <w:pPr>
      <w:numPr>
        <w:ilvl w:val="0"/>
        <w:numId w:val="9"/>
      </w:numPr>
      <w:spacing w:line="240" w:lineRule="auto"/>
    </w:pPr>
    <w:rPr>
      <w:rFonts w:ascii="Arial" w:hAnsi="Arial"/>
      <w:sz w:val="28"/>
      <w:szCs w:val="28"/>
    </w:rPr>
  </w:style>
  <w:style w:type="paragraph" w:customStyle="1" w:styleId="155">
    <w:name w:val="BT Char Char Char"/>
    <w:basedOn w:val="1"/>
    <w:next w:val="41"/>
    <w:autoRedefine/>
    <w:qFormat/>
    <w:uiPriority w:val="0"/>
    <w:pPr>
      <w:spacing w:line="240" w:lineRule="auto"/>
    </w:pPr>
    <w:rPr>
      <w:sz w:val="28"/>
      <w:szCs w:val="28"/>
    </w:rPr>
  </w:style>
  <w:style w:type="paragraph" w:customStyle="1" w:styleId="156">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4"/>
    </w:rPr>
  </w:style>
  <w:style w:type="paragraph" w:customStyle="1" w:styleId="157">
    <w:name w:val="GP标题2"/>
    <w:basedOn w:val="1"/>
    <w:next w:val="1"/>
    <w:autoRedefine/>
    <w:qFormat/>
    <w:uiPriority w:val="0"/>
    <w:pPr>
      <w:numPr>
        <w:ilvl w:val="1"/>
        <w:numId w:val="6"/>
      </w:numPr>
      <w:spacing w:beforeLines="50" w:afterLines="50" w:line="300" w:lineRule="auto"/>
      <w:outlineLvl w:val="1"/>
    </w:pPr>
    <w:rPr>
      <w:rFonts w:ascii="华文细黑" w:hAnsi="华文细黑" w:eastAsia="华文细黑"/>
      <w:b/>
      <w:sz w:val="32"/>
    </w:rPr>
  </w:style>
  <w:style w:type="paragraph" w:customStyle="1" w:styleId="15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9">
    <w:name w:val="正文文本缩进 22"/>
    <w:basedOn w:val="1"/>
    <w:autoRedefine/>
    <w:qFormat/>
    <w:uiPriority w:val="0"/>
    <w:pPr>
      <w:autoSpaceDE w:val="0"/>
      <w:autoSpaceDN w:val="0"/>
      <w:adjustRightInd w:val="0"/>
      <w:spacing w:line="480" w:lineRule="atLeast"/>
      <w:ind w:firstLine="567"/>
      <w:textAlignment w:val="baseline"/>
    </w:pPr>
    <w:rPr>
      <w:rFonts w:ascii="仿宋_GB2312" w:eastAsia="仿宋_GB2312"/>
      <w:kern w:val="0"/>
      <w:sz w:val="28"/>
      <w:szCs w:val="20"/>
    </w:rPr>
  </w:style>
  <w:style w:type="paragraph" w:customStyle="1" w:styleId="160">
    <w:name w:val="Char2"/>
    <w:basedOn w:val="1"/>
    <w:autoRedefine/>
    <w:qFormat/>
    <w:uiPriority w:val="0"/>
    <w:pPr>
      <w:widowControl/>
      <w:spacing w:after="160" w:line="240" w:lineRule="exact"/>
      <w:jc w:val="left"/>
    </w:pPr>
    <w:rPr>
      <w:rFonts w:ascii="Arial" w:hAnsi="Arial"/>
      <w:kern w:val="0"/>
      <w:sz w:val="22"/>
      <w:szCs w:val="22"/>
      <w:lang w:eastAsia="en-US"/>
    </w:rPr>
  </w:style>
  <w:style w:type="paragraph" w:customStyle="1" w:styleId="161">
    <w:name w:val="Char3"/>
    <w:basedOn w:val="43"/>
    <w:autoRedefine/>
    <w:qFormat/>
    <w:uiPriority w:val="0"/>
    <w:pPr>
      <w:adjustRightInd w:val="0"/>
      <w:snapToGrid w:val="0"/>
    </w:pPr>
    <w:rPr>
      <w:rFonts w:ascii="Tahoma" w:hAnsi="Tahoma"/>
      <w:szCs w:val="24"/>
    </w:rPr>
  </w:style>
  <w:style w:type="paragraph" w:customStyle="1" w:styleId="162">
    <w:name w:val="GP标题3"/>
    <w:basedOn w:val="1"/>
    <w:next w:val="1"/>
    <w:autoRedefine/>
    <w:qFormat/>
    <w:uiPriority w:val="0"/>
    <w:pPr>
      <w:numPr>
        <w:ilvl w:val="2"/>
        <w:numId w:val="6"/>
      </w:numPr>
      <w:spacing w:beforeLines="50" w:afterLines="50"/>
      <w:outlineLvl w:val="2"/>
    </w:pPr>
    <w:rPr>
      <w:rFonts w:ascii="华文细黑" w:hAnsi="华文细黑" w:eastAsia="华文细黑"/>
      <w:b/>
      <w:sz w:val="30"/>
    </w:rPr>
  </w:style>
  <w:style w:type="paragraph" w:customStyle="1" w:styleId="163">
    <w:name w:val="寄信人地址1"/>
    <w:basedOn w:val="1"/>
    <w:autoRedefine/>
    <w:qFormat/>
    <w:uiPriority w:val="0"/>
    <w:pPr>
      <w:widowControl/>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rPr>
  </w:style>
  <w:style w:type="paragraph" w:customStyle="1" w:styleId="164">
    <w:name w:val="引文目录标题1"/>
    <w:basedOn w:val="1"/>
    <w:next w:val="1"/>
    <w:autoRedefine/>
    <w:qFormat/>
    <w:uiPriority w:val="0"/>
    <w:pPr>
      <w:widowControl/>
      <w:kinsoku w:val="0"/>
      <w:autoSpaceDE w:val="0"/>
      <w:autoSpaceDN w:val="0"/>
      <w:adjustRightInd w:val="0"/>
      <w:snapToGrid w:val="0"/>
      <w:spacing w:before="120" w:line="240" w:lineRule="auto"/>
      <w:jc w:val="left"/>
      <w:textAlignment w:val="baseline"/>
    </w:pPr>
    <w:rPr>
      <w:rFonts w:ascii="Arial" w:hAnsi="Arial" w:eastAsia="Arial" w:cs="Arial"/>
      <w:snapToGrid w:val="0"/>
      <w:color w:val="000000"/>
      <w:kern w:val="0"/>
    </w:rPr>
  </w:style>
  <w:style w:type="paragraph" w:customStyle="1" w:styleId="165">
    <w:name w:val="正文首行缩进 2 Char Char"/>
    <w:basedOn w:val="77"/>
    <w:autoRedefine/>
    <w:qFormat/>
    <w:uiPriority w:val="0"/>
    <w:pPr>
      <w:kinsoku w:val="0"/>
      <w:autoSpaceDE w:val="0"/>
      <w:autoSpaceDN w:val="0"/>
      <w:ind w:firstLine="420" w:firstLineChars="200"/>
      <w:textAlignment w:val="baseline"/>
    </w:pPr>
    <w:rPr>
      <w:rFonts w:ascii="Times New Roman" w:hAnsi="Times New Roman"/>
      <w:snapToGrid w:val="0"/>
      <w:color w:val="000000"/>
      <w:sz w:val="21"/>
      <w:szCs w:val="20"/>
    </w:rPr>
  </w:style>
  <w:style w:type="paragraph" w:customStyle="1" w:styleId="166">
    <w:name w:val="UserStyle_0"/>
    <w:basedOn w:val="167"/>
    <w:autoRedefine/>
    <w:qFormat/>
    <w:uiPriority w:val="0"/>
    <w:pPr>
      <w:ind w:firstLine="420" w:firstLineChars="200"/>
    </w:pPr>
  </w:style>
  <w:style w:type="paragraph" w:customStyle="1" w:styleId="167">
    <w:name w:val="BodyTextIndent"/>
    <w:basedOn w:val="1"/>
    <w:next w:val="1"/>
    <w:autoRedefine/>
    <w:qFormat/>
    <w:uiPriority w:val="0"/>
    <w:pPr>
      <w:widowControl/>
      <w:kinsoku w:val="0"/>
      <w:autoSpaceDE w:val="0"/>
      <w:autoSpaceDN w:val="0"/>
      <w:adjustRightInd w:val="0"/>
      <w:snapToGrid w:val="0"/>
      <w:spacing w:after="120" w:line="240" w:lineRule="auto"/>
      <w:ind w:left="420" w:leftChars="200"/>
      <w:textAlignment w:val="baseline"/>
    </w:pPr>
    <w:rPr>
      <w:rFonts w:cs="Arial"/>
      <w:snapToGrid w:val="0"/>
      <w:color w:val="000000"/>
      <w:sz w:val="21"/>
      <w:szCs w:val="20"/>
    </w:rPr>
  </w:style>
  <w:style w:type="paragraph" w:customStyle="1" w:styleId="168">
    <w:name w:val="列出段落2"/>
    <w:basedOn w:val="1"/>
    <w:autoRedefine/>
    <w:qFormat/>
    <w:uiPriority w:val="0"/>
    <w:pPr>
      <w:ind w:firstLine="420" w:firstLineChars="200"/>
    </w:pPr>
  </w:style>
  <w:style w:type="character" w:customStyle="1" w:styleId="169">
    <w:name w:val="页码1"/>
    <w:autoRedefine/>
    <w:qFormat/>
    <w:uiPriority w:val="0"/>
  </w:style>
  <w:style w:type="character" w:customStyle="1" w:styleId="170">
    <w:name w:val="批注引用1"/>
    <w:autoRedefine/>
    <w:qFormat/>
    <w:uiPriority w:val="0"/>
    <w:rPr>
      <w:sz w:val="21"/>
      <w:szCs w:val="21"/>
    </w:rPr>
  </w:style>
  <w:style w:type="character" w:customStyle="1" w:styleId="171">
    <w:name w:val="宏文本 字符"/>
    <w:link w:val="41"/>
    <w:autoRedefine/>
    <w:semiHidden/>
    <w:qFormat/>
    <w:uiPriority w:val="0"/>
    <w:rPr>
      <w:rFonts w:ascii="Courier New" w:hAnsi="Courier New"/>
      <w:kern w:val="2"/>
      <w:sz w:val="24"/>
      <w:szCs w:val="24"/>
      <w:lang w:val="en-US" w:eastAsia="zh-CN" w:bidi="ar-SA"/>
    </w:rPr>
  </w:style>
  <w:style w:type="character" w:customStyle="1" w:styleId="172">
    <w:name w:val="标题 1 字符"/>
    <w:link w:val="2"/>
    <w:autoRedefine/>
    <w:semiHidden/>
    <w:qFormat/>
    <w:uiPriority w:val="0"/>
    <w:rPr>
      <w:rFonts w:ascii="楷体_GB2312" w:eastAsia="楷体_GB2312"/>
      <w:kern w:val="2"/>
      <w:sz w:val="28"/>
      <w:szCs w:val="28"/>
    </w:rPr>
  </w:style>
  <w:style w:type="character" w:customStyle="1" w:styleId="173">
    <w:name w:val="标题 2 字符1"/>
    <w:link w:val="3"/>
    <w:autoRedefine/>
    <w:semiHidden/>
    <w:qFormat/>
    <w:uiPriority w:val="0"/>
    <w:rPr>
      <w:rFonts w:ascii="Arial" w:hAnsi="Arial" w:eastAsia="幼圆" w:cs="Arial"/>
      <w:b/>
      <w:bCs/>
      <w:kern w:val="2"/>
      <w:sz w:val="44"/>
      <w:szCs w:val="44"/>
    </w:rPr>
  </w:style>
  <w:style w:type="character" w:customStyle="1" w:styleId="174">
    <w:name w:val="标题 3 字符"/>
    <w:link w:val="4"/>
    <w:autoRedefine/>
    <w:semiHidden/>
    <w:qFormat/>
    <w:uiPriority w:val="0"/>
    <w:rPr>
      <w:b/>
      <w:bCs/>
      <w:kern w:val="2"/>
      <w:sz w:val="32"/>
      <w:szCs w:val="32"/>
    </w:rPr>
  </w:style>
  <w:style w:type="character" w:customStyle="1" w:styleId="175">
    <w:name w:val="标题 4 字符"/>
    <w:link w:val="5"/>
    <w:autoRedefine/>
    <w:semiHidden/>
    <w:qFormat/>
    <w:uiPriority w:val="0"/>
    <w:rPr>
      <w:rFonts w:ascii="Arial" w:hAnsi="Arial" w:eastAsia="黑体" w:cs="Arial"/>
      <w:b/>
      <w:bCs/>
      <w:kern w:val="2"/>
      <w:sz w:val="28"/>
      <w:szCs w:val="28"/>
    </w:rPr>
  </w:style>
  <w:style w:type="character" w:customStyle="1" w:styleId="176">
    <w:name w:val="正文缩进 字符1"/>
    <w:link w:val="6"/>
    <w:autoRedefine/>
    <w:semiHidden/>
    <w:qFormat/>
    <w:uiPriority w:val="0"/>
    <w:rPr>
      <w:rFonts w:eastAsia="宋体"/>
      <w:kern w:val="2"/>
      <w:sz w:val="21"/>
      <w:szCs w:val="21"/>
      <w:lang w:val="en-US" w:eastAsia="zh-CN" w:bidi="ar-SA"/>
    </w:rPr>
  </w:style>
  <w:style w:type="character" w:customStyle="1" w:styleId="177">
    <w:name w:val="标题 5 字符"/>
    <w:link w:val="7"/>
    <w:autoRedefine/>
    <w:semiHidden/>
    <w:qFormat/>
    <w:uiPriority w:val="0"/>
    <w:rPr>
      <w:rFonts w:ascii="宋体"/>
      <w:color w:val="000000"/>
      <w:sz w:val="28"/>
      <w:szCs w:val="28"/>
    </w:rPr>
  </w:style>
  <w:style w:type="character" w:customStyle="1" w:styleId="178">
    <w:name w:val="标题 6 字符"/>
    <w:link w:val="8"/>
    <w:autoRedefine/>
    <w:semiHidden/>
    <w:qFormat/>
    <w:uiPriority w:val="0"/>
    <w:rPr>
      <w:rFonts w:ascii="Arial" w:hAnsi="Arial" w:eastAsia="黑体"/>
      <w:b/>
      <w:bCs/>
      <w:kern w:val="2"/>
      <w:sz w:val="24"/>
      <w:szCs w:val="24"/>
    </w:rPr>
  </w:style>
  <w:style w:type="character" w:customStyle="1" w:styleId="179">
    <w:name w:val="标题 7 字符"/>
    <w:link w:val="9"/>
    <w:autoRedefine/>
    <w:semiHidden/>
    <w:qFormat/>
    <w:uiPriority w:val="0"/>
    <w:rPr>
      <w:b/>
      <w:bCs/>
      <w:kern w:val="2"/>
      <w:sz w:val="24"/>
      <w:szCs w:val="24"/>
    </w:rPr>
  </w:style>
  <w:style w:type="character" w:customStyle="1" w:styleId="180">
    <w:name w:val="标题 8 字符"/>
    <w:link w:val="10"/>
    <w:autoRedefine/>
    <w:semiHidden/>
    <w:qFormat/>
    <w:uiPriority w:val="0"/>
    <w:rPr>
      <w:rFonts w:ascii="Arial" w:hAnsi="Arial" w:eastAsia="黑体"/>
      <w:kern w:val="2"/>
      <w:sz w:val="24"/>
      <w:szCs w:val="24"/>
    </w:rPr>
  </w:style>
  <w:style w:type="character" w:customStyle="1" w:styleId="181">
    <w:name w:val="标题 9 字符"/>
    <w:link w:val="11"/>
    <w:autoRedefine/>
    <w:semiHidden/>
    <w:qFormat/>
    <w:uiPriority w:val="0"/>
    <w:rPr>
      <w:rFonts w:ascii="Arial" w:hAnsi="Arial" w:eastAsia="黑体"/>
      <w:kern w:val="2"/>
      <w:sz w:val="24"/>
      <w:szCs w:val="21"/>
    </w:rPr>
  </w:style>
  <w:style w:type="character" w:customStyle="1" w:styleId="182">
    <w:name w:val="文档结构图 字符"/>
    <w:link w:val="43"/>
    <w:autoRedefine/>
    <w:semiHidden/>
    <w:qFormat/>
    <w:uiPriority w:val="0"/>
    <w:rPr>
      <w:kern w:val="2"/>
      <w:sz w:val="24"/>
      <w:szCs w:val="21"/>
      <w:shd w:val="clear" w:color="auto" w:fill="000080"/>
    </w:rPr>
  </w:style>
  <w:style w:type="character" w:customStyle="1" w:styleId="183">
    <w:name w:val="批注文字 字符"/>
    <w:link w:val="14"/>
    <w:autoRedefine/>
    <w:semiHidden/>
    <w:qFormat/>
    <w:uiPriority w:val="0"/>
    <w:rPr>
      <w:kern w:val="2"/>
      <w:sz w:val="24"/>
      <w:szCs w:val="21"/>
    </w:rPr>
  </w:style>
  <w:style w:type="character" w:customStyle="1" w:styleId="184">
    <w:name w:val="正文文本 字符"/>
    <w:link w:val="15"/>
    <w:autoRedefine/>
    <w:semiHidden/>
    <w:qFormat/>
    <w:uiPriority w:val="0"/>
    <w:rPr>
      <w:rFonts w:ascii="楷体_GB2312" w:hAnsi="Arial" w:eastAsia="楷体_GB2312"/>
      <w:kern w:val="2"/>
      <w:sz w:val="28"/>
      <w:szCs w:val="28"/>
    </w:rPr>
  </w:style>
  <w:style w:type="character" w:customStyle="1" w:styleId="185">
    <w:name w:val="正文文本缩进 字符"/>
    <w:link w:val="45"/>
    <w:autoRedefine/>
    <w:semiHidden/>
    <w:qFormat/>
    <w:uiPriority w:val="0"/>
    <w:rPr>
      <w:rFonts w:ascii="楷体_GB2312" w:eastAsia="楷体_GB2312"/>
      <w:kern w:val="2"/>
      <w:sz w:val="32"/>
      <w:szCs w:val="32"/>
    </w:rPr>
  </w:style>
  <w:style w:type="character" w:customStyle="1" w:styleId="186">
    <w:name w:val="纯文本 字符"/>
    <w:link w:val="48"/>
    <w:autoRedefine/>
    <w:semiHidden/>
    <w:qFormat/>
    <w:uiPriority w:val="0"/>
    <w:rPr>
      <w:rFonts w:ascii="宋体" w:hAnsi="Courier New" w:cs="Courier New"/>
      <w:kern w:val="2"/>
      <w:sz w:val="24"/>
      <w:szCs w:val="21"/>
    </w:rPr>
  </w:style>
  <w:style w:type="character" w:customStyle="1" w:styleId="187">
    <w:name w:val="日期 字符"/>
    <w:link w:val="49"/>
    <w:autoRedefine/>
    <w:semiHidden/>
    <w:qFormat/>
    <w:uiPriority w:val="0"/>
    <w:rPr>
      <w:kern w:val="2"/>
      <w:sz w:val="24"/>
      <w:szCs w:val="24"/>
    </w:rPr>
  </w:style>
  <w:style w:type="character" w:customStyle="1" w:styleId="188">
    <w:name w:val="正文文本缩进 2 字符"/>
    <w:link w:val="50"/>
    <w:autoRedefine/>
    <w:semiHidden/>
    <w:qFormat/>
    <w:uiPriority w:val="0"/>
    <w:rPr>
      <w:rFonts w:ascii="Arial" w:hAnsi="Arial" w:eastAsia="仿宋_GB2312" w:cs="Arial"/>
      <w:kern w:val="2"/>
      <w:sz w:val="32"/>
      <w:szCs w:val="32"/>
    </w:rPr>
  </w:style>
  <w:style w:type="character" w:customStyle="1" w:styleId="189">
    <w:name w:val="批注框文本 字符"/>
    <w:link w:val="60"/>
    <w:autoRedefine/>
    <w:semiHidden/>
    <w:qFormat/>
    <w:uiPriority w:val="0"/>
    <w:rPr>
      <w:kern w:val="2"/>
      <w:sz w:val="18"/>
      <w:szCs w:val="18"/>
    </w:rPr>
  </w:style>
  <w:style w:type="character" w:customStyle="1" w:styleId="190">
    <w:name w:val="页脚 字符"/>
    <w:link w:val="20"/>
    <w:autoRedefine/>
    <w:semiHidden/>
    <w:qFormat/>
    <w:uiPriority w:val="0"/>
    <w:rPr>
      <w:kern w:val="2"/>
      <w:sz w:val="18"/>
      <w:szCs w:val="18"/>
    </w:rPr>
  </w:style>
  <w:style w:type="character" w:customStyle="1" w:styleId="191">
    <w:name w:val="页眉 字符"/>
    <w:link w:val="21"/>
    <w:autoRedefine/>
    <w:semiHidden/>
    <w:qFormat/>
    <w:uiPriority w:val="0"/>
    <w:rPr>
      <w:kern w:val="2"/>
      <w:sz w:val="18"/>
      <w:szCs w:val="18"/>
    </w:rPr>
  </w:style>
  <w:style w:type="character" w:customStyle="1" w:styleId="192">
    <w:name w:val="副标题 字符"/>
    <w:link w:val="24"/>
    <w:autoRedefine/>
    <w:semiHidden/>
    <w:qFormat/>
    <w:uiPriority w:val="0"/>
    <w:rPr>
      <w:rFonts w:ascii="Cambria" w:hAnsi="Cambria"/>
      <w:b/>
      <w:bCs/>
      <w:kern w:val="28"/>
      <w:sz w:val="32"/>
      <w:szCs w:val="32"/>
    </w:rPr>
  </w:style>
  <w:style w:type="character" w:customStyle="1" w:styleId="193">
    <w:name w:val="脚注文本 字符"/>
    <w:link w:val="25"/>
    <w:autoRedefine/>
    <w:semiHidden/>
    <w:qFormat/>
    <w:uiPriority w:val="0"/>
    <w:rPr>
      <w:sz w:val="18"/>
      <w:szCs w:val="18"/>
    </w:rPr>
  </w:style>
  <w:style w:type="character" w:customStyle="1" w:styleId="194">
    <w:name w:val="正文文本缩进 3 字符"/>
    <w:link w:val="54"/>
    <w:autoRedefine/>
    <w:semiHidden/>
    <w:qFormat/>
    <w:uiPriority w:val="0"/>
    <w:rPr>
      <w:rFonts w:ascii="Arial" w:hAnsi="Arial" w:eastAsia="仿宋_GB2312" w:cs="Arial"/>
      <w:color w:val="FFFF00"/>
      <w:kern w:val="2"/>
      <w:sz w:val="32"/>
      <w:szCs w:val="32"/>
    </w:rPr>
  </w:style>
  <w:style w:type="character" w:customStyle="1" w:styleId="195">
    <w:name w:val="标题 字符"/>
    <w:link w:val="29"/>
    <w:autoRedefine/>
    <w:semiHidden/>
    <w:qFormat/>
    <w:uiPriority w:val="0"/>
    <w:rPr>
      <w:rFonts w:ascii="Cambria" w:hAnsi="Cambria"/>
      <w:b/>
      <w:bCs/>
      <w:sz w:val="32"/>
      <w:szCs w:val="32"/>
    </w:rPr>
  </w:style>
  <w:style w:type="character" w:customStyle="1" w:styleId="196">
    <w:name w:val="批注主题 字符"/>
    <w:link w:val="59"/>
    <w:autoRedefine/>
    <w:semiHidden/>
    <w:qFormat/>
    <w:uiPriority w:val="0"/>
    <w:rPr>
      <w:b/>
      <w:bCs/>
      <w:kern w:val="2"/>
      <w:sz w:val="24"/>
      <w:szCs w:val="21"/>
    </w:rPr>
  </w:style>
  <w:style w:type="character" w:customStyle="1" w:styleId="197">
    <w:name w:val="正文首行缩进 字符"/>
    <w:link w:val="57"/>
    <w:autoRedefine/>
    <w:semiHidden/>
    <w:qFormat/>
    <w:uiPriority w:val="0"/>
    <w:rPr>
      <w:rFonts w:ascii="仿宋_GB2312" w:eastAsia="仿宋_GB2312"/>
      <w:kern w:val="2"/>
      <w:sz w:val="30"/>
      <w:szCs w:val="30"/>
    </w:rPr>
  </w:style>
  <w:style w:type="character" w:customStyle="1" w:styleId="198">
    <w:name w:val="副标题 Char1"/>
    <w:autoRedefine/>
    <w:qFormat/>
    <w:uiPriority w:val="0"/>
    <w:rPr>
      <w:rFonts w:ascii="Cambria" w:hAnsi="Cambria" w:cs="Times New Roman"/>
      <w:b/>
      <w:bCs/>
      <w:kern w:val="28"/>
      <w:sz w:val="32"/>
      <w:szCs w:val="32"/>
    </w:rPr>
  </w:style>
  <w:style w:type="character" w:customStyle="1" w:styleId="199">
    <w:name w:val="我的正文 Char Char"/>
    <w:link w:val="61"/>
    <w:autoRedefine/>
    <w:semiHidden/>
    <w:qFormat/>
    <w:uiPriority w:val="0"/>
    <w:rPr>
      <w:rFonts w:eastAsia="仿宋_GB2312"/>
      <w:kern w:val="2"/>
      <w:sz w:val="28"/>
      <w:szCs w:val="28"/>
    </w:rPr>
  </w:style>
  <w:style w:type="character" w:customStyle="1" w:styleId="200">
    <w:name w:val="小条目 Char Char"/>
    <w:link w:val="62"/>
    <w:autoRedefine/>
    <w:semiHidden/>
    <w:qFormat/>
    <w:uiPriority w:val="0"/>
    <w:rPr>
      <w:rFonts w:ascii="宋体" w:hAnsi="Courier New"/>
      <w:sz w:val="28"/>
      <w:szCs w:val="24"/>
    </w:rPr>
  </w:style>
  <w:style w:type="character" w:customStyle="1" w:styleId="201">
    <w:name w:val="工可正文 Char Char"/>
    <w:link w:val="63"/>
    <w:autoRedefine/>
    <w:semiHidden/>
    <w:qFormat/>
    <w:uiPriority w:val="0"/>
    <w:rPr>
      <w:rFonts w:ascii="宋体" w:hAnsi="Courier New" w:eastAsia="宋体" w:cs="Times New Roman"/>
      <w:kern w:val="0"/>
      <w:sz w:val="28"/>
      <w:szCs w:val="20"/>
    </w:rPr>
  </w:style>
  <w:style w:type="character" w:customStyle="1" w:styleId="202">
    <w:name w:val="标题 Char1"/>
    <w:autoRedefine/>
    <w:qFormat/>
    <w:uiPriority w:val="0"/>
    <w:rPr>
      <w:rFonts w:ascii="Cambria" w:hAnsi="Cambria" w:cs="Times New Roman"/>
      <w:b/>
      <w:bCs/>
      <w:kern w:val="2"/>
      <w:sz w:val="32"/>
      <w:szCs w:val="32"/>
    </w:rPr>
  </w:style>
  <w:style w:type="character" w:customStyle="1" w:styleId="203">
    <w:name w:val="html_tag1"/>
    <w:autoRedefine/>
    <w:qFormat/>
    <w:uiPriority w:val="0"/>
    <w:rPr>
      <w:color w:val="0000FF"/>
    </w:rPr>
  </w:style>
  <w:style w:type="character" w:customStyle="1" w:styleId="204">
    <w:name w:val="图注 Char Char"/>
    <w:link w:val="65"/>
    <w:autoRedefine/>
    <w:semiHidden/>
    <w:qFormat/>
    <w:uiPriority w:val="0"/>
    <w:rPr>
      <w:rFonts w:ascii="宋体" w:hAnsi="宋体"/>
      <w:sz w:val="24"/>
      <w:szCs w:val="24"/>
    </w:rPr>
  </w:style>
  <w:style w:type="character" w:customStyle="1" w:styleId="205">
    <w:name w:val="列表段落 字符"/>
    <w:autoRedefine/>
    <w:qFormat/>
    <w:uiPriority w:val="0"/>
    <w:rPr>
      <w:rFonts w:ascii="Calibri" w:hAnsi="Calibri"/>
      <w:sz w:val="24"/>
      <w:szCs w:val="24"/>
      <w:lang w:eastAsia="en-US" w:bidi="en-US"/>
    </w:rPr>
  </w:style>
  <w:style w:type="character" w:customStyle="1" w:styleId="206">
    <w:name w:val="一级小编号 Char Char"/>
    <w:link w:val="66"/>
    <w:autoRedefine/>
    <w:semiHidden/>
    <w:qFormat/>
    <w:uiPriority w:val="0"/>
    <w:rPr>
      <w:rFonts w:ascii="宋体" w:hAnsi="Courier New"/>
      <w:b/>
      <w:kern w:val="2"/>
      <w:sz w:val="28"/>
      <w:szCs w:val="24"/>
      <w:lang w:val="en-US" w:eastAsia="zh-CN" w:bidi="ar-SA"/>
    </w:rPr>
  </w:style>
  <w:style w:type="character" w:customStyle="1" w:styleId="207">
    <w:name w:val="无间隔 Char"/>
    <w:link w:val="67"/>
    <w:autoRedefine/>
    <w:semiHidden/>
    <w:qFormat/>
    <w:uiPriority w:val="0"/>
    <w:rPr>
      <w:kern w:val="2"/>
      <w:sz w:val="22"/>
      <w:szCs w:val="22"/>
      <w:lang w:val="en-US" w:eastAsia="zh-CN" w:bidi="ar-SA"/>
    </w:rPr>
  </w:style>
  <w:style w:type="character" w:customStyle="1" w:styleId="208">
    <w:name w:val="hei1"/>
    <w:autoRedefine/>
    <w:qFormat/>
    <w:uiPriority w:val="0"/>
    <w:rPr>
      <w:color w:val="000000"/>
      <w:sz w:val="18"/>
      <w:szCs w:val="18"/>
      <w:u w:val="none"/>
    </w:rPr>
  </w:style>
  <w:style w:type="character" w:customStyle="1" w:styleId="209">
    <w:name w:val="日期 Char Char"/>
    <w:link w:val="68"/>
    <w:autoRedefine/>
    <w:semiHidden/>
    <w:qFormat/>
    <w:uiPriority w:val="0"/>
    <w:rPr>
      <w:szCs w:val="24"/>
    </w:rPr>
  </w:style>
  <w:style w:type="character" w:customStyle="1" w:styleId="210">
    <w:name w:val="样式2 Char Char"/>
    <w:link w:val="69"/>
    <w:autoRedefine/>
    <w:semiHidden/>
    <w:qFormat/>
    <w:uiPriority w:val="0"/>
    <w:rPr>
      <w:kern w:val="24"/>
      <w:sz w:val="28"/>
      <w:szCs w:val="28"/>
    </w:rPr>
  </w:style>
  <w:style w:type="character" w:customStyle="1" w:styleId="211">
    <w:name w:val="font91"/>
    <w:autoRedefine/>
    <w:qFormat/>
    <w:uiPriority w:val="0"/>
    <w:rPr>
      <w:rFonts w:hint="eastAsia" w:ascii="宋体" w:hAnsi="宋体" w:eastAsia="宋体" w:cs="宋体"/>
      <w:color w:val="000000"/>
      <w:sz w:val="20"/>
      <w:szCs w:val="20"/>
      <w:u w:val="none"/>
    </w:rPr>
  </w:style>
  <w:style w:type="character" w:customStyle="1" w:styleId="212">
    <w:name w:val="apple-style-span"/>
    <w:autoRedefine/>
    <w:qFormat/>
    <w:uiPriority w:val="0"/>
  </w:style>
  <w:style w:type="character" w:customStyle="1" w:styleId="213">
    <w:name w:val="研究报告正文 Char Char"/>
    <w:link w:val="70"/>
    <w:autoRedefine/>
    <w:semiHidden/>
    <w:qFormat/>
    <w:uiPriority w:val="0"/>
    <w:rPr>
      <w:sz w:val="28"/>
      <w:szCs w:val="24"/>
    </w:rPr>
  </w:style>
  <w:style w:type="character" w:customStyle="1" w:styleId="214">
    <w:name w:val="批注主题 Char Char"/>
    <w:link w:val="71"/>
    <w:autoRedefine/>
    <w:semiHidden/>
    <w:qFormat/>
    <w:uiPriority w:val="0"/>
    <w:rPr>
      <w:b/>
      <w:bCs/>
      <w:szCs w:val="24"/>
    </w:rPr>
  </w:style>
  <w:style w:type="character" w:customStyle="1" w:styleId="215">
    <w:name w:val="样式1 Char Char"/>
    <w:link w:val="72"/>
    <w:autoRedefine/>
    <w:semiHidden/>
    <w:qFormat/>
    <w:uiPriority w:val="0"/>
    <w:rPr>
      <w:rFonts w:ascii="宋体" w:hAnsi="宋体"/>
      <w:sz w:val="24"/>
      <w:szCs w:val="21"/>
    </w:rPr>
  </w:style>
  <w:style w:type="character" w:customStyle="1" w:styleId="216">
    <w:name w:val="标题 2 字符"/>
    <w:autoRedefine/>
    <w:qFormat/>
    <w:uiPriority w:val="0"/>
    <w:rPr>
      <w:rFonts w:ascii="Arial" w:hAnsi="Arial" w:eastAsia="幼圆" w:cs="Arial"/>
      <w:b/>
      <w:bCs/>
      <w:kern w:val="2"/>
      <w:sz w:val="44"/>
      <w:szCs w:val="44"/>
    </w:rPr>
  </w:style>
  <w:style w:type="character" w:customStyle="1" w:styleId="217">
    <w:name w:val="正文缩进 字符"/>
    <w:autoRedefine/>
    <w:qFormat/>
    <w:uiPriority w:val="0"/>
    <w:rPr>
      <w:rFonts w:eastAsia="宋体"/>
      <w:kern w:val="2"/>
      <w:sz w:val="21"/>
      <w:szCs w:val="21"/>
      <w:lang w:val="en-US" w:eastAsia="zh-CN" w:bidi="ar-SA"/>
    </w:rPr>
  </w:style>
  <w:style w:type="character" w:customStyle="1" w:styleId="218">
    <w:name w:val="二级目录 Char Char"/>
    <w:link w:val="73"/>
    <w:autoRedefine/>
    <w:semiHidden/>
    <w:qFormat/>
    <w:uiPriority w:val="0"/>
    <w:rPr>
      <w:b/>
      <w:kern w:val="2"/>
      <w:sz w:val="30"/>
      <w:szCs w:val="28"/>
      <w:lang w:val="en-US" w:eastAsia="zh-CN" w:bidi="ar-SA"/>
    </w:rPr>
  </w:style>
  <w:style w:type="character" w:customStyle="1" w:styleId="219">
    <w:name w:val="font21"/>
    <w:autoRedefine/>
    <w:qFormat/>
    <w:uiPriority w:val="0"/>
    <w:rPr>
      <w:rFonts w:ascii="Calibri" w:hAnsi="Calibri" w:cs="Calibri"/>
      <w:color w:val="000000"/>
      <w:sz w:val="20"/>
      <w:szCs w:val="20"/>
      <w:u w:val="none"/>
    </w:rPr>
  </w:style>
  <w:style w:type="character" w:customStyle="1" w:styleId="220">
    <w:name w:val="彩色列表 - 着色 1 字符"/>
    <w:autoRedefine/>
    <w:qFormat/>
    <w:uiPriority w:val="0"/>
    <w:rPr>
      <w:rFonts w:ascii="Calibri" w:hAnsi="Calibri"/>
      <w:sz w:val="24"/>
      <w:szCs w:val="24"/>
      <w:lang w:eastAsia="en-US" w:bidi="en-US"/>
    </w:rPr>
  </w:style>
  <w:style w:type="character" w:customStyle="1" w:styleId="221">
    <w:name w:val="html_txt1"/>
    <w:autoRedefine/>
    <w:qFormat/>
    <w:uiPriority w:val="0"/>
    <w:rPr>
      <w:color w:val="000000"/>
    </w:rPr>
  </w:style>
  <w:style w:type="character" w:customStyle="1" w:styleId="222">
    <w:name w:val="文档结构图 Char Char"/>
    <w:link w:val="74"/>
    <w:autoRedefine/>
    <w:semiHidden/>
    <w:qFormat/>
    <w:uiPriority w:val="0"/>
    <w:rPr>
      <w:sz w:val="28"/>
      <w:shd w:val="clear" w:color="auto" w:fill="000080"/>
    </w:rPr>
  </w:style>
  <w:style w:type="character" w:customStyle="1" w:styleId="223">
    <w:name w:val="正文 Char Char"/>
    <w:link w:val="75"/>
    <w:autoRedefine/>
    <w:semiHidden/>
    <w:qFormat/>
    <w:uiPriority w:val="0"/>
    <w:rPr>
      <w:rFonts w:hAnsi="Arial" w:cs="Arial"/>
      <w:kern w:val="2"/>
      <w:sz w:val="28"/>
      <w:szCs w:val="28"/>
      <w:lang w:val="en-US" w:eastAsia="zh-CN" w:bidi="ar-SA"/>
    </w:rPr>
  </w:style>
  <w:style w:type="character" w:customStyle="1" w:styleId="224">
    <w:name w:val="脚注文本 Char1"/>
    <w:autoRedefine/>
    <w:qFormat/>
    <w:uiPriority w:val="0"/>
    <w:rPr>
      <w:kern w:val="2"/>
      <w:sz w:val="18"/>
      <w:szCs w:val="18"/>
    </w:rPr>
  </w:style>
  <w:style w:type="character" w:customStyle="1" w:styleId="225">
    <w:name w:val="font5 Char Char"/>
    <w:autoRedefine/>
    <w:qFormat/>
    <w:uiPriority w:val="0"/>
    <w:rPr>
      <w:rFonts w:ascii="宋体" w:hAnsi="宋体" w:eastAsia="宋体"/>
      <w:sz w:val="28"/>
      <w:szCs w:val="28"/>
      <w:lang w:val="en-US" w:eastAsia="zh-CN" w:bidi="ar-SA"/>
    </w:rPr>
  </w:style>
  <w:style w:type="character" w:customStyle="1" w:styleId="226">
    <w:name w:val="我的列表 Char Char"/>
    <w:link w:val="76"/>
    <w:autoRedefine/>
    <w:semiHidden/>
    <w:qFormat/>
    <w:uiPriority w:val="0"/>
    <w:rPr>
      <w:rFonts w:ascii="仿宋_GB2312" w:hAnsi="Arial" w:eastAsia="仿宋_GB2312"/>
      <w:kern w:val="2"/>
      <w:sz w:val="28"/>
      <w:szCs w:val="18"/>
    </w:rPr>
  </w:style>
  <w:style w:type="character" w:customStyle="1" w:styleId="227">
    <w:name w:val="批注引用11"/>
    <w:autoRedefine/>
    <w:qFormat/>
    <w:uiPriority w:val="0"/>
    <w:rPr>
      <w:sz w:val="21"/>
      <w:szCs w:val="21"/>
    </w:rPr>
  </w:style>
  <w:style w:type="character" w:customStyle="1" w:styleId="228">
    <w:name w:val="正文文本缩进 Char Char"/>
    <w:link w:val="77"/>
    <w:autoRedefine/>
    <w:semiHidden/>
    <w:qFormat/>
    <w:uiPriority w:val="0"/>
    <w:rPr>
      <w:rFonts w:ascii="Calibri" w:hAnsi="Calibri"/>
      <w:szCs w:val="24"/>
    </w:rPr>
  </w:style>
  <w:style w:type="character" w:customStyle="1" w:styleId="229">
    <w:name w:val="font61"/>
    <w:autoRedefine/>
    <w:qFormat/>
    <w:uiPriority w:val="0"/>
    <w:rPr>
      <w:rFonts w:hint="eastAsia" w:ascii="宋体" w:hAnsi="宋体" w:eastAsia="宋体" w:cs="宋体"/>
      <w:color w:val="000000"/>
      <w:sz w:val="20"/>
      <w:szCs w:val="20"/>
      <w:u w:val="none"/>
    </w:rPr>
  </w:style>
  <w:style w:type="character" w:customStyle="1" w:styleId="230">
    <w:name w:val="二级小编号 Char Char"/>
    <w:link w:val="78"/>
    <w:autoRedefine/>
    <w:semiHidden/>
    <w:qFormat/>
    <w:uiPriority w:val="0"/>
    <w:rPr>
      <w:sz w:val="28"/>
      <w:szCs w:val="28"/>
    </w:rPr>
  </w:style>
  <w:style w:type="character" w:customStyle="1" w:styleId="231">
    <w:name w:val="正文文本缩进 3 Char Char"/>
    <w:link w:val="79"/>
    <w:autoRedefine/>
    <w:semiHidden/>
    <w:qFormat/>
    <w:uiPriority w:val="0"/>
    <w:rPr>
      <w:rFonts w:ascii="宋体"/>
      <w:color w:val="FF00FF"/>
      <w:sz w:val="28"/>
      <w:szCs w:val="24"/>
    </w:rPr>
  </w:style>
  <w:style w:type="character" w:customStyle="1" w:styleId="232">
    <w:name w:val="bookmark-item"/>
    <w:autoRedefine/>
    <w:qFormat/>
    <w:uiPriority w:val="0"/>
  </w:style>
  <w:style w:type="character" w:customStyle="1" w:styleId="233">
    <w:name w:val="NormalCharacter"/>
    <w:autoRedefine/>
    <w:qFormat/>
    <w:uiPriority w:val="0"/>
    <w:rPr>
      <w:rFonts w:ascii="Tahoma" w:hAnsi="Tahoma" w:eastAsia="微软雅黑" w:cs="Times New Roman"/>
      <w:sz w:val="22"/>
      <w:szCs w:val="22"/>
      <w:lang w:val="en-US" w:eastAsia="zh-CN" w:bidi="ar-SA"/>
    </w:rPr>
  </w:style>
  <w:style w:type="character" w:customStyle="1" w:styleId="234">
    <w:name w:val="公文:正文(缩进) 字符"/>
    <w:link w:val="235"/>
    <w:autoRedefine/>
    <w:qFormat/>
    <w:uiPriority w:val="0"/>
    <w:rPr>
      <w:rFonts w:eastAsia="仿宋_GB2312"/>
      <w:sz w:val="28"/>
    </w:rPr>
  </w:style>
  <w:style w:type="paragraph" w:customStyle="1" w:styleId="235">
    <w:name w:val="公文:正文(缩进)"/>
    <w:basedOn w:val="1"/>
    <w:link w:val="234"/>
    <w:autoRedefine/>
    <w:qFormat/>
    <w:uiPriority w:val="0"/>
    <w:pPr>
      <w:ind w:firstLine="20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10250</Words>
  <Characters>10967</Characters>
  <Lines>267</Lines>
  <Paragraphs>75</Paragraphs>
  <TotalTime>10</TotalTime>
  <ScaleCrop>false</ScaleCrop>
  <LinksUpToDate>false</LinksUpToDate>
  <CharactersWithSpaces>11029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2021-11-18T10:34:00Z</dcterms:created>
  <dc:creator>政府采购中心</dc:creator>
  <cp:lastModifiedBy>shu</cp:lastModifiedBy>
  <cp:lastPrinted>2020-05-14T14:40:00Z</cp:lastPrinted>
  <dcterms:modified xsi:type="dcterms:W3CDTF">2024-03-21T08:38:11Z</dcterms:modified>
  <dc:title>江苏省交通工程建设项目管理系统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6D32B214566D4B9B93122A2E44FC592C</vt:lpwstr>
  </property>
</Properties>
</file>