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  <w:t>喀什公路管理局2024年房建工程第一合同段</w:t>
      </w:r>
    </w:p>
    <w:p>
      <w:pPr>
        <w:spacing w:line="220" w:lineRule="atLeas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一、工程名称：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喀什公路管理局2024年房建工程第一合同段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二、建设地点：喀什地区喀什市、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疏附县、塔什库尔干县、莎车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境内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三、招标控制价：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其喀什分局水泵房及沥青厂库房维修改造上控价60.99591万元、疏附分局萨依巴格养护站办公楼及职工宿舍维修改造上控价24.4900万元、塔什库尔干分局办公楼更换维修更换塑钢窗上</w:t>
      </w: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控价10.8380万元、莎车分局恰热克道班新建围墙及值班室上控价32.6759万元。  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四、施工工期：预计开工日期：202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15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日，总工期：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日历天。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sz w:val="32"/>
          <w:szCs w:val="32"/>
          <w:lang w:val="zh-CN" w:eastAsia="zh-CN"/>
        </w:rPr>
      </w:pP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五、质量要求：</w:t>
      </w:r>
      <w:bookmarkStart w:id="0" w:name="D1质量要求"/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合格</w:t>
      </w:r>
      <w:bookmarkEnd w:id="0"/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 xml:space="preserve"> 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六、投标人资格要求：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1、投标人必须是中华人民共和国境内注册的，具有独立法人资格的企业；</w:t>
      </w:r>
    </w:p>
    <w:p>
      <w:pPr>
        <w:pStyle w:val="5"/>
        <w:numPr>
          <w:ilvl w:val="0"/>
          <w:numId w:val="0"/>
        </w:numPr>
        <w:spacing w:line="520" w:lineRule="exact"/>
        <w:ind w:firstLine="320" w:firstLineChars="100"/>
        <w:rPr>
          <w:rFonts w:hint="eastAsia" w:ascii="方正仿宋_GBK" w:hAnsi="方正仿宋_GBK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2、投标人须具备有效的资质证书，且满足本项目资质要求：</w:t>
      </w:r>
      <w:r>
        <w:rPr>
          <w:rFonts w:ascii="方正仿宋_GBK" w:hAnsi="方正仿宋_GBK"/>
          <w:szCs w:val="32"/>
        </w:rPr>
        <w:t>房屋建筑工程施工总承包三级及以上资质等级</w:t>
      </w:r>
      <w:r>
        <w:rPr>
          <w:rFonts w:hint="eastAsia" w:ascii="方正仿宋_GBK" w:hAnsi="方正仿宋_GBK"/>
          <w:szCs w:val="32"/>
          <w:lang w:eastAsia="zh-CN"/>
        </w:rPr>
        <w:t>的</w:t>
      </w:r>
      <w:r>
        <w:rPr>
          <w:rFonts w:ascii="方正仿宋_GBK" w:hAnsi="方正仿宋_GBK"/>
          <w:szCs w:val="32"/>
        </w:rPr>
        <w:t>施工企业</w:t>
      </w:r>
      <w:r>
        <w:rPr>
          <w:rFonts w:hint="eastAsia" w:ascii="方正仿宋_GBK" w:hAnsi="方正仿宋_GBK"/>
          <w:szCs w:val="32"/>
          <w:lang w:eastAsia="zh-CN"/>
        </w:rPr>
        <w:t>。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3、投标人须具备有效的安全生产许可证；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4、投标人的项目负责人要求：须同时具备注册建造师（建筑工程专业）二级及以上资格和有效的安全生产考核合格证书（B类），且在本单位注册，不得使用临时注册建造师且无在建项目；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5、其他说明：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（1）与招标人存在利害关系可能影响招标公正性的法人、其他组织或者个人，不得参加投标；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（2）单位负责人为同一人或者存在控股、管理关系的不同单位，不得参加同一标段投标或者未划分标段的同一招标项目投标，相关投标均无效；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  <w:t>（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3）</w:t>
      </w: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  <w:t>本项目不接受联合体。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  <w:t>七、投标计价方式：工程量清单计价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  <w:t>八、投标人提供的履约保证金额为：</w:t>
      </w:r>
      <w:bookmarkStart w:id="1" w:name="D1履约保证金额"/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  <w:t>合同价款的10%</w:t>
      </w:r>
      <w:bookmarkEnd w:id="1"/>
    </w:p>
    <w:p>
      <w:pPr>
        <w:spacing w:line="220" w:lineRule="atLeast"/>
        <w:ind w:firstLine="960" w:firstLineChars="3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履约保证金的形式：银行保函形式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  <w:t>九、注意事项：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</w:t>
      </w: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  <w:t>投标人应当根据《建设工程工程量清单计价规范》企业定额及当地市场因素及工程特点等报出综合单价。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2、</w:t>
      </w: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  <w:t>投标报价不得低于工程成本。投标人的投标报价高于上控制价的废标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3、</w:t>
      </w: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  <w:t>投标人应按招标工程量清单填报价格。项目编码、项目名称、项目特征、计量单位、工程量必须与招标工程量清单一致。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4、</w:t>
      </w: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  <w:t>每一项目只允许有一个报价，任何有选择报价将不予接受。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5</w:t>
      </w: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  <w:t>、安全文明施工费、规费和税金必须按国家或省级、行业建设主管部门的规定计算，不得作为竞争性费用。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十、响应文件上传的资料，顺序如下：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（一）企业资质、营业执照和法定代表人身份证明和投标人概况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  <w:t>（二）施工组织设计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（三）投标总价：按照每个项目上传的招标清单和招标工程量清单格式进行报价，注意模板表格顺序，不得遗漏报价，如有遗漏则表示相应工程报价包含于其它清单项目中，如中标进场施工后不应为由增加费用。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（四）投标文件书写要求：上传</w:t>
      </w: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  <w:t>纸张要求采用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A4</w:t>
      </w:r>
      <w:r>
        <w:rPr>
          <w:rFonts w:hint="eastAsia" w:ascii="仿宋" w:hAnsi="仿宋" w:eastAsia="仿宋" w:cs="仿宋"/>
          <w:kern w:val="2"/>
          <w:sz w:val="32"/>
          <w:szCs w:val="32"/>
          <w:lang w:val="zh-CN" w:eastAsia="zh-CN" w:bidi="ar-SA"/>
        </w:rPr>
        <w:t>打印纸，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采用的字体清晰易辨识，并附封面（投标人名称加盖公章）</w:t>
      </w:r>
    </w:p>
    <w:p>
      <w:pPr>
        <w:spacing w:line="220" w:lineRule="atLeast"/>
        <w:ind w:firstLine="320" w:firstLineChars="1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020F6"/>
    <w:rsid w:val="00426133"/>
    <w:rsid w:val="004358AB"/>
    <w:rsid w:val="008B7726"/>
    <w:rsid w:val="00D31D50"/>
    <w:rsid w:val="01050BBA"/>
    <w:rsid w:val="08FF703D"/>
    <w:rsid w:val="16FC4BC3"/>
    <w:rsid w:val="19C575D4"/>
    <w:rsid w:val="1AF866CC"/>
    <w:rsid w:val="1C6C435B"/>
    <w:rsid w:val="1E2A528A"/>
    <w:rsid w:val="1F184DC3"/>
    <w:rsid w:val="29B11D74"/>
    <w:rsid w:val="2B7D7DC8"/>
    <w:rsid w:val="321759BB"/>
    <w:rsid w:val="32981C75"/>
    <w:rsid w:val="407057C5"/>
    <w:rsid w:val="41770891"/>
    <w:rsid w:val="53BD0D54"/>
    <w:rsid w:val="5B0A19FB"/>
    <w:rsid w:val="68290671"/>
    <w:rsid w:val="69E92850"/>
    <w:rsid w:val="71814B45"/>
    <w:rsid w:val="77B9061F"/>
    <w:rsid w:val="7BDC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pacing w:line="460" w:lineRule="exact"/>
      <w:jc w:val="left"/>
      <w:textAlignment w:val="baseline"/>
      <w:outlineLvl w:val="0"/>
    </w:pPr>
    <w:rPr>
      <w:b/>
      <w:kern w:val="44"/>
      <w:sz w:val="32"/>
      <w:szCs w:val="20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 Spacing"/>
    <w:qFormat/>
    <w:uiPriority w:val="1"/>
    <w:pPr>
      <w:widowControl w:val="0"/>
      <w:adjustRightInd w:val="0"/>
      <w:snapToGrid w:val="0"/>
      <w:spacing w:line="560" w:lineRule="exact"/>
      <w:ind w:firstLine="200" w:firstLineChars="200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4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赵勇斌</cp:lastModifiedBy>
  <dcterms:modified xsi:type="dcterms:W3CDTF">2024-04-26T10:43:10Z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CF972536FBB44E01938F6CA4F5FB57E2</vt:lpwstr>
  </property>
</Properties>
</file>