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桥梁日常养护材料技术参数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一、项目概况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 xml:space="preserve"> 1.购买桥梁壁可法封口胶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灌注胶材质要求：1、符合《工程结构加固材料安全性鉴定技术规范》 GB50728及《公路桥梁加固设计规范》JTG/TJ22技术要求。2、粘性力强、渗透力强，保证能注入各种裂缝。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 xml:space="preserve"> 2.购买桥梁防腐剂（包括底漆面漆）材质要求：1、凝结时间、高压强度比、透水压力比、收缩比符合JC474-2008《砂浆、混凝土防水剂》标准要求，氨释放量符合GB18588-2001《混凝土外加剂释放氨的限量》标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准。2、阻止新的开裂产生，防止水分进入混凝土内部，防止钢筋腐蚀。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3.桥梁伸缩缝橡胶条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材质要求：氯丁橡胶（GB18173.2-2014)、DN80、温度适用范围-45℃至-60℃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4.购买裂缝修复贴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材质要求：厚度1mm-2mm,粘性强，粘接稳固，不易脱落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5.网裂碳钎维布材质要求：0.1±0.02mm，拉伸断裂强度纵向≥450N/50mm,横向≥450N/50mm，最大拉力是延伸率纵向横向40-80%，纱线密度24+2根/25mm，材质必须符合国标JC/T996-2006.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6.混凝土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要求：C30混凝土，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抗压强度为30到35兆帕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配合比符合国标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（GB 50080-2016）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标准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 xml:space="preserve"> 7.环氧树脂砂浆材质要求：抗折强度≥12，抗压强度7d≥40,混凝土粘结强度≥2.5MPa。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、其他要求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1、供应商响应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产品须取得权威机构或者国家授权、许可产品检验检测机构出具的产品有效的检测报告、鉴定报告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出厂合格证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等证明产品合格的材料，且报告结论数据满足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技术规范要求。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2、供货商供货时，对每批产品须提供生产厂家合格证、检测报告扫描件。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3、交货前需提供样品及技术参数，采购方确认后在发货。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、货物检测过程中所发生的费用由供应商承担。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安装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地点：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于田县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、本次货物的成交金额含税费、运费、货物保险费、过磅费、停车费等货物的运输、装卸、验收过程的一切费用。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五、对供应商的竞价要求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在“信用中国”网站（www.creditchina.gov.cn）中未被列入失信被执行人名。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必须为采购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商或代理商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经销商。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、提供货物质量保证书。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次采购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不接受联合体形式投标，不允许转包和分包。</w:t>
      </w:r>
    </w:p>
    <w:p>
      <w:pPr>
        <w:pStyle w:val="2"/>
        <w:ind w:firstLine="476" w:firstLineChars="149"/>
        <w:rPr>
          <w:rFonts w:hint="default" w:eastAsia="方正仿宋_GBK"/>
          <w:color w:val="FF000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color="auto" w:fill="FFFFFF"/>
          <w:lang w:val="en-US" w:eastAsia="zh-CN"/>
        </w:rPr>
        <w:t>10、本次采购物品带安装，中标单位中标后7日内安装完毕，安装地点在于田县、策勒县境内。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中标后安装承诺书。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提供产品照片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报价单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12）提供检测报告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1BBA0B71"/>
    <w:rsid w:val="1BBA0B71"/>
    <w:rsid w:val="342267C8"/>
    <w:rsid w:val="3C557F0C"/>
    <w:rsid w:val="51C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2024-03-24T15:09:00Z</dcterms:created>
  <dc:creator>admin</dc:creator>
  <cp:lastModifiedBy>Administrator</cp:lastModifiedBy>
  <dcterms:modified xsi:type="dcterms:W3CDTF">2024-04-08T07:37:16Z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01AAB4CD139443D4B4503BE32C92EDCB_11</vt:lpwstr>
  </property>
</Properties>
</file>