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rPr>
          <w:rFonts w:ascii="宋体" w:hAnsi="宋体" w:eastAsia="宋体" w:cs="宋体"/>
        </w:rPr>
      </w:pPr>
      <w:r>
        <w:rPr>
          <w:rFonts w:hint="eastAsia" w:ascii="宋体" w:hAnsi="宋体" w:eastAsia="宋体" w:cs="宋体"/>
          <w:lang w:val="en-US" w:eastAsia="zh-CN"/>
        </w:rPr>
        <w:t>工程量清单</w:t>
      </w:r>
      <w:r>
        <w:rPr>
          <w:rFonts w:hint="eastAsia" w:ascii="宋体" w:hAnsi="宋体" w:eastAsia="宋体" w:cs="宋体"/>
        </w:rPr>
        <w:t>编制说明</w:t>
      </w:r>
    </w:p>
    <w:p>
      <w:pPr>
        <w:numPr>
          <w:ilvl w:val="0"/>
          <w:numId w:val="1"/>
        </w:num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工程概况</w:t>
      </w:r>
    </w:p>
    <w:p>
      <w:pPr>
        <w:keepNext w:val="0"/>
        <w:keepLines w:val="0"/>
        <w:widowControl/>
        <w:suppressLineNumbers w:val="0"/>
        <w:ind w:firstLine="560" w:firstLineChars="200"/>
        <w:jc w:val="left"/>
      </w:pPr>
      <w:r>
        <w:rPr>
          <w:rFonts w:hint="eastAsia" w:ascii="宋体" w:hAnsi="宋体" w:eastAsia="宋体" w:cs="宋体"/>
          <w:color w:val="000000"/>
          <w:kern w:val="0"/>
          <w:sz w:val="28"/>
          <w:szCs w:val="28"/>
          <w:lang w:val="en-US" w:eastAsia="zh-CN" w:bidi="ar"/>
        </w:rPr>
        <w:t>本次项目位于新疆财经大学校区内，主要建设内容：新疆财经大学5#、7#、9#教学楼及公寓楼卫生间防水维修工程</w:t>
      </w:r>
      <w:r>
        <w:rPr>
          <w:rFonts w:hint="eastAsia" w:ascii="Times New Roman" w:hAnsi="Times New Roman" w:eastAsia="仿宋_GB2312" w:cs="Times New Roman"/>
          <w:b w:val="0"/>
          <w:color w:val="auto"/>
          <w:kern w:val="0"/>
          <w:sz w:val="32"/>
          <w:szCs w:val="32"/>
          <w:lang w:val="en-US" w:eastAsia="zh-CN" w:bidi="ar-SA"/>
        </w:rPr>
        <w:t>。</w:t>
      </w:r>
    </w:p>
    <w:p>
      <w:pPr>
        <w:pStyle w:val="10"/>
        <w:numPr>
          <w:ilvl w:val="0"/>
          <w:numId w:val="2"/>
        </w:numPr>
        <w:spacing w:line="360" w:lineRule="auto"/>
        <w:ind w:firstLineChars="0"/>
        <w:rPr>
          <w:rFonts w:ascii="华文仿宋" w:hAnsi="华文仿宋" w:eastAsia="华文仿宋" w:cs="华文仿宋"/>
          <w:sz w:val="28"/>
          <w:szCs w:val="28"/>
        </w:rPr>
      </w:pPr>
      <w:r>
        <w:rPr>
          <w:rFonts w:hint="eastAsia" w:ascii="华文仿宋" w:hAnsi="华文仿宋" w:eastAsia="华文仿宋" w:cs="华文仿宋"/>
          <w:sz w:val="28"/>
          <w:szCs w:val="28"/>
        </w:rPr>
        <w:t>工程招标范围</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r>
        <w:rPr>
          <w:rFonts w:hint="eastAsia" w:ascii="华文仿宋" w:hAnsi="华文仿宋" w:eastAsia="华文仿宋" w:cs="华文仿宋"/>
          <w:sz w:val="28"/>
          <w:szCs w:val="28"/>
        </w:rPr>
        <w:t xml:space="preserve"> </w:t>
      </w:r>
      <w:r>
        <w:rPr>
          <w:rFonts w:hint="eastAsia" w:ascii="宋体" w:hAnsi="宋体" w:eastAsia="宋体" w:cs="宋体"/>
          <w:color w:val="000000"/>
          <w:kern w:val="0"/>
          <w:sz w:val="28"/>
          <w:szCs w:val="28"/>
          <w:lang w:val="en-US" w:eastAsia="zh-CN" w:bidi="ar"/>
        </w:rPr>
        <w:t>招标文件规定的全部施工内容。</w:t>
      </w:r>
    </w:p>
    <w:p>
      <w:pPr>
        <w:numPr>
          <w:ilvl w:val="0"/>
          <w:numId w:val="0"/>
        </w:numPr>
        <w:spacing w:line="360" w:lineRule="auto"/>
        <w:ind w:leftChars="0"/>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三、</w:t>
      </w:r>
      <w:r>
        <w:rPr>
          <w:rFonts w:hint="eastAsia" w:ascii="华文仿宋" w:hAnsi="华文仿宋" w:eastAsia="华文仿宋" w:cs="华文仿宋"/>
          <w:sz w:val="28"/>
          <w:szCs w:val="28"/>
        </w:rPr>
        <w:t>编制依据</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kern w:val="0"/>
          <w:sz w:val="28"/>
          <w:szCs w:val="28"/>
        </w:rPr>
        <w:t>1、建设工程造价咨询合同、</w:t>
      </w:r>
      <w:r>
        <w:rPr>
          <w:rFonts w:hint="eastAsia" w:ascii="华文仿宋" w:hAnsi="华文仿宋" w:eastAsia="华文仿宋" w:cs="华文仿宋"/>
          <w:sz w:val="28"/>
          <w:szCs w:val="28"/>
        </w:rPr>
        <w:t>《中华人民共和国民法典》、中华人民共和国《建筑法》；</w:t>
      </w:r>
    </w:p>
    <w:p>
      <w:pPr>
        <w:keepNext w:val="0"/>
        <w:keepLines w:val="0"/>
        <w:pageBreakBefore w:val="0"/>
        <w:kinsoku/>
        <w:wordWrap/>
        <w:overflowPunct/>
        <w:topLinePunct w:val="0"/>
        <w:autoSpaceDE/>
        <w:autoSpaceDN/>
        <w:bidi w:val="0"/>
        <w:adjustRightInd/>
        <w:spacing w:line="360" w:lineRule="auto"/>
        <w:ind w:left="0" w:leftChars="0" w:firstLine="560" w:firstLineChars="200"/>
        <w:jc w:val="left"/>
        <w:textAlignment w:val="auto"/>
        <w:rPr>
          <w:rFonts w:hint="eastAsia" w:ascii="华文仿宋" w:hAnsi="华文仿宋" w:eastAsia="华文仿宋" w:cs="华文仿宋"/>
          <w:kern w:val="0"/>
          <w:sz w:val="28"/>
          <w:szCs w:val="28"/>
          <w:lang w:eastAsia="zh-CN"/>
        </w:rPr>
      </w:pP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kern w:val="0"/>
          <w:sz w:val="28"/>
          <w:szCs w:val="28"/>
        </w:rPr>
        <w:t>GB50500-2013《建设工程工程量清单计价规范》、GB50854-2013 《房屋建筑与装饰工程工程量计算规范》、GB 50856-2013 《通用安装工程工程量计算规范》</w:t>
      </w:r>
      <w:r>
        <w:rPr>
          <w:rFonts w:hint="eastAsia" w:ascii="华文仿宋" w:hAnsi="华文仿宋" w:eastAsia="华文仿宋" w:cs="华文仿宋"/>
          <w:kern w:val="0"/>
          <w:sz w:val="28"/>
          <w:szCs w:val="28"/>
          <w:lang w:eastAsia="zh-CN"/>
        </w:rPr>
        <w:t>；</w:t>
      </w:r>
      <w:r>
        <w:rPr>
          <w:rFonts w:hint="eastAsia" w:ascii="华文仿宋" w:hAnsi="华文仿宋" w:eastAsia="华文仿宋" w:cs="华文仿宋"/>
          <w:kern w:val="0"/>
          <w:sz w:val="28"/>
          <w:szCs w:val="28"/>
        </w:rPr>
        <w:t xml:space="preserve">       </w:t>
      </w:r>
    </w:p>
    <w:p>
      <w:pPr>
        <w:keepNext w:val="0"/>
        <w:keepLines w:val="0"/>
        <w:pageBreakBefore w:val="0"/>
        <w:kinsoku/>
        <w:wordWrap/>
        <w:overflowPunct/>
        <w:topLinePunct w:val="0"/>
        <w:autoSpaceDE/>
        <w:autoSpaceDN/>
        <w:bidi w:val="0"/>
        <w:adjustRightInd/>
        <w:spacing w:line="360" w:lineRule="auto"/>
        <w:ind w:left="0" w:leftChars="0" w:firstLine="560" w:firstLineChars="200"/>
        <w:jc w:val="left"/>
        <w:textAlignment w:val="auto"/>
        <w:rPr>
          <w:rFonts w:hint="eastAsia" w:ascii="华文仿宋" w:hAnsi="华文仿宋" w:eastAsia="华文仿宋" w:cs="华文仿宋"/>
          <w:kern w:val="0"/>
          <w:sz w:val="28"/>
          <w:szCs w:val="28"/>
          <w:lang w:eastAsia="zh-CN"/>
        </w:rPr>
      </w:pPr>
      <w:r>
        <w:rPr>
          <w:rFonts w:hint="eastAsia" w:ascii="华文仿宋" w:hAnsi="华文仿宋" w:eastAsia="华文仿宋" w:cs="华文仿宋"/>
          <w:kern w:val="0"/>
          <w:sz w:val="28"/>
          <w:szCs w:val="28"/>
          <w:lang w:val="en-US" w:eastAsia="zh-CN"/>
        </w:rPr>
        <w:t>3</w:t>
      </w:r>
      <w:r>
        <w:rPr>
          <w:rFonts w:hint="eastAsia" w:ascii="华文仿宋" w:hAnsi="华文仿宋" w:eastAsia="华文仿宋" w:cs="华文仿宋"/>
          <w:kern w:val="0"/>
          <w:sz w:val="28"/>
          <w:szCs w:val="28"/>
        </w:rPr>
        <w:t>、“关于实施建筑业增值税新税率调整建设工程计价依据的通知”新建标[2019]4号文及附件，除本通知调整内容外，其他规定仍执行自治区住房和城乡建设厅《关于建筑业营业税改增值税调整新疆建设工程计价依据的实施意见》（新建标〔2016〕2号）；安全文明施工费（不含临时设施费）、规费、税金都属于不可竞争费用；</w:t>
      </w:r>
    </w:p>
    <w:p>
      <w:pPr>
        <w:keepNext w:val="0"/>
        <w:keepLines w:val="0"/>
        <w:pageBreakBefore w:val="0"/>
        <w:kinsoku/>
        <w:wordWrap/>
        <w:overflowPunct/>
        <w:topLinePunct w:val="0"/>
        <w:autoSpaceDE/>
        <w:autoSpaceDN/>
        <w:bidi w:val="0"/>
        <w:adjustRightInd/>
        <w:spacing w:line="360" w:lineRule="auto"/>
        <w:ind w:left="0" w:leftChars="0" w:firstLine="560" w:firstLineChars="200"/>
        <w:jc w:val="left"/>
        <w:textAlignment w:val="auto"/>
        <w:rPr>
          <w:rFonts w:ascii="华文仿宋" w:hAnsi="华文仿宋" w:eastAsia="华文仿宋" w:cs="华文仿宋"/>
          <w:sz w:val="28"/>
          <w:szCs w:val="28"/>
        </w:rPr>
      </w:pPr>
      <w:r>
        <w:rPr>
          <w:rFonts w:hint="eastAsia" w:ascii="华文仿宋" w:hAnsi="华文仿宋" w:eastAsia="华文仿宋" w:cs="华文仿宋"/>
          <w:kern w:val="0"/>
          <w:sz w:val="28"/>
          <w:szCs w:val="28"/>
          <w:lang w:val="en-US" w:eastAsia="zh-CN"/>
        </w:rPr>
        <w:t>4</w:t>
      </w:r>
      <w:r>
        <w:rPr>
          <w:rFonts w:hint="eastAsia" w:ascii="华文仿宋" w:hAnsi="华文仿宋" w:eastAsia="华文仿宋" w:cs="华文仿宋"/>
          <w:kern w:val="0"/>
          <w:sz w:val="28"/>
          <w:szCs w:val="28"/>
        </w:rPr>
        <w:t>、执行“关于发布《新疆维吾尔自治区建设工程工程量清单管理办法》的通知”新建标[2018]8号；</w:t>
      </w:r>
    </w:p>
    <w:p>
      <w:pPr>
        <w:keepNext w:val="0"/>
        <w:keepLines w:val="0"/>
        <w:pageBreakBefore w:val="0"/>
        <w:numPr>
          <w:ilvl w:val="0"/>
          <w:numId w:val="2"/>
        </w:numPr>
        <w:kinsoku/>
        <w:wordWrap/>
        <w:overflowPunct/>
        <w:topLinePunct w:val="0"/>
        <w:autoSpaceDE/>
        <w:autoSpaceDN/>
        <w:bidi w:val="0"/>
        <w:adjustRightInd/>
        <w:spacing w:line="360" w:lineRule="auto"/>
        <w:ind w:left="0" w:leftChars="0" w:firstLine="560" w:firstLineChars="200"/>
        <w:jc w:val="left"/>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其他事项说明</w:t>
      </w:r>
    </w:p>
    <w:p>
      <w:pPr>
        <w:pStyle w:val="5"/>
        <w:keepNext w:val="0"/>
        <w:keepLines w:val="0"/>
        <w:pageBreakBefore w:val="0"/>
        <w:widowControl/>
        <w:kinsoku/>
        <w:wordWrap/>
        <w:overflowPunct/>
        <w:topLinePunct w:val="0"/>
        <w:autoSpaceDE/>
        <w:autoSpaceDN/>
        <w:bidi w:val="0"/>
        <w:adjustRightInd/>
        <w:spacing w:beforeAutospacing="0" w:afterAutospacing="0" w:line="360" w:lineRule="auto"/>
        <w:ind w:left="0" w:leftChars="0" w:firstLine="560" w:firstLineChars="200"/>
        <w:jc w:val="left"/>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 xml:space="preserve">1、一般说明 </w:t>
      </w:r>
    </w:p>
    <w:p>
      <w:pPr>
        <w:keepNext w:val="0"/>
        <w:keepLines w:val="0"/>
        <w:pageBreakBefore w:val="0"/>
        <w:widowControl/>
        <w:tabs>
          <w:tab w:val="left" w:pos="344"/>
          <w:tab w:val="left" w:pos="1000"/>
          <w:tab w:val="left" w:pos="31404"/>
          <w:tab w:val="left" w:pos="31532"/>
          <w:tab w:val="left" w:pos="31660"/>
        </w:tabs>
        <w:kinsoku/>
        <w:wordWrap/>
        <w:overflowPunct/>
        <w:topLinePunct w:val="0"/>
        <w:autoSpaceDE/>
        <w:autoSpaceDN/>
        <w:bidi w:val="0"/>
        <w:adjustRightInd/>
        <w:snapToGrid w:val="0"/>
        <w:spacing w:line="360" w:lineRule="auto"/>
        <w:ind w:left="0" w:leftChars="0" w:firstLine="560" w:firstLineChars="200"/>
        <w:jc w:val="left"/>
        <w:textAlignment w:val="auto"/>
        <w:rPr>
          <w:rFonts w:ascii="华文仿宋" w:hAnsi="华文仿宋" w:eastAsia="华文仿宋" w:cs="华文仿宋"/>
          <w:sz w:val="28"/>
          <w:szCs w:val="28"/>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1）工程量清单及其计价格式中的任何内容不得随意删除或涂改，若有错误，在清单答疑时及时提出，以“补遗”资料为准；</w:t>
      </w:r>
    </w:p>
    <w:p>
      <w:pPr>
        <w:keepNext w:val="0"/>
        <w:keepLines w:val="0"/>
        <w:pageBreakBefore w:val="0"/>
        <w:widowControl/>
        <w:tabs>
          <w:tab w:val="left" w:pos="344"/>
          <w:tab w:val="left" w:pos="1000"/>
          <w:tab w:val="left" w:pos="31404"/>
          <w:tab w:val="left" w:pos="31532"/>
          <w:tab w:val="left" w:pos="31660"/>
        </w:tabs>
        <w:kinsoku/>
        <w:wordWrap/>
        <w:overflowPunct/>
        <w:topLinePunct w:val="0"/>
        <w:autoSpaceDE/>
        <w:autoSpaceDN/>
        <w:bidi w:val="0"/>
        <w:adjustRightInd/>
        <w:snapToGrid w:val="0"/>
        <w:spacing w:line="360" w:lineRule="auto"/>
        <w:ind w:left="0" w:leftChars="0" w:firstLine="560" w:firstLineChars="200"/>
        <w:jc w:val="left"/>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（2）分部分项工程量清单对工程项目的项目特征及具体做法只做重点描述。组价时应结合投标人现场勘察情况，包括完成所有工序工作内容的全部费用；</w:t>
      </w:r>
    </w:p>
    <w:p>
      <w:pPr>
        <w:keepNext w:val="0"/>
        <w:keepLines w:val="0"/>
        <w:pageBreakBefore w:val="0"/>
        <w:widowControl/>
        <w:tabs>
          <w:tab w:val="left" w:pos="344"/>
          <w:tab w:val="left" w:pos="1000"/>
          <w:tab w:val="left" w:pos="31404"/>
          <w:tab w:val="left" w:pos="31532"/>
          <w:tab w:val="left" w:pos="31660"/>
        </w:tabs>
        <w:kinsoku/>
        <w:wordWrap/>
        <w:overflowPunct/>
        <w:topLinePunct w:val="0"/>
        <w:autoSpaceDE/>
        <w:autoSpaceDN/>
        <w:bidi w:val="0"/>
        <w:adjustRightInd/>
        <w:snapToGrid w:val="0"/>
        <w:spacing w:line="360" w:lineRule="auto"/>
        <w:ind w:left="0" w:leftChars="0" w:firstLine="560" w:firstLineChars="200"/>
        <w:jc w:val="left"/>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（3）投标人应充分考虑施工现场周边的实际情况对施工的影响，编制施工方案，并报价；</w:t>
      </w:r>
    </w:p>
    <w:p>
      <w:pPr>
        <w:keepNext w:val="0"/>
        <w:keepLines w:val="0"/>
        <w:pageBreakBefore w:val="0"/>
        <w:widowControl/>
        <w:tabs>
          <w:tab w:val="left" w:pos="344"/>
          <w:tab w:val="left" w:pos="1000"/>
          <w:tab w:val="left" w:pos="31404"/>
          <w:tab w:val="left" w:pos="31532"/>
          <w:tab w:val="left" w:pos="31660"/>
        </w:tabs>
        <w:kinsoku/>
        <w:wordWrap/>
        <w:overflowPunct/>
        <w:topLinePunct w:val="0"/>
        <w:autoSpaceDE/>
        <w:autoSpaceDN/>
        <w:bidi w:val="0"/>
        <w:adjustRightInd/>
        <w:snapToGrid w:val="0"/>
        <w:spacing w:line="360" w:lineRule="auto"/>
        <w:ind w:left="0" w:leftChars="0" w:firstLine="560" w:firstLineChars="200"/>
        <w:jc w:val="left"/>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（4）措施项目清单中的安全文明施工费包括《建筑安装工程费用项目组成》（建标[2013]44号）中措施费的文明施工费、环境保护费、临时设施费、安全施工费；</w:t>
      </w:r>
    </w:p>
    <w:p>
      <w:pPr>
        <w:keepNext w:val="0"/>
        <w:keepLines w:val="0"/>
        <w:pageBreakBefore w:val="0"/>
        <w:widowControl/>
        <w:tabs>
          <w:tab w:val="left" w:pos="344"/>
          <w:tab w:val="left" w:pos="1000"/>
          <w:tab w:val="left" w:pos="31404"/>
          <w:tab w:val="left" w:pos="31532"/>
          <w:tab w:val="left" w:pos="31660"/>
        </w:tabs>
        <w:kinsoku/>
        <w:wordWrap/>
        <w:overflowPunct/>
        <w:topLinePunct w:val="0"/>
        <w:autoSpaceDE/>
        <w:autoSpaceDN/>
        <w:bidi w:val="0"/>
        <w:adjustRightInd/>
        <w:snapToGrid w:val="0"/>
        <w:spacing w:line="360" w:lineRule="auto"/>
        <w:ind w:left="0" w:leftChars="0" w:firstLine="560" w:firstLineChars="200"/>
        <w:jc w:val="left"/>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 xml:space="preserve">（5）规费、税金、安全文明施工费(不含临时设施费）为不可竞争费按规定统一填报；  </w:t>
      </w:r>
    </w:p>
    <w:p>
      <w:pPr>
        <w:keepNext w:val="0"/>
        <w:keepLines w:val="0"/>
        <w:pageBreakBefore w:val="0"/>
        <w:widowControl/>
        <w:tabs>
          <w:tab w:val="left" w:pos="344"/>
          <w:tab w:val="left" w:pos="1000"/>
          <w:tab w:val="left" w:pos="31404"/>
          <w:tab w:val="left" w:pos="31532"/>
          <w:tab w:val="left" w:pos="31660"/>
        </w:tabs>
        <w:kinsoku/>
        <w:wordWrap/>
        <w:overflowPunct/>
        <w:topLinePunct w:val="0"/>
        <w:autoSpaceDE/>
        <w:autoSpaceDN/>
        <w:bidi w:val="0"/>
        <w:adjustRightInd/>
        <w:snapToGrid w:val="0"/>
        <w:spacing w:line="360" w:lineRule="auto"/>
        <w:ind w:left="0" w:leftChars="0"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rPr>
        <w:t>（6）没有工作内容的参照清单规范中项目编码对应工作</w:t>
      </w:r>
      <w:r>
        <w:rPr>
          <w:rFonts w:hint="eastAsia" w:ascii="华文仿宋" w:hAnsi="华文仿宋" w:eastAsia="华文仿宋" w:cs="华文仿宋"/>
          <w:sz w:val="28"/>
          <w:szCs w:val="28"/>
          <w:lang w:val="en-US" w:eastAsia="zh-CN"/>
        </w:rPr>
        <w:t>内容</w:t>
      </w:r>
    </w:p>
    <w:p>
      <w:pPr>
        <w:keepNext w:val="0"/>
        <w:keepLines w:val="0"/>
        <w:pageBreakBefore w:val="0"/>
        <w:widowControl/>
        <w:tabs>
          <w:tab w:val="left" w:pos="344"/>
          <w:tab w:val="left" w:pos="1000"/>
          <w:tab w:val="left" w:pos="31404"/>
          <w:tab w:val="left" w:pos="31532"/>
          <w:tab w:val="left" w:pos="31660"/>
        </w:tabs>
        <w:kinsoku/>
        <w:wordWrap/>
        <w:overflowPunct/>
        <w:topLinePunct w:val="0"/>
        <w:autoSpaceDE/>
        <w:autoSpaceDN/>
        <w:bidi w:val="0"/>
        <w:adjustRightInd/>
        <w:snapToGrid w:val="0"/>
        <w:spacing w:line="360" w:lineRule="auto"/>
        <w:ind w:left="0" w:leftChars="0" w:firstLine="560" w:firstLineChars="200"/>
        <w:jc w:val="left"/>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（7）本说明未尽事项以计价规范、工程量计算规范、计价管理办法、招标文件以及有关法律、法规、建设行政主管部门颁发的文件为主；</w:t>
      </w:r>
    </w:p>
    <w:p>
      <w:pPr>
        <w:pStyle w:val="5"/>
        <w:keepNext w:val="0"/>
        <w:keepLines w:val="0"/>
        <w:pageBreakBefore w:val="0"/>
        <w:widowControl/>
        <w:kinsoku/>
        <w:wordWrap/>
        <w:overflowPunct/>
        <w:topLinePunct w:val="0"/>
        <w:autoSpaceDE/>
        <w:autoSpaceDN/>
        <w:bidi w:val="0"/>
        <w:adjustRightInd/>
        <w:spacing w:beforeAutospacing="0" w:afterAutospacing="0" w:line="360" w:lineRule="auto"/>
        <w:ind w:left="0" w:leftChars="0" w:firstLine="560" w:firstLineChars="200"/>
        <w:jc w:val="left"/>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3、其他</w:t>
      </w:r>
    </w:p>
    <w:p>
      <w:pPr>
        <w:keepNext w:val="0"/>
        <w:keepLines w:val="0"/>
        <w:pageBreakBefore w:val="0"/>
        <w:widowControl/>
        <w:tabs>
          <w:tab w:val="left" w:pos="344"/>
          <w:tab w:val="left" w:pos="1000"/>
          <w:tab w:val="left" w:pos="31404"/>
          <w:tab w:val="left" w:pos="31532"/>
          <w:tab w:val="left" w:pos="31660"/>
        </w:tabs>
        <w:kinsoku/>
        <w:wordWrap/>
        <w:overflowPunct/>
        <w:topLinePunct w:val="0"/>
        <w:autoSpaceDE/>
        <w:autoSpaceDN/>
        <w:bidi w:val="0"/>
        <w:adjustRightInd/>
        <w:snapToGrid w:val="0"/>
        <w:spacing w:line="360" w:lineRule="auto"/>
        <w:ind w:left="0" w:leftChars="0" w:firstLine="560" w:firstLineChars="200"/>
        <w:jc w:val="left"/>
        <w:textAlignment w:val="auto"/>
        <w:rPr>
          <w:rFonts w:hint="eastAsia" w:ascii="华文仿宋" w:hAnsi="华文仿宋" w:eastAsia="华文仿宋" w:cs="华文仿宋"/>
          <w:color w:val="auto"/>
          <w:sz w:val="28"/>
          <w:szCs w:val="28"/>
          <w:lang w:eastAsia="zh-CN"/>
        </w:rPr>
      </w:pPr>
      <w:r>
        <w:rPr>
          <w:rFonts w:hint="eastAsia" w:ascii="华文仿宋" w:hAnsi="华文仿宋" w:eastAsia="华文仿宋" w:cs="华文仿宋"/>
          <w:sz w:val="28"/>
          <w:szCs w:val="28"/>
        </w:rPr>
        <w:t>（1）本工程暂列金</w:t>
      </w:r>
      <w:r>
        <w:rPr>
          <w:rFonts w:hint="eastAsia" w:ascii="华文仿宋" w:hAnsi="华文仿宋" w:eastAsia="华文仿宋" w:cs="华文仿宋"/>
          <w:sz w:val="28"/>
          <w:szCs w:val="28"/>
          <w:lang w:val="en-US" w:eastAsia="zh-CN"/>
        </w:rPr>
        <w:t>为4000</w:t>
      </w:r>
      <w:bookmarkStart w:id="0" w:name="_GoBack"/>
      <w:bookmarkEnd w:id="0"/>
      <w:r>
        <w:rPr>
          <w:rFonts w:hint="eastAsia" w:ascii="华文仿宋" w:hAnsi="华文仿宋" w:eastAsia="华文仿宋" w:cs="华文仿宋"/>
          <w:sz w:val="28"/>
          <w:szCs w:val="28"/>
          <w:lang w:val="en-US" w:eastAsia="zh-CN"/>
        </w:rPr>
        <w:t>元（</w:t>
      </w:r>
      <w:r>
        <w:rPr>
          <w:rFonts w:hint="eastAsia" w:ascii="华文仿宋" w:hAnsi="华文仿宋" w:eastAsia="华文仿宋" w:cs="华文仿宋"/>
          <w:color w:val="auto"/>
          <w:sz w:val="28"/>
          <w:szCs w:val="28"/>
          <w:lang w:val="en-US" w:eastAsia="zh-CN"/>
        </w:rPr>
        <w:t>只记取了税金，由业主支配，发生记取，不发生不计取）</w:t>
      </w:r>
      <w:r>
        <w:rPr>
          <w:rFonts w:hint="eastAsia" w:ascii="华文仿宋" w:hAnsi="华文仿宋" w:eastAsia="华文仿宋" w:cs="华文仿宋"/>
          <w:color w:val="auto"/>
          <w:sz w:val="28"/>
          <w:szCs w:val="28"/>
          <w:lang w:eastAsia="zh-CN"/>
        </w:rPr>
        <w:t>；</w:t>
      </w:r>
    </w:p>
    <w:p>
      <w:pPr>
        <w:keepNext w:val="0"/>
        <w:keepLines w:val="0"/>
        <w:pageBreakBefore w:val="0"/>
        <w:widowControl/>
        <w:tabs>
          <w:tab w:val="left" w:pos="344"/>
          <w:tab w:val="left" w:pos="1000"/>
          <w:tab w:val="left" w:pos="31404"/>
          <w:tab w:val="left" w:pos="31532"/>
          <w:tab w:val="left" w:pos="31660"/>
        </w:tabs>
        <w:kinsoku/>
        <w:wordWrap/>
        <w:overflowPunct/>
        <w:topLinePunct w:val="0"/>
        <w:autoSpaceDE/>
        <w:autoSpaceDN/>
        <w:bidi w:val="0"/>
        <w:adjustRightInd/>
        <w:snapToGrid w:val="0"/>
        <w:spacing w:line="360" w:lineRule="auto"/>
        <w:ind w:left="0" w:leftChars="0" w:firstLine="560" w:firstLineChars="200"/>
        <w:jc w:val="left"/>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sz w:val="28"/>
          <w:szCs w:val="28"/>
          <w:lang w:val="en-US" w:eastAsia="zh-CN"/>
        </w:rPr>
        <w:t>（2）现场原始地面情况，由意向投标单位自行踏勘，招标单位不予组织。</w:t>
      </w:r>
    </w:p>
    <w:p>
      <w:pPr>
        <w:spacing w:line="360" w:lineRule="auto"/>
        <w:jc w:val="right"/>
        <w:rPr>
          <w:rFonts w:hint="eastAsia" w:ascii="华文仿宋" w:hAnsi="华文仿宋" w:eastAsia="华文仿宋" w:cs="华文仿宋"/>
          <w:sz w:val="28"/>
          <w:szCs w:val="28"/>
        </w:rPr>
      </w:pPr>
    </w:p>
    <w:p>
      <w:pPr>
        <w:spacing w:line="360" w:lineRule="auto"/>
        <w:ind w:left="4760" w:hanging="4760" w:hangingChars="1700"/>
        <w:jc w:val="left"/>
        <w:rPr>
          <w:rFonts w:ascii="华文仿宋" w:hAnsi="华文仿宋" w:eastAsia="华文仿宋" w:cs="华文仿宋"/>
          <w:sz w:val="28"/>
          <w:szCs w:val="28"/>
        </w:rPr>
      </w:pP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202</w:t>
      </w:r>
      <w:r>
        <w:rPr>
          <w:rFonts w:hint="eastAsia" w:ascii="华文仿宋" w:hAnsi="华文仿宋" w:eastAsia="华文仿宋" w:cs="华文仿宋"/>
          <w:sz w:val="28"/>
          <w:szCs w:val="28"/>
          <w:lang w:val="en-US" w:eastAsia="zh-CN"/>
        </w:rPr>
        <w:t>4</w:t>
      </w:r>
      <w:r>
        <w:rPr>
          <w:rFonts w:hint="eastAsia" w:ascii="华文仿宋" w:hAnsi="华文仿宋" w:eastAsia="华文仿宋" w:cs="华文仿宋"/>
          <w:sz w:val="28"/>
          <w:szCs w:val="28"/>
        </w:rPr>
        <w:t>年</w:t>
      </w: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rPr>
        <w:t>月</w:t>
      </w:r>
      <w:r>
        <w:rPr>
          <w:rFonts w:hint="eastAsia" w:ascii="华文仿宋" w:hAnsi="华文仿宋" w:eastAsia="华文仿宋" w:cs="华文仿宋"/>
          <w:sz w:val="28"/>
          <w:szCs w:val="28"/>
          <w:lang w:val="en-US" w:eastAsia="zh-CN"/>
        </w:rPr>
        <w:t>3</w:t>
      </w:r>
      <w:r>
        <w:rPr>
          <w:rFonts w:hint="eastAsia" w:ascii="华文仿宋" w:hAnsi="华文仿宋" w:eastAsia="华文仿宋" w:cs="华文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CE20E"/>
    <w:multiLevelType w:val="singleLevel"/>
    <w:tmpl w:val="87FCE20E"/>
    <w:lvl w:ilvl="0" w:tentative="0">
      <w:start w:val="1"/>
      <w:numFmt w:val="chineseCounting"/>
      <w:suff w:val="nothing"/>
      <w:lvlText w:val="%1、"/>
      <w:lvlJc w:val="left"/>
      <w:rPr>
        <w:rFonts w:hint="eastAsia"/>
      </w:rPr>
    </w:lvl>
  </w:abstractNum>
  <w:abstractNum w:abstractNumId="1">
    <w:nsid w:val="73E1511E"/>
    <w:multiLevelType w:val="multilevel"/>
    <w:tmpl w:val="73E1511E"/>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jN2RhMWNkNDAyNjM4NTY0M2JmMWJlOWYyOTQ5NTgifQ=="/>
  </w:docVars>
  <w:rsids>
    <w:rsidRoot w:val="005C660C"/>
    <w:rsid w:val="000529EE"/>
    <w:rsid w:val="0007385C"/>
    <w:rsid w:val="000966C6"/>
    <w:rsid w:val="00135FB1"/>
    <w:rsid w:val="001C00F3"/>
    <w:rsid w:val="002645CD"/>
    <w:rsid w:val="002B7B7E"/>
    <w:rsid w:val="003B0A30"/>
    <w:rsid w:val="004327DF"/>
    <w:rsid w:val="004C4861"/>
    <w:rsid w:val="004F5931"/>
    <w:rsid w:val="005C660C"/>
    <w:rsid w:val="005D2CA2"/>
    <w:rsid w:val="0074327C"/>
    <w:rsid w:val="00786B0E"/>
    <w:rsid w:val="00787D0A"/>
    <w:rsid w:val="008C6C96"/>
    <w:rsid w:val="009B06C8"/>
    <w:rsid w:val="009D17D1"/>
    <w:rsid w:val="00A03D5A"/>
    <w:rsid w:val="00A65843"/>
    <w:rsid w:val="00A730A2"/>
    <w:rsid w:val="00A82472"/>
    <w:rsid w:val="00A8576F"/>
    <w:rsid w:val="00AD07F6"/>
    <w:rsid w:val="00DF5CB0"/>
    <w:rsid w:val="00E55A2A"/>
    <w:rsid w:val="00EA49AE"/>
    <w:rsid w:val="00EE423F"/>
    <w:rsid w:val="00F62BF0"/>
    <w:rsid w:val="00FF0413"/>
    <w:rsid w:val="02646A5F"/>
    <w:rsid w:val="02E938D6"/>
    <w:rsid w:val="052B4CCF"/>
    <w:rsid w:val="05614B95"/>
    <w:rsid w:val="05A30D0A"/>
    <w:rsid w:val="05B9677F"/>
    <w:rsid w:val="07F205F4"/>
    <w:rsid w:val="081E645F"/>
    <w:rsid w:val="08AE0AB8"/>
    <w:rsid w:val="0A4900A3"/>
    <w:rsid w:val="0C0F61E5"/>
    <w:rsid w:val="0C3E353A"/>
    <w:rsid w:val="0DB53CD0"/>
    <w:rsid w:val="0FFC5BE6"/>
    <w:rsid w:val="10136517"/>
    <w:rsid w:val="10AD33D8"/>
    <w:rsid w:val="118B2237"/>
    <w:rsid w:val="12046FD4"/>
    <w:rsid w:val="12C91528"/>
    <w:rsid w:val="147246C9"/>
    <w:rsid w:val="147C5547"/>
    <w:rsid w:val="14A16A62"/>
    <w:rsid w:val="14C35B55"/>
    <w:rsid w:val="155142DE"/>
    <w:rsid w:val="15E05662"/>
    <w:rsid w:val="16DE2CAB"/>
    <w:rsid w:val="16E7342A"/>
    <w:rsid w:val="170A12B2"/>
    <w:rsid w:val="17283764"/>
    <w:rsid w:val="178E22F6"/>
    <w:rsid w:val="179F00B3"/>
    <w:rsid w:val="17A34B99"/>
    <w:rsid w:val="18074605"/>
    <w:rsid w:val="181F1090"/>
    <w:rsid w:val="187260F9"/>
    <w:rsid w:val="18E436BB"/>
    <w:rsid w:val="19043B24"/>
    <w:rsid w:val="1A284221"/>
    <w:rsid w:val="1A6920CA"/>
    <w:rsid w:val="1A7016AA"/>
    <w:rsid w:val="1B3A3A66"/>
    <w:rsid w:val="1BF65BDF"/>
    <w:rsid w:val="1C1D13BE"/>
    <w:rsid w:val="1CB27ADF"/>
    <w:rsid w:val="1CB87339"/>
    <w:rsid w:val="1D36544F"/>
    <w:rsid w:val="1D921938"/>
    <w:rsid w:val="1DB93368"/>
    <w:rsid w:val="1DC1221D"/>
    <w:rsid w:val="1DEC0ED0"/>
    <w:rsid w:val="1F3B3AC1"/>
    <w:rsid w:val="20474FD3"/>
    <w:rsid w:val="20793544"/>
    <w:rsid w:val="20C462AC"/>
    <w:rsid w:val="20F533A4"/>
    <w:rsid w:val="21E76A4A"/>
    <w:rsid w:val="249A6A81"/>
    <w:rsid w:val="25535E50"/>
    <w:rsid w:val="268F4175"/>
    <w:rsid w:val="26B7240F"/>
    <w:rsid w:val="26E93EAC"/>
    <w:rsid w:val="275A1718"/>
    <w:rsid w:val="28551EE0"/>
    <w:rsid w:val="286F2FA1"/>
    <w:rsid w:val="293654C0"/>
    <w:rsid w:val="29CD6A89"/>
    <w:rsid w:val="2A8B7E3A"/>
    <w:rsid w:val="2B1E44B6"/>
    <w:rsid w:val="2B786611"/>
    <w:rsid w:val="2B9920E3"/>
    <w:rsid w:val="2D102807"/>
    <w:rsid w:val="2D7A2065"/>
    <w:rsid w:val="2D911921"/>
    <w:rsid w:val="2DD202CA"/>
    <w:rsid w:val="2E0C1292"/>
    <w:rsid w:val="2E0E0B66"/>
    <w:rsid w:val="2E1B14D5"/>
    <w:rsid w:val="2E363575"/>
    <w:rsid w:val="2E9440D3"/>
    <w:rsid w:val="2F2D326E"/>
    <w:rsid w:val="2F860BD0"/>
    <w:rsid w:val="307F46C3"/>
    <w:rsid w:val="31A6030C"/>
    <w:rsid w:val="320F65A7"/>
    <w:rsid w:val="328A5819"/>
    <w:rsid w:val="32F80037"/>
    <w:rsid w:val="35A9270C"/>
    <w:rsid w:val="3AAF7E60"/>
    <w:rsid w:val="3C756255"/>
    <w:rsid w:val="3C8F32AF"/>
    <w:rsid w:val="3D2263DC"/>
    <w:rsid w:val="3DC43F60"/>
    <w:rsid w:val="3E2335BB"/>
    <w:rsid w:val="3E392D0E"/>
    <w:rsid w:val="3E3A3016"/>
    <w:rsid w:val="403509F8"/>
    <w:rsid w:val="40A71B9B"/>
    <w:rsid w:val="41265D6F"/>
    <w:rsid w:val="4143781E"/>
    <w:rsid w:val="41CF3F46"/>
    <w:rsid w:val="42EB54C2"/>
    <w:rsid w:val="43456981"/>
    <w:rsid w:val="441943DE"/>
    <w:rsid w:val="445350CD"/>
    <w:rsid w:val="458B0E61"/>
    <w:rsid w:val="45EA7930"/>
    <w:rsid w:val="465B64BB"/>
    <w:rsid w:val="4714323A"/>
    <w:rsid w:val="474D4376"/>
    <w:rsid w:val="48074B4D"/>
    <w:rsid w:val="48090DAB"/>
    <w:rsid w:val="4857196D"/>
    <w:rsid w:val="488D0270"/>
    <w:rsid w:val="4B46598C"/>
    <w:rsid w:val="4BC36FDC"/>
    <w:rsid w:val="4C765DFD"/>
    <w:rsid w:val="4CA54934"/>
    <w:rsid w:val="4D614508"/>
    <w:rsid w:val="4D866514"/>
    <w:rsid w:val="4E871AC8"/>
    <w:rsid w:val="4F3F00B1"/>
    <w:rsid w:val="4F697E9B"/>
    <w:rsid w:val="50033E4B"/>
    <w:rsid w:val="50055E16"/>
    <w:rsid w:val="5057164A"/>
    <w:rsid w:val="50A6115A"/>
    <w:rsid w:val="50F10148"/>
    <w:rsid w:val="529F04E1"/>
    <w:rsid w:val="5358618B"/>
    <w:rsid w:val="55341452"/>
    <w:rsid w:val="56835CE6"/>
    <w:rsid w:val="56953650"/>
    <w:rsid w:val="56D529A8"/>
    <w:rsid w:val="57B51D71"/>
    <w:rsid w:val="58326B9A"/>
    <w:rsid w:val="5BBE50CA"/>
    <w:rsid w:val="5BE07737"/>
    <w:rsid w:val="5BE53961"/>
    <w:rsid w:val="5BEC3210"/>
    <w:rsid w:val="5C1271C4"/>
    <w:rsid w:val="5E2E29DB"/>
    <w:rsid w:val="5FA6034F"/>
    <w:rsid w:val="601D2D07"/>
    <w:rsid w:val="60624BBE"/>
    <w:rsid w:val="606F1089"/>
    <w:rsid w:val="60BF3DBF"/>
    <w:rsid w:val="610F0FAE"/>
    <w:rsid w:val="616B650A"/>
    <w:rsid w:val="62045801"/>
    <w:rsid w:val="62B64773"/>
    <w:rsid w:val="62E34988"/>
    <w:rsid w:val="637013A0"/>
    <w:rsid w:val="66A032AC"/>
    <w:rsid w:val="66CB3DAB"/>
    <w:rsid w:val="6828049B"/>
    <w:rsid w:val="683A572E"/>
    <w:rsid w:val="68E86DED"/>
    <w:rsid w:val="69450BD9"/>
    <w:rsid w:val="697D65C5"/>
    <w:rsid w:val="698700F9"/>
    <w:rsid w:val="69EB1780"/>
    <w:rsid w:val="6B3C7DBA"/>
    <w:rsid w:val="6B721A2E"/>
    <w:rsid w:val="6C691082"/>
    <w:rsid w:val="6CCB7647"/>
    <w:rsid w:val="6D8A562E"/>
    <w:rsid w:val="6D8A7502"/>
    <w:rsid w:val="6E8403F6"/>
    <w:rsid w:val="6EC802E2"/>
    <w:rsid w:val="6F1F1ECC"/>
    <w:rsid w:val="6FC60680"/>
    <w:rsid w:val="707764B5"/>
    <w:rsid w:val="718D763E"/>
    <w:rsid w:val="7249693E"/>
    <w:rsid w:val="73AF7657"/>
    <w:rsid w:val="74D55507"/>
    <w:rsid w:val="74E05C5A"/>
    <w:rsid w:val="75C91CC3"/>
    <w:rsid w:val="77091498"/>
    <w:rsid w:val="77297D8C"/>
    <w:rsid w:val="77A5028A"/>
    <w:rsid w:val="78CF6711"/>
    <w:rsid w:val="790852AE"/>
    <w:rsid w:val="7A356A48"/>
    <w:rsid w:val="7A3E5ED5"/>
    <w:rsid w:val="7AF81F4F"/>
    <w:rsid w:val="7B454A69"/>
    <w:rsid w:val="7BC1336E"/>
    <w:rsid w:val="7BE775FD"/>
    <w:rsid w:val="7D2F3A76"/>
    <w:rsid w:val="7EB4618D"/>
    <w:rsid w:val="7F9F6E3D"/>
    <w:rsid w:val="7FBC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0"/>
    <w:pPr>
      <w:spacing w:beforeAutospacing="1" w:afterAutospacing="1"/>
      <w:jc w:val="left"/>
    </w:pPr>
    <w:rPr>
      <w:rFonts w:cs="Times New Roman"/>
      <w:kern w:val="0"/>
      <w:sz w:val="24"/>
    </w:rPr>
  </w:style>
  <w:style w:type="paragraph" w:styleId="6">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99"/>
    <w:pPr>
      <w:ind w:firstLine="420" w:firstLineChars="200"/>
    </w:pPr>
  </w:style>
  <w:style w:type="character" w:customStyle="1" w:styleId="11">
    <w:name w:val="页眉 字符"/>
    <w:basedOn w:val="9"/>
    <w:link w:val="4"/>
    <w:autoRedefine/>
    <w:qFormat/>
    <w:uiPriority w:val="0"/>
    <w:rPr>
      <w:rFonts w:asciiTheme="minorHAnsi" w:hAnsiTheme="minorHAnsi" w:eastAsiaTheme="minorEastAsia" w:cstheme="minorBidi"/>
      <w:kern w:val="2"/>
      <w:sz w:val="18"/>
      <w:szCs w:val="18"/>
    </w:rPr>
  </w:style>
  <w:style w:type="character" w:customStyle="1" w:styleId="12">
    <w:name w:val="页脚 字符"/>
    <w:basedOn w:val="9"/>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2624</Words>
  <Characters>2826</Characters>
  <Lines>9</Lines>
  <Paragraphs>2</Paragraphs>
  <TotalTime>36</TotalTime>
  <ScaleCrop>false</ScaleCrop>
  <LinksUpToDate>false</LinksUpToDate>
  <CharactersWithSpaces>2925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2022-01-30T10:11:00Z</dcterms:created>
  <dc:creator>123</dc:creator>
  <cp:lastModifiedBy>Administrator</cp:lastModifiedBy>
  <dcterms:modified xsi:type="dcterms:W3CDTF">2024-01-18T08:16:58Z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DD24F801CC2E4C559C2106AFF9706A7D_13</vt:lpwstr>
  </property>
</Properties>
</file>