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阿勒泰地区人民医院等保测评、风险评估项目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项目背景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深入贯彻国家关于网络安全和信息化工作决策部署，全面落实总体国家安全观和网络强国战略，确保关键技术自主可控，根据《中华人民共和国网络安全法》、《国家政务信息化项目建设管理办法》等法律法规要求，依据《信息安全技术网络安全等级保护测评基本要求》等规范以及系统自身安全性需求，对被评估系统进行网络安全等级保护测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风险评估</w:t>
      </w:r>
      <w:r>
        <w:rPr>
          <w:rFonts w:ascii="宋体" w:hAnsi="宋体" w:eastAsia="宋体" w:cs="宋体"/>
          <w:sz w:val="28"/>
          <w:szCs w:val="28"/>
        </w:rPr>
        <w:t>工作。为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阿勒泰地区人民</w:t>
      </w:r>
      <w:r>
        <w:rPr>
          <w:rFonts w:ascii="宋体" w:hAnsi="宋体" w:eastAsia="宋体" w:cs="宋体"/>
          <w:sz w:val="28"/>
          <w:szCs w:val="28"/>
        </w:rPr>
        <w:t xml:space="preserve">医院重要网络和信息系统的等保安全提供科学评价，规范网络安全应用和管理行为，推动信息系统安全防护水平的提升。同时，指导信息系统信息安全保障体系建设，增强安全防 护意识，促进安全管理水平的提高。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3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简要规格描述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阿勒泰地区人民医院等保测评、风险评估项目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120000.00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电子病历信息系统、LIS 系统、HIS 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个信息系统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等保测评、风险评估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详见文件内容</w:t>
            </w: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总体要求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2.1 测评原则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保密性原则：测评机构应与招标人签订安全评估协议、保密协议，对测评服务的过程 数据和结果数据严格保密，未经授权不得泄露给任何单位和个人，不得利用此数据侵害采购人的权益，否则采购人有权追究响应人的责任。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标准性原则：测评方案的设计与实施应依据国家等级保护的相关标准进行。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规范性原则：测评机构工作中的过程和文档，应具有规范性，便于项目跟踪和控制。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可控性原则：测评服务的进度应符合进度安排，保证招标人对测评工作的可控性。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整体性原则：测评的范围和内容应系统、全面、规范，满足国家安全评估、等级保护相关基本要求。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最小影响原则：技术测评工作应尽可能小的影响在线系统和网络的正常运行，不能对现有运行系统造成影响。在线测评应在招标方许可的条件下进行。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2.2 实施要求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测评机构应详细描述等级保护测评的整体实施方案，包括项目概述、等保测评方案、项目实施方案、时间安排、阶段性文档提交和验收标准等。测评机构应详细描述测评人员的组成、资质及各自职责的划分。测评机构应配置经验丰富的测评人员进行等保测评工作。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2.3 测评方法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测评方法包括访谈、检查和测试三种方法，可细化为文档审查、配置检查、工具测试和实地察看等多种方法。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如需在等级保护测评实施过程中采用在线测评工具的，各种工具软件由测评机构推荐，经招标人确认后由测评机构提供并在测评中使用。应详细描述所使用的安全测评工具（软硬件型号、功能和性能描述）、使用的方式和时间、对环境和平台的要求以及使用可能对 系统造成的风险等。等级保护测评应有详细的实施方案和严格的操作步骤，采取的措施应 是经过测试、稳定可靠的。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2.4 风险控制 测评工作本身也会引入安全风险，必须加强测评过程中的风险控制。测评实施前，双方应充分讨论并明确测评对系统可能带来的风险和隐患，确定测评对象、测评方法和工具，并制定应急恢复措施。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（1）操作的申请和监护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测评操作必须遵守现场运行规章制度，确保系统安全稳定运行。如需在线测试，按照相关工作规程，事前申请，并在专责人员的指导和监护下进行。 </w:t>
      </w:r>
    </w:p>
    <w:p>
      <w:pPr>
        <w:numPr>
          <w:ilvl w:val="0"/>
          <w:numId w:val="2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人员与数据管理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重视测评保密工作，加强测评过程中的保密管理，确保参与测评工作人员的可靠、稳定，防止敏感信息泄漏。 </w:t>
      </w:r>
    </w:p>
    <w:p>
      <w:pPr>
        <w:numPr>
          <w:ilvl w:val="0"/>
          <w:numId w:val="2"/>
        </w:numPr>
        <w:ind w:left="0"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测评对象选择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优先选择备用设备（系统）或临时搭建的模拟环境进行测评，避免影响在线系统运行。 </w:t>
      </w:r>
    </w:p>
    <w:p>
      <w:pPr>
        <w:numPr>
          <w:ilvl w:val="0"/>
          <w:numId w:val="2"/>
        </w:numPr>
        <w:ind w:left="0"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制定应急预案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根据被测评系统情况，在测评实施前制定应急预案，加强系统在线应急处置能力。 </w:t>
      </w:r>
    </w:p>
    <w:p>
      <w:pPr>
        <w:numPr>
          <w:ilvl w:val="0"/>
          <w:numId w:val="3"/>
        </w:num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测评对象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本次评估对象为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阿勒泰地区人民</w:t>
      </w:r>
      <w:r>
        <w:rPr>
          <w:rFonts w:ascii="宋体" w:hAnsi="宋体" w:eastAsia="宋体" w:cs="宋体"/>
          <w:sz w:val="28"/>
          <w:szCs w:val="28"/>
        </w:rPr>
        <w:t>医院电子病历信息系统、LIS 系统、HIS 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个信息系统，根据被评估对象的实际情况、所属行业及系统情况，开展网络安全等级保护测评、信息安全风险评估。 </w:t>
      </w:r>
    </w:p>
    <w:p>
      <w:pPr>
        <w:numPr>
          <w:ilvl w:val="0"/>
          <w:numId w:val="3"/>
        </w:numPr>
        <w:ind w:left="0" w:leftChars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项目实施依据和执行标准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《中华人民共和国网络安全法》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《中华人民共和国计算机信息系统安全保护条例》(国务院 147 号令） 《信息安全等级保护管理办法》（公通字〔2007〕43 号）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计算机信息系统安全保护等级划分准则》GB 17859-1999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《国家政务信息化项目建设管理办法》（国办发〔2019〕57 号）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《新疆维吾尔自治区政务信息化项目建设管理办法》（新政办发〔2021〕14 号）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网络安全等级保护基本要求》GB/T 22239-2020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网络安全等级保护测评要求》GB/T 28448-2020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网络安全等级保护测评过程指南》GB/T 28449-2018 《信息安全技术 信息安全风险评估模型》GB/T 20984-2007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网络基础安全技术要求》（GB/T 20270-2006）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信息系统安全通用技术要求》（GB/T 20271-2006） 《信息安全技术 信息系统安全管理要求》（GB/T 20269-2006） </w:t>
      </w:r>
    </w:p>
    <w:p>
      <w:pPr>
        <w:numPr>
          <w:ilvl w:val="0"/>
          <w:numId w:val="0"/>
        </w:numPr>
        <w:ind w:left="560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《信息安全技术 信息系统安全工程管理要求》（GB/T 20282-2006） </w:t>
      </w:r>
      <w:r>
        <w:rPr>
          <w:rFonts w:ascii="宋体" w:hAnsi="宋体" w:eastAsia="宋体" w:cs="宋体"/>
          <w:b/>
          <w:bCs/>
          <w:sz w:val="28"/>
          <w:szCs w:val="28"/>
        </w:rPr>
        <w:t>五、服务内容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5.1 协助采购单位组织完成所有被测系统的定级、备案工作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协助采购单位组织完成被测系统中所有信息系统的定级备案工作，包含但不限于完成信息系统定级备案材料、通过信息系统定级专家评审、提交信息系统定级备案材料至网安部门。协助采购单位取得《信息系统备案证明》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5.2 网络安全等级保护测评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通过等级测评及时发现信息系统中存在的安全隐患和安全威胁，分析安全风险的大小及对信息系统的影响，指导开展信息系统安全建设的目标和思路，最终使信息系统的安全防护水平达到等级保护的基本要求。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被测信息系统的范围包括：物理机房、网络基础架构、网络设备、信息系统应用服务器、应用系统软件、数据库、安全管理制度、安全管理机构、人员安全管理、系统建设管理、系统运维管理等方面。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5.3 信息安全风险评估服务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根据国家《信息安全风险评估规范》（GB/T 20984-2007）并结合国家《信息安全技术网 络安全等级保护基本要求》（GB/T 22239-2019）、信息安全管理体系（ISO/ETC 27001：2005）对信息系统及其网络环境进行评估，识别出系统中的资产、威胁和脆弱性，并通过风险计算的方法对系统面临的安全风险进行分类，最后根据安全风险的风险等级提出适合实际环境的风险处置建议。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 </w:t>
      </w:r>
      <w:r>
        <w:rPr>
          <w:rFonts w:ascii="宋体" w:hAnsi="宋体" w:eastAsia="宋体" w:cs="宋体"/>
          <w:sz w:val="28"/>
          <w:szCs w:val="28"/>
        </w:rPr>
        <w:t xml:space="preserve">渗透测试和漏洞扫描服务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提供一年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每半年一次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的渗透测试和漏洞扫描服务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提供渗透测试报告、漏洞扫描报告和安全加固建议，并跟踪核查加固结果。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 xml:space="preserve"> 安全培训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培训目的：使采购人熟悉国家对网络安全等级保护相应法律法规的内容、测评内容及方法。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培训内容：网络安全等级保护法律法规、测评内容及方法，当前网络安全形势及网络安全加固基础知识。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培训对象：采购人信息安全管理人员。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培训教师：培训教师须具备相应认证资质与丰富经验。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 xml:space="preserve"> 应急响应服务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在国家法定节假日、国家或自治区重要会议、安全事件大规模爆发等重要时刻，提供7x24小时现场应急支撑服务。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项目要求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6.1 管理要求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中标单位需提供详细的项目管理方案，应配备1个独立的项目管理小组，提供项目团队人员安排、项目进度安排、项目关键点控制计划与方案、项目安全控制计划与方案等，以确保项目顺利实施。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6.2 人员要求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项目实施团队：供应商为本项目须建立一支具有一定服务能力的管理团队，小组成员不少于4人，其中中级测评师2名，初级测评师 2 名，提供测评师证书，以及6个月社保证明。并合理调配各岗位人员，保障服务工作相关岗位人员需要。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6.3 质量要求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对项目进行科学严格的管理，通过系统计划、有序组织、科学指导和有效控制，促进项目全面顺利实施，保证其公正性、独立性的质量体系，确保测评活动不受任何可能影响测评结果的商业、财务、健康、环境等方面的压力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6.4 服务要求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应急响应：提供 7×24 服务响应（7×24 小时测评师电话支撑），需要现场支撑时，供应商需在3小时内安排至少1名具有服务能力的测评师到达现场处理。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6.5 保密要求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中标人须与招标人签署保密协议，未经招标人同意不得向第三方泄露此项目相关情况。服务中产生的所有资料、技术文档要妥善保管，不得遗失、转借、复印，严禁通过互联网等公共信息网络、普通邮政进行传递。相关工作人员须由中标人进行资格审查和保密教育，对知悉的事项及信息予以保密，自觉遵守国家保密法律法规及招标人工作纪律和规章制度，不做任何窃取或泄露国家秘密、警务秘密的行为，签署《保密承诺书》并报招标人备案。中标人若违反保密协议、未履行相关职责或教育、监督措施落实不到位，发生参与本项目人员窃取或泄露国家 秘密、警务秘密的事件，将按照《中华人民共和国保守国家秘密法》等有关法律法规承担相应的责任。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6.6 成果文件交付要求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中标方应提交的书面材料中应包括但不限于以下内容： </w:t>
      </w:r>
    </w:p>
    <w:p>
      <w:pPr>
        <w:numPr>
          <w:ilvl w:val="0"/>
          <w:numId w:val="4"/>
        </w:num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网络安全等保测评报告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在完成测评工作后，按照等级保护要求对此次项目中每个信息系统出具《网络安全等级保护测评报告》并完成备案工作。 </w:t>
      </w:r>
    </w:p>
    <w:p>
      <w:pPr>
        <w:numPr>
          <w:ilvl w:val="0"/>
          <w:numId w:val="4"/>
        </w:numPr>
        <w:ind w:left="0" w:leftChars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信息安全风险评估报告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在完成测评工作后，按照信息安全风险评估要求对此次项目中每个信息系统出具《信息安全风险评估报告》并完成备案工作。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服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务期：自合同签订之日起 1 年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交付期：自合同签订之日起 60 个工作日内出具测评报告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服务地点：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阿勒泰地区人民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医院院内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付款方式：合同签订并提交测评报告完成验收后支付 100%货款。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FEE23"/>
    <w:multiLevelType w:val="singleLevel"/>
    <w:tmpl w:val="963FEE2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ADF48B5"/>
    <w:multiLevelType w:val="singleLevel"/>
    <w:tmpl w:val="FADF48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79B2E7"/>
    <w:multiLevelType w:val="singleLevel"/>
    <w:tmpl w:val="1579B2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406AAFC"/>
    <w:multiLevelType w:val="singleLevel"/>
    <w:tmpl w:val="3406AA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MDdlYTkwYzFlYmJhNDUxYzQxODc0MjkxYmFkYmIifQ=="/>
  </w:docVars>
  <w:rsids>
    <w:rsidRoot w:val="00000000"/>
    <w:rsid w:val="01DF7B2A"/>
    <w:rsid w:val="01E76F4E"/>
    <w:rsid w:val="02957B16"/>
    <w:rsid w:val="029C7664"/>
    <w:rsid w:val="02A56729"/>
    <w:rsid w:val="04884B14"/>
    <w:rsid w:val="064619CE"/>
    <w:rsid w:val="069D281C"/>
    <w:rsid w:val="07B40FAC"/>
    <w:rsid w:val="082A3964"/>
    <w:rsid w:val="09877E9D"/>
    <w:rsid w:val="0D1806AB"/>
    <w:rsid w:val="0D8238FA"/>
    <w:rsid w:val="0E2A5EEF"/>
    <w:rsid w:val="0E56001E"/>
    <w:rsid w:val="125B1C99"/>
    <w:rsid w:val="129C240A"/>
    <w:rsid w:val="12A46E8E"/>
    <w:rsid w:val="12BD52E8"/>
    <w:rsid w:val="14F82861"/>
    <w:rsid w:val="15083A9F"/>
    <w:rsid w:val="168C2209"/>
    <w:rsid w:val="16935014"/>
    <w:rsid w:val="16B47F1C"/>
    <w:rsid w:val="17A0779F"/>
    <w:rsid w:val="192B66F4"/>
    <w:rsid w:val="197E2327"/>
    <w:rsid w:val="1A9D7FC6"/>
    <w:rsid w:val="1B927AE6"/>
    <w:rsid w:val="1BDB5E37"/>
    <w:rsid w:val="207D242B"/>
    <w:rsid w:val="24C242E6"/>
    <w:rsid w:val="2AB51923"/>
    <w:rsid w:val="2BFA1E04"/>
    <w:rsid w:val="2C1635BC"/>
    <w:rsid w:val="2CDF33A9"/>
    <w:rsid w:val="2D804206"/>
    <w:rsid w:val="2DF87F3C"/>
    <w:rsid w:val="2FBD0A96"/>
    <w:rsid w:val="31670036"/>
    <w:rsid w:val="323431CA"/>
    <w:rsid w:val="36F45659"/>
    <w:rsid w:val="3B9528C7"/>
    <w:rsid w:val="3E1E1A15"/>
    <w:rsid w:val="421D20A9"/>
    <w:rsid w:val="4368371B"/>
    <w:rsid w:val="43876C28"/>
    <w:rsid w:val="43A74424"/>
    <w:rsid w:val="46671C9F"/>
    <w:rsid w:val="46EE7C1C"/>
    <w:rsid w:val="4B1514F1"/>
    <w:rsid w:val="4B9D7BD2"/>
    <w:rsid w:val="4E55521F"/>
    <w:rsid w:val="4F5717F5"/>
    <w:rsid w:val="5012408F"/>
    <w:rsid w:val="522A4A9E"/>
    <w:rsid w:val="53BB263D"/>
    <w:rsid w:val="544A7F6B"/>
    <w:rsid w:val="57443DDF"/>
    <w:rsid w:val="5BD4538A"/>
    <w:rsid w:val="5C242187"/>
    <w:rsid w:val="5C690EA1"/>
    <w:rsid w:val="60835FF9"/>
    <w:rsid w:val="61067516"/>
    <w:rsid w:val="632779F9"/>
    <w:rsid w:val="64501C38"/>
    <w:rsid w:val="677756C5"/>
    <w:rsid w:val="69FD54C8"/>
    <w:rsid w:val="6C494252"/>
    <w:rsid w:val="6DBD3434"/>
    <w:rsid w:val="6E106BC8"/>
    <w:rsid w:val="6FD97FC6"/>
    <w:rsid w:val="72546ADA"/>
    <w:rsid w:val="75501031"/>
    <w:rsid w:val="764510ED"/>
    <w:rsid w:val="773054FD"/>
    <w:rsid w:val="79056A57"/>
    <w:rsid w:val="79174878"/>
    <w:rsid w:val="7A6B5971"/>
    <w:rsid w:val="7B6C6499"/>
    <w:rsid w:val="7F1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2024-04-22T14:33:00Z</dcterms:created>
  <dc:creator>Administrator</dc:creator>
  <cp:lastModifiedBy>张漂亮的楠楠</cp:lastModifiedBy>
  <dcterms:modified xsi:type="dcterms:W3CDTF">2024-12-23T05:42:55Z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A90D70D4D9844EC7A32D11164D53BE44_12</vt:lpwstr>
  </property>
</Properties>
</file>