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投标须知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both"/>
        <w:textAlignment w:val="auto"/>
        <w:rPr>
          <w:rFonts w:ascii="仿宋_GB2312" w:hAnsi="仿宋_GB2312" w:eastAsia="仿宋_GB2312" w:cs="仿宋_GB2312"/>
          <w:b/>
          <w:color w:val="auto"/>
          <w:sz w:val="30"/>
          <w:szCs w:val="30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一、采购要求：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1.投标人资质：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1）符合《中华人民共和国政府采购法》第22条规定：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2）具有独立承担民事责任的能力；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3）遵守国家的法律、法规，具有良好的商业信誉；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4）具备工商部门登记的注册资金要求，具有完成采购项目所需的充足资金来源；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5）具有固定的经营场所；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6）具有必要的生产施工和技术设备设施，必要的组织、检验能力，以及完善的业务控制程序；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7）具有签订和履行合同的能力，具有良好的商业行为和合同履行记录；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8）产品、商品、工程和服务具有竞争能力，售后服务良好。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9）提供的货物、工程或服务符合国家产业政策和国家环境、安全标准；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10）具备齐全的有效的营业执照并且年审有效；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2、中标供应商：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所报单价最低价为中标供应商，甲方与中标供应商签订合同，合同期一年。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3、据实结算：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甲乙双方方根据实际脱水后的重量乘以中标单价计算金额。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4、考察：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本院有权利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考察供应商实力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，如不满足本院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服务需求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视为无效报价。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5、实地勘察：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为确保投标人制定的服务方案切实可行，投标人必须现场了解项目内容、工作环境。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both"/>
        <w:textAlignment w:val="auto"/>
        <w:rPr>
          <w:rFonts w:hint="eastAsia" w:ascii="黑体" w:hAnsi="黑体" w:eastAsia="黑体" w:cs="黑体"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二、必须上传资料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1、报价明细表扫描件加盖公章；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、有效的营业执照扫描件加盖公章；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、售后服务承诺书扫描件加盖公章；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、法定代表人身份证明扫描件加盖公章；7、企业诚信及相关承诺函扫描件加盖公章；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、中小企业声明函扫描件加盖公章；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参加采购活动前三年内，在经营活动中没有重大违法记录，供应商须提供“信用中国”网站（http://www.creditchina.gov.cn/）、“中国政府采购网”网站（http://www.ccgp.gov.cn）无违法违规行为的查询记录（提供查询结果网页截图并加盖供应商公章）。</w:t>
      </w: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-SA"/>
        </w:rPr>
        <w:t>符合《中华人民共和国国家环境保护标准危险废物收集、贮存、运输技术规范》HJ2025-2012中第4.1条、HJ2025-2012中第7.1条规定，污泥的收集、贮存、运输必须有危险废物经营许可证资质、危险货物运输资质的公司且在自治区固废平台备案，上传危险废物经营许可证和危险废物道路运输许可证。8、上传现场勘查图片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必须上传资料投标供应商必须上传，若未上传或上传资料不符合，采购方有权拒绝。如对该采购项目有质疑的，报价截止前将书面形式的质疑函提交到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阿勒泰地区人民医院总务科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。报价截止后提交的质疑一律不受理。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采购人联系电话：0906-2100902   18083976655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阿勒泰地区财政局采购科：0906-2165170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E63C5"/>
    <w:rsid w:val="01AF246D"/>
    <w:rsid w:val="03F64E24"/>
    <w:rsid w:val="1750046E"/>
    <w:rsid w:val="1C206E3A"/>
    <w:rsid w:val="1F6A51F7"/>
    <w:rsid w:val="2424009F"/>
    <w:rsid w:val="37BE3BCC"/>
    <w:rsid w:val="4119190B"/>
    <w:rsid w:val="432936BC"/>
    <w:rsid w:val="46343B36"/>
    <w:rsid w:val="481A7871"/>
    <w:rsid w:val="4CD1289B"/>
    <w:rsid w:val="51276023"/>
    <w:rsid w:val="54711709"/>
    <w:rsid w:val="587E63C5"/>
    <w:rsid w:val="62B002D0"/>
    <w:rsid w:val="650B15F7"/>
    <w:rsid w:val="690343E9"/>
    <w:rsid w:val="6D72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line="440" w:lineRule="exact"/>
      <w:ind w:firstLine="200" w:firstLineChars="200"/>
    </w:pPr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2024-03-29T09:35:00Z</dcterms:created>
  <dc:creator>北方不败</dc:creator>
  <cp:lastModifiedBy>Administrator</cp:lastModifiedBy>
  <dcterms:modified xsi:type="dcterms:W3CDTF">2025-07-03T08:25:55Z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