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eastAsia="华文细黑"/>
          <w:b/>
          <w:bCs/>
          <w:sz w:val="56"/>
          <w:szCs w:val="56"/>
        </w:rPr>
      </w:pPr>
      <w:bookmarkStart w:id="0" w:name="_Toc25131_WPSOffice_Type3"/>
      <w:r>
        <w:rPr>
          <w:rFonts w:hint="eastAsia" w:eastAsia="华文细黑"/>
          <w:b/>
          <w:bCs/>
          <w:sz w:val="56"/>
          <w:szCs w:val="56"/>
        </w:rPr>
        <w:t>阿勒泰地区乌伦古河流域水管站2024年度小型水库维修养护工程</w:t>
      </w:r>
    </w:p>
    <w:p>
      <w:pPr>
        <w:pStyle w:val="2"/>
      </w:pPr>
    </w:p>
    <w:p/>
    <w:p>
      <w:pPr>
        <w:spacing w:line="1000" w:lineRule="exact"/>
        <w:jc w:val="center"/>
        <w:rPr>
          <w:rFonts w:hint="eastAsia" w:ascii="宋体" w:hAnsi="宋体" w:cs="宋体"/>
          <w:b/>
          <w:bCs/>
          <w:sz w:val="92"/>
          <w:szCs w:val="92"/>
        </w:rPr>
      </w:pPr>
      <w:r>
        <w:rPr>
          <w:rFonts w:hint="eastAsia" w:ascii="宋体" w:hAnsi="宋体" w:cs="宋体"/>
          <w:b/>
          <w:bCs/>
          <w:sz w:val="92"/>
          <w:szCs w:val="92"/>
        </w:rPr>
        <w:t>实</w:t>
      </w:r>
    </w:p>
    <w:p>
      <w:pPr>
        <w:spacing w:line="1000" w:lineRule="exact"/>
        <w:jc w:val="center"/>
        <w:rPr>
          <w:rFonts w:hint="eastAsia" w:ascii="宋体" w:hAnsi="宋体" w:cs="宋体"/>
          <w:b/>
          <w:bCs/>
          <w:sz w:val="2"/>
          <w:szCs w:val="2"/>
        </w:rPr>
      </w:pPr>
    </w:p>
    <w:p>
      <w:pPr>
        <w:spacing w:line="1000" w:lineRule="exact"/>
        <w:jc w:val="center"/>
        <w:rPr>
          <w:rFonts w:hint="eastAsia" w:ascii="宋体" w:hAnsi="宋体" w:cs="宋体"/>
          <w:b/>
          <w:bCs/>
          <w:sz w:val="92"/>
          <w:szCs w:val="92"/>
        </w:rPr>
      </w:pPr>
      <w:r>
        <w:rPr>
          <w:rFonts w:hint="eastAsia" w:ascii="宋体" w:hAnsi="宋体" w:cs="宋体"/>
          <w:b/>
          <w:bCs/>
          <w:sz w:val="92"/>
          <w:szCs w:val="92"/>
        </w:rPr>
        <w:t>施</w:t>
      </w:r>
    </w:p>
    <w:p>
      <w:pPr>
        <w:spacing w:line="1000" w:lineRule="exact"/>
        <w:jc w:val="center"/>
        <w:rPr>
          <w:rFonts w:hint="eastAsia" w:ascii="宋体" w:hAnsi="宋体" w:cs="宋体"/>
          <w:b/>
          <w:bCs/>
          <w:sz w:val="12"/>
          <w:szCs w:val="12"/>
        </w:rPr>
      </w:pPr>
    </w:p>
    <w:p>
      <w:pPr>
        <w:spacing w:line="1000" w:lineRule="exact"/>
        <w:jc w:val="center"/>
        <w:rPr>
          <w:rFonts w:hint="eastAsia" w:ascii="宋体" w:hAnsi="宋体" w:cs="宋体"/>
          <w:b/>
          <w:bCs/>
          <w:sz w:val="92"/>
          <w:szCs w:val="92"/>
        </w:rPr>
      </w:pPr>
      <w:r>
        <w:rPr>
          <w:rFonts w:hint="eastAsia" w:ascii="宋体" w:hAnsi="宋体" w:cs="宋体"/>
          <w:b/>
          <w:bCs/>
          <w:sz w:val="92"/>
          <w:szCs w:val="92"/>
        </w:rPr>
        <w:t>方</w:t>
      </w:r>
    </w:p>
    <w:p>
      <w:pPr>
        <w:spacing w:line="1000" w:lineRule="exact"/>
        <w:jc w:val="center"/>
        <w:rPr>
          <w:rFonts w:hint="eastAsia" w:ascii="宋体" w:hAnsi="宋体" w:cs="宋体"/>
          <w:b/>
          <w:bCs/>
          <w:sz w:val="12"/>
          <w:szCs w:val="12"/>
        </w:rPr>
      </w:pPr>
    </w:p>
    <w:p>
      <w:pPr>
        <w:spacing w:line="1000" w:lineRule="exact"/>
        <w:jc w:val="center"/>
        <w:rPr>
          <w:rFonts w:hint="eastAsia" w:ascii="宋体" w:hAnsi="宋体" w:cs="宋体"/>
          <w:b/>
          <w:bCs/>
          <w:sz w:val="36"/>
          <w:szCs w:val="36"/>
        </w:rPr>
      </w:pPr>
      <w:r>
        <w:rPr>
          <w:rFonts w:hint="eastAsia" w:ascii="宋体" w:hAnsi="宋体" w:cs="宋体"/>
          <w:b/>
          <w:bCs/>
          <w:sz w:val="92"/>
          <w:szCs w:val="92"/>
        </w:rPr>
        <w:t>案</w:t>
      </w:r>
    </w:p>
    <w:p>
      <w:pPr>
        <w:spacing w:line="560" w:lineRule="exact"/>
        <w:jc w:val="center"/>
        <w:rPr>
          <w:rFonts w:eastAsia="华文细黑"/>
          <w:b/>
          <w:bCs/>
          <w:sz w:val="36"/>
          <w:szCs w:val="36"/>
        </w:rPr>
      </w:pPr>
    </w:p>
    <w:p>
      <w:pPr>
        <w:pStyle w:val="2"/>
      </w:pPr>
    </w:p>
    <w:p/>
    <w:p>
      <w:pPr>
        <w:spacing w:line="560" w:lineRule="exact"/>
        <w:jc w:val="center"/>
        <w:rPr>
          <w:rFonts w:hint="eastAsia" w:eastAsia="华文细黑"/>
          <w:b/>
          <w:bCs/>
          <w:sz w:val="36"/>
          <w:szCs w:val="36"/>
          <w:lang w:eastAsia="zh-CN"/>
        </w:rPr>
      </w:pPr>
      <w:r>
        <w:rPr>
          <w:rFonts w:hint="eastAsia" w:eastAsia="华文细黑"/>
          <w:b/>
          <w:bCs/>
          <w:sz w:val="36"/>
          <w:szCs w:val="36"/>
          <w:lang w:eastAsia="zh-CN"/>
        </w:rPr>
        <w:t>新疆双河勘测设计有限公司阿勒泰分公司</w:t>
      </w:r>
    </w:p>
    <w:p>
      <w:pPr>
        <w:spacing w:line="560" w:lineRule="exact"/>
        <w:jc w:val="center"/>
        <w:rPr>
          <w:rFonts w:eastAsia="华文细黑"/>
          <w:b/>
          <w:bCs/>
          <w:sz w:val="36"/>
          <w:szCs w:val="36"/>
        </w:rPr>
      </w:pPr>
      <w:r>
        <w:rPr>
          <w:rFonts w:eastAsia="华文细黑"/>
          <w:b/>
          <w:bCs/>
          <w:sz w:val="36"/>
          <w:szCs w:val="36"/>
        </w:rPr>
        <w:t>202</w:t>
      </w:r>
      <w:r>
        <w:rPr>
          <w:rFonts w:hint="eastAsia" w:eastAsia="华文细黑"/>
          <w:b/>
          <w:bCs/>
          <w:sz w:val="36"/>
          <w:szCs w:val="36"/>
        </w:rPr>
        <w:t>4</w:t>
      </w:r>
      <w:r>
        <w:rPr>
          <w:rFonts w:eastAsia="华文细黑"/>
          <w:b/>
          <w:bCs/>
          <w:sz w:val="36"/>
          <w:szCs w:val="36"/>
        </w:rPr>
        <w:t>年</w:t>
      </w:r>
      <w:r>
        <w:rPr>
          <w:rFonts w:hint="eastAsia" w:eastAsia="华文细黑"/>
          <w:b/>
          <w:bCs/>
          <w:sz w:val="36"/>
          <w:szCs w:val="36"/>
        </w:rPr>
        <w:t>01</w:t>
      </w:r>
      <w:r>
        <w:rPr>
          <w:rFonts w:eastAsia="华文细黑"/>
          <w:b/>
          <w:bCs/>
          <w:sz w:val="36"/>
          <w:szCs w:val="36"/>
        </w:rPr>
        <w:t>月</w:t>
      </w:r>
    </w:p>
    <w:p>
      <w:pPr>
        <w:spacing w:line="560" w:lineRule="exact"/>
        <w:jc w:val="center"/>
        <w:rPr>
          <w:rFonts w:eastAsia="华文细黑"/>
          <w:b/>
          <w:bCs/>
          <w:sz w:val="36"/>
          <w:szCs w:val="36"/>
        </w:rPr>
      </w:pPr>
    </w:p>
    <w:p>
      <w:pPr>
        <w:spacing w:line="560" w:lineRule="exact"/>
        <w:jc w:val="center"/>
        <w:rPr>
          <w:rFonts w:eastAsia="华文细黑"/>
          <w:b/>
          <w:bCs/>
          <w:sz w:val="36"/>
          <w:szCs w:val="36"/>
        </w:rPr>
      </w:pPr>
    </w:p>
    <w:p>
      <w:pPr>
        <w:spacing w:line="560" w:lineRule="exact"/>
        <w:jc w:val="center"/>
        <w:rPr>
          <w:rFonts w:eastAsia="华文细黑"/>
          <w:b/>
          <w:bCs/>
          <w:sz w:val="36"/>
          <w:szCs w:val="36"/>
        </w:rPr>
      </w:pPr>
    </w:p>
    <w:p>
      <w:pPr>
        <w:spacing w:line="560" w:lineRule="exact"/>
        <w:jc w:val="center"/>
        <w:rPr>
          <w:rFonts w:eastAsia="华文细黑"/>
          <w:b/>
          <w:bCs/>
          <w:sz w:val="36"/>
          <w:szCs w:val="36"/>
        </w:rPr>
      </w:pPr>
    </w:p>
    <w:p>
      <w:pPr>
        <w:spacing w:line="560" w:lineRule="exact"/>
        <w:jc w:val="center"/>
        <w:rPr>
          <w:rFonts w:eastAsia="华文细黑"/>
          <w:b/>
          <w:bCs/>
          <w:sz w:val="36"/>
          <w:szCs w:val="36"/>
        </w:rPr>
      </w:pPr>
    </w:p>
    <w:p>
      <w:pPr>
        <w:spacing w:line="560" w:lineRule="exact"/>
        <w:jc w:val="center"/>
        <w:rPr>
          <w:rFonts w:eastAsia="华文细黑"/>
          <w:b/>
          <w:bCs/>
          <w:sz w:val="36"/>
          <w:szCs w:val="36"/>
        </w:rPr>
      </w:pPr>
    </w:p>
    <w:p>
      <w:pPr>
        <w:spacing w:line="560" w:lineRule="exact"/>
        <w:jc w:val="both"/>
        <w:rPr>
          <w:rFonts w:eastAsia="华文细黑"/>
          <w:b/>
          <w:bCs/>
          <w:sz w:val="36"/>
          <w:szCs w:val="36"/>
        </w:rPr>
      </w:pPr>
    </w:p>
    <w:p>
      <w:pPr>
        <w:spacing w:line="560" w:lineRule="exact"/>
        <w:jc w:val="center"/>
        <w:rPr>
          <w:rFonts w:eastAsia="华文细黑"/>
          <w:b/>
          <w:bCs/>
          <w:sz w:val="36"/>
          <w:szCs w:val="36"/>
        </w:rPr>
      </w:pPr>
    </w:p>
    <w:p>
      <w:pPr>
        <w:spacing w:line="560" w:lineRule="exact"/>
        <w:jc w:val="center"/>
        <w:rPr>
          <w:rFonts w:eastAsia="华文细黑"/>
          <w:b/>
          <w:bCs/>
          <w:sz w:val="36"/>
          <w:szCs w:val="36"/>
        </w:rPr>
      </w:pPr>
    </w:p>
    <w:p>
      <w:pPr>
        <w:spacing w:line="560" w:lineRule="exact"/>
        <w:jc w:val="both"/>
        <w:rPr>
          <w:rFonts w:hint="default" w:eastAsia="华文细黑"/>
          <w:b/>
          <w:bCs/>
          <w:sz w:val="36"/>
          <w:szCs w:val="36"/>
          <w:lang w:val="en-US" w:eastAsia="zh-CN"/>
        </w:rPr>
      </w:pPr>
      <w:r>
        <w:rPr>
          <w:rFonts w:hint="eastAsia" w:eastAsia="华文细黑"/>
          <w:b/>
          <w:bCs/>
          <w:sz w:val="36"/>
          <w:szCs w:val="36"/>
          <w:lang w:val="en-US" w:eastAsia="zh-CN"/>
        </w:rPr>
        <w:t>　　　　　　审　　　定：赵文博</w:t>
      </w:r>
    </w:p>
    <w:p>
      <w:pPr>
        <w:spacing w:line="560" w:lineRule="exact"/>
        <w:jc w:val="center"/>
        <w:rPr>
          <w:rFonts w:hint="eastAsia" w:eastAsia="华文细黑"/>
          <w:b/>
          <w:bCs/>
          <w:sz w:val="36"/>
          <w:szCs w:val="36"/>
        </w:rPr>
      </w:pPr>
    </w:p>
    <w:p>
      <w:pPr>
        <w:spacing w:line="560" w:lineRule="exact"/>
        <w:jc w:val="both"/>
        <w:rPr>
          <w:rFonts w:hint="eastAsia" w:eastAsia="华文细黑"/>
          <w:b/>
          <w:bCs/>
          <w:sz w:val="36"/>
          <w:szCs w:val="36"/>
          <w:lang w:eastAsia="zh-CN"/>
        </w:rPr>
      </w:pPr>
      <w:r>
        <w:rPr>
          <w:rFonts w:hint="eastAsia" w:eastAsia="华文细黑"/>
          <w:b/>
          <w:bCs/>
          <w:sz w:val="36"/>
          <w:szCs w:val="36"/>
          <w:lang w:eastAsia="zh-CN"/>
        </w:rPr>
        <w:t>　　　　　　审　　　核</w:t>
      </w:r>
      <w:r>
        <w:rPr>
          <w:rFonts w:hint="eastAsia" w:eastAsia="华文细黑"/>
          <w:b/>
          <w:bCs/>
          <w:sz w:val="36"/>
          <w:szCs w:val="36"/>
          <w:lang w:val="en-US" w:eastAsia="zh-CN"/>
        </w:rPr>
        <w:t>：</w:t>
      </w:r>
      <w:r>
        <w:rPr>
          <w:rFonts w:hint="eastAsia" w:eastAsia="华文细黑"/>
          <w:b/>
          <w:bCs/>
          <w:sz w:val="36"/>
          <w:szCs w:val="36"/>
          <w:lang w:eastAsia="zh-CN"/>
        </w:rPr>
        <w:t>张伟军</w:t>
      </w:r>
    </w:p>
    <w:p>
      <w:pPr>
        <w:spacing w:line="560" w:lineRule="exact"/>
        <w:ind w:firstLine="3604" w:firstLineChars="1000"/>
        <w:rPr>
          <w:rFonts w:hint="eastAsia" w:eastAsia="华文细黑"/>
          <w:b/>
          <w:bCs/>
          <w:sz w:val="36"/>
          <w:szCs w:val="36"/>
        </w:rPr>
      </w:pPr>
    </w:p>
    <w:p>
      <w:pPr>
        <w:spacing w:line="560" w:lineRule="exact"/>
        <w:rPr>
          <w:rFonts w:hint="eastAsia" w:eastAsia="华文细黑"/>
          <w:b/>
          <w:bCs/>
          <w:sz w:val="36"/>
          <w:szCs w:val="36"/>
          <w:lang w:eastAsia="zh-CN"/>
        </w:rPr>
      </w:pPr>
      <w:r>
        <w:rPr>
          <w:rFonts w:hint="eastAsia" w:eastAsia="华文细黑"/>
          <w:b/>
          <w:bCs/>
          <w:sz w:val="36"/>
          <w:szCs w:val="36"/>
          <w:lang w:eastAsia="zh-CN"/>
        </w:rPr>
        <w:t>　　　　　　技术负责人</w:t>
      </w:r>
      <w:r>
        <w:rPr>
          <w:rFonts w:hint="eastAsia" w:eastAsia="华文细黑"/>
          <w:b/>
          <w:bCs/>
          <w:sz w:val="36"/>
          <w:szCs w:val="36"/>
          <w:lang w:val="en-US" w:eastAsia="zh-CN"/>
        </w:rPr>
        <w:t>：</w:t>
      </w:r>
      <w:r>
        <w:rPr>
          <w:rFonts w:hint="eastAsia" w:eastAsia="华文细黑"/>
          <w:b/>
          <w:bCs/>
          <w:sz w:val="36"/>
          <w:szCs w:val="36"/>
          <w:lang w:eastAsia="zh-CN"/>
        </w:rPr>
        <w:t>王福刚</w:t>
      </w:r>
    </w:p>
    <w:p>
      <w:pPr>
        <w:pStyle w:val="4"/>
        <w:rPr>
          <w:rFonts w:hint="eastAsia" w:eastAsia="华文细黑"/>
          <w:b/>
          <w:bCs/>
          <w:sz w:val="36"/>
          <w:szCs w:val="36"/>
          <w:lang w:eastAsia="zh-CN"/>
        </w:rPr>
      </w:pPr>
      <w:r>
        <w:rPr>
          <w:rFonts w:hint="eastAsia" w:eastAsia="华文细黑"/>
          <w:b/>
          <w:bCs/>
          <w:sz w:val="36"/>
          <w:szCs w:val="36"/>
          <w:lang w:eastAsia="zh-CN"/>
        </w:rPr>
        <w:t>　　　　　　　</w:t>
      </w:r>
    </w:p>
    <w:p>
      <w:pPr>
        <w:pStyle w:val="4"/>
        <w:rPr>
          <w:rFonts w:hint="eastAsia"/>
          <w:lang w:eastAsia="zh-CN"/>
        </w:rPr>
      </w:pPr>
      <w:r>
        <w:rPr>
          <w:rFonts w:hint="eastAsia" w:eastAsia="华文细黑"/>
          <w:b/>
          <w:bCs/>
          <w:sz w:val="36"/>
          <w:szCs w:val="36"/>
          <w:lang w:eastAsia="zh-CN"/>
        </w:rPr>
        <w:t>　　　　经济负责人</w:t>
      </w:r>
      <w:r>
        <w:rPr>
          <w:rFonts w:hint="eastAsia" w:eastAsia="华文细黑"/>
          <w:b/>
          <w:bCs/>
          <w:sz w:val="36"/>
          <w:szCs w:val="36"/>
          <w:lang w:val="en-US" w:eastAsia="zh-CN"/>
        </w:rPr>
        <w:t>：詹刚健</w:t>
      </w:r>
    </w:p>
    <w:p>
      <w:pPr>
        <w:spacing w:line="560" w:lineRule="exact"/>
        <w:jc w:val="center"/>
        <w:rPr>
          <w:rFonts w:hint="eastAsia" w:eastAsia="华文细黑"/>
          <w:b/>
          <w:bCs/>
          <w:sz w:val="36"/>
          <w:szCs w:val="36"/>
        </w:rPr>
      </w:pPr>
      <w:r>
        <w:rPr>
          <w:rFonts w:hint="eastAsia" w:eastAsia="华文细黑"/>
          <w:b/>
          <w:bCs/>
          <w:sz w:val="36"/>
          <w:szCs w:val="36"/>
        </w:rPr>
        <w:t xml:space="preserve">            </w:t>
      </w:r>
    </w:p>
    <w:p>
      <w:pPr>
        <w:spacing w:line="560" w:lineRule="exact"/>
        <w:jc w:val="left"/>
        <w:rPr>
          <w:rFonts w:hint="eastAsia"/>
          <w:snapToGrid w:val="0"/>
          <w:kern w:val="0"/>
          <w:sz w:val="44"/>
          <w:szCs w:val="44"/>
          <w:lang w:eastAsia="zh-Hans"/>
        </w:rPr>
        <w:sectPr>
          <w:headerReference r:id="rId3" w:type="default"/>
          <w:footerReference r:id="rId4" w:type="default"/>
          <w:pgSz w:w="11906" w:h="16838"/>
          <w:pgMar w:top="1440" w:right="1800" w:bottom="1440" w:left="1800" w:header="851" w:footer="992" w:gutter="0"/>
          <w:pgNumType w:fmt="numberInDash" w:start="1"/>
          <w:cols w:space="720" w:num="1"/>
          <w:docGrid w:type="lines" w:linePitch="312" w:charSpace="0"/>
        </w:sectPr>
      </w:pPr>
      <w:r>
        <w:rPr>
          <w:rFonts w:hint="eastAsia" w:eastAsia="华文细黑"/>
          <w:b/>
          <w:bCs/>
          <w:sz w:val="36"/>
          <w:szCs w:val="36"/>
        </w:rPr>
        <w:t xml:space="preserve">         </w:t>
      </w:r>
      <w:r>
        <w:rPr>
          <w:rFonts w:hint="eastAsia" w:eastAsia="华文细黑"/>
          <w:b/>
          <w:bCs/>
          <w:sz w:val="36"/>
          <w:szCs w:val="36"/>
          <w:lang w:eastAsia="zh-CN"/>
        </w:rPr>
        <w:t>　</w:t>
      </w:r>
      <w:r>
        <w:rPr>
          <w:rFonts w:hint="eastAsia" w:eastAsia="华文细黑"/>
          <w:b/>
          <w:bCs/>
          <w:sz w:val="36"/>
          <w:szCs w:val="36"/>
          <w:lang w:val="en-US" w:eastAsia="zh-CN"/>
        </w:rPr>
        <w:t xml:space="preserve"> </w:t>
      </w:r>
      <w:r>
        <w:rPr>
          <w:rFonts w:hint="eastAsia" w:eastAsia="华文细黑"/>
          <w:b/>
          <w:bCs/>
          <w:sz w:val="36"/>
          <w:szCs w:val="36"/>
        </w:rPr>
        <w:t>编</w:t>
      </w:r>
      <w:r>
        <w:rPr>
          <w:rFonts w:hint="eastAsia" w:eastAsia="华文细黑"/>
          <w:b/>
          <w:bCs/>
          <w:sz w:val="36"/>
          <w:szCs w:val="36"/>
          <w:lang w:eastAsia="zh-CN"/>
        </w:rPr>
        <w:t>　　　</w:t>
      </w:r>
      <w:r>
        <w:rPr>
          <w:rFonts w:hint="eastAsia" w:eastAsia="华文细黑"/>
          <w:b/>
          <w:bCs/>
          <w:sz w:val="36"/>
          <w:szCs w:val="36"/>
        </w:rPr>
        <w:t>写</w:t>
      </w:r>
      <w:r>
        <w:rPr>
          <w:rFonts w:hint="eastAsia" w:eastAsia="华文细黑"/>
          <w:b/>
          <w:bCs/>
          <w:sz w:val="36"/>
          <w:szCs w:val="36"/>
          <w:lang w:val="en-US" w:eastAsia="zh-CN"/>
        </w:rPr>
        <w:t>：詹刚健　</w:t>
      </w:r>
      <w:r>
        <w:rPr>
          <w:rFonts w:hint="eastAsia" w:eastAsia="华文细黑"/>
          <w:b/>
          <w:bCs/>
          <w:sz w:val="36"/>
          <w:szCs w:val="36"/>
          <w:lang w:eastAsia="zh-CN"/>
        </w:rPr>
        <w:t>　</w:t>
      </w:r>
      <w:r>
        <w:rPr>
          <w:rFonts w:hint="eastAsia" w:eastAsia="华文细黑"/>
          <w:b/>
          <w:bCs/>
          <w:sz w:val="36"/>
          <w:szCs w:val="36"/>
        </w:rPr>
        <w:t xml:space="preserve">      </w:t>
      </w:r>
      <w:r>
        <w:rPr>
          <w:rFonts w:hint="eastAsia" w:eastAsia="华文细黑"/>
          <w:b/>
          <w:bCs/>
          <w:sz w:val="36"/>
          <w:szCs w:val="36"/>
          <w:lang w:val="en-US" w:eastAsia="zh-CN"/>
        </w:rPr>
        <w:t xml:space="preserve">  </w:t>
      </w:r>
      <w:r>
        <w:rPr>
          <w:rFonts w:hint="eastAsia" w:eastAsia="华文细黑"/>
          <w:b/>
          <w:bCs/>
          <w:sz w:val="36"/>
          <w:szCs w:val="36"/>
        </w:rPr>
        <w:t xml:space="preserve">               </w:t>
      </w:r>
      <w:r>
        <w:rPr>
          <w:rFonts w:hint="eastAsia" w:eastAsia="华文细黑"/>
          <w:b/>
          <w:bCs/>
          <w:sz w:val="36"/>
          <w:szCs w:val="36"/>
          <w:lang w:val="en-US" w:eastAsia="zh-CN"/>
        </w:rPr>
        <w:t xml:space="preserve">  </w:t>
      </w:r>
      <w:r>
        <w:rPr>
          <w:rFonts w:hint="eastAsia" w:eastAsia="华文细黑"/>
          <w:b/>
          <w:bCs/>
          <w:sz w:val="36"/>
          <w:szCs w:val="36"/>
        </w:rPr>
        <w:t xml:space="preserve">          </w:t>
      </w:r>
    </w:p>
    <w:p>
      <w:pPr>
        <w:spacing w:before="0" w:beforeLines="0" w:after="0" w:afterLines="0" w:line="240" w:lineRule="auto"/>
        <w:ind w:left="0" w:leftChars="0" w:right="0" w:rightChars="0" w:firstLine="0" w:firstLineChars="0"/>
        <w:jc w:val="center"/>
        <w:rPr>
          <w:sz w:val="28"/>
          <w:szCs w:val="36"/>
        </w:rPr>
      </w:pPr>
      <w:r>
        <w:rPr>
          <w:rFonts w:ascii="宋体" w:hAnsi="宋体" w:eastAsia="宋体"/>
          <w:sz w:val="28"/>
          <w:szCs w:val="36"/>
        </w:rPr>
        <w:t>目录</w:t>
      </w:r>
    </w:p>
    <w:p>
      <w:pPr>
        <w:pStyle w:val="11"/>
        <w:tabs>
          <w:tab w:val="right" w:leader="dot" w:pos="8306"/>
        </w:tabs>
        <w:rPr>
          <w:sz w:val="22"/>
          <w:szCs w:val="22"/>
        </w:rPr>
      </w:pPr>
      <w:r>
        <w:rPr>
          <w:sz w:val="22"/>
          <w:szCs w:val="22"/>
        </w:rPr>
        <w:fldChar w:fldCharType="begin"/>
      </w:r>
      <w:r>
        <w:rPr>
          <w:sz w:val="22"/>
          <w:szCs w:val="22"/>
        </w:rPr>
        <w:instrText xml:space="preserve"> HYPERLINK \l _Toc1184_WPSOffice_Level1 </w:instrText>
      </w:r>
      <w:r>
        <w:rPr>
          <w:sz w:val="22"/>
          <w:szCs w:val="22"/>
        </w:rPr>
        <w:fldChar w:fldCharType="separate"/>
      </w:r>
      <w:r>
        <w:rPr>
          <w:rFonts w:hint="eastAsia" w:ascii="等线 Light" w:hAnsi="等线 Light" w:cs="Times New Roman"/>
          <w:sz w:val="22"/>
          <w:szCs w:val="22"/>
        </w:rPr>
        <w:t>1项目区概况</w:t>
      </w:r>
      <w:r>
        <w:rPr>
          <w:sz w:val="22"/>
          <w:szCs w:val="22"/>
        </w:rPr>
        <w:tab/>
      </w:r>
      <w:bookmarkStart w:id="1" w:name="_Toc1184_WPSOffice_Level1Page"/>
      <w:r>
        <w:rPr>
          <w:sz w:val="22"/>
          <w:szCs w:val="22"/>
        </w:rPr>
        <w:t>1</w:t>
      </w:r>
      <w:bookmarkEnd w:id="1"/>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_Toc18304_WPSOffice_Level1 </w:instrText>
      </w:r>
      <w:r>
        <w:rPr>
          <w:sz w:val="22"/>
          <w:szCs w:val="22"/>
        </w:rPr>
        <w:fldChar w:fldCharType="separate"/>
      </w:r>
      <w:r>
        <w:rPr>
          <w:rFonts w:hint="eastAsia" w:ascii="黑体" w:eastAsia="黑体"/>
          <w:sz w:val="22"/>
          <w:szCs w:val="22"/>
        </w:rPr>
        <w:t>1.1自然状况</w:t>
      </w:r>
      <w:r>
        <w:rPr>
          <w:sz w:val="22"/>
          <w:szCs w:val="22"/>
        </w:rPr>
        <w:tab/>
      </w:r>
      <w:bookmarkStart w:id="2" w:name="_Toc18304_WPSOffice_Level1Page"/>
      <w:r>
        <w:rPr>
          <w:sz w:val="22"/>
          <w:szCs w:val="22"/>
        </w:rPr>
        <w:t>1</w:t>
      </w:r>
      <w:bookmarkEnd w:id="2"/>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_Toc31814_WPSOffice_Level2 </w:instrText>
      </w:r>
      <w:r>
        <w:rPr>
          <w:sz w:val="22"/>
          <w:szCs w:val="22"/>
        </w:rPr>
        <w:fldChar w:fldCharType="separate"/>
      </w:r>
      <w:r>
        <w:rPr>
          <w:rFonts w:hint="eastAsia" w:ascii="宋体"/>
          <w:sz w:val="22"/>
          <w:szCs w:val="22"/>
        </w:rPr>
        <w:t>1.1.1地理位置</w:t>
      </w:r>
      <w:r>
        <w:rPr>
          <w:sz w:val="22"/>
          <w:szCs w:val="22"/>
        </w:rPr>
        <w:tab/>
      </w:r>
      <w:bookmarkStart w:id="3" w:name="_Toc31814_WPSOffice_Level2Page"/>
      <w:r>
        <w:rPr>
          <w:sz w:val="22"/>
          <w:szCs w:val="22"/>
        </w:rPr>
        <w:t>1</w:t>
      </w:r>
      <w:bookmarkEnd w:id="3"/>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_Toc112_WPSOffice_Level2 </w:instrText>
      </w:r>
      <w:r>
        <w:rPr>
          <w:sz w:val="22"/>
          <w:szCs w:val="22"/>
        </w:rPr>
        <w:fldChar w:fldCharType="separate"/>
      </w:r>
      <w:r>
        <w:rPr>
          <w:rFonts w:hint="eastAsia" w:ascii="宋体"/>
          <w:sz w:val="22"/>
          <w:szCs w:val="22"/>
        </w:rPr>
        <w:t>1.1.2水文气象</w:t>
      </w:r>
      <w:r>
        <w:rPr>
          <w:sz w:val="22"/>
          <w:szCs w:val="22"/>
        </w:rPr>
        <w:tab/>
      </w:r>
      <w:bookmarkStart w:id="4" w:name="_Toc112_WPSOffice_Level2Page"/>
      <w:r>
        <w:rPr>
          <w:sz w:val="22"/>
          <w:szCs w:val="22"/>
        </w:rPr>
        <w:t>1</w:t>
      </w:r>
      <w:bookmarkEnd w:id="4"/>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_Toc31855_WPSOffice_Level3 </w:instrText>
      </w:r>
      <w:r>
        <w:rPr>
          <w:sz w:val="22"/>
          <w:szCs w:val="22"/>
        </w:rPr>
        <w:fldChar w:fldCharType="separate"/>
      </w:r>
      <w:r>
        <w:rPr>
          <w:rFonts w:hint="eastAsia" w:ascii="宋体" w:hAnsi="宋体" w:cs="宋体"/>
          <w:sz w:val="22"/>
          <w:szCs w:val="22"/>
        </w:rPr>
        <w:t>1)气象观测站网简介</w:t>
      </w:r>
      <w:r>
        <w:rPr>
          <w:sz w:val="22"/>
          <w:szCs w:val="22"/>
        </w:rPr>
        <w:tab/>
      </w:r>
      <w:bookmarkStart w:id="5" w:name="_Toc31855_WPSOffice_Level3Page"/>
      <w:r>
        <w:rPr>
          <w:sz w:val="22"/>
          <w:szCs w:val="22"/>
        </w:rPr>
        <w:t>1</w:t>
      </w:r>
      <w:bookmarkEnd w:id="5"/>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_Toc24360_WPSOffice_Level3 </w:instrText>
      </w:r>
      <w:r>
        <w:rPr>
          <w:sz w:val="22"/>
          <w:szCs w:val="22"/>
        </w:rPr>
        <w:fldChar w:fldCharType="separate"/>
      </w:r>
      <w:r>
        <w:rPr>
          <w:rFonts w:hint="eastAsia" w:ascii="宋体" w:hAnsi="宋体" w:cs="宋体"/>
          <w:sz w:val="22"/>
          <w:szCs w:val="22"/>
        </w:rPr>
        <w:t>2)气候特征</w:t>
      </w:r>
      <w:r>
        <w:rPr>
          <w:sz w:val="22"/>
          <w:szCs w:val="22"/>
        </w:rPr>
        <w:tab/>
      </w:r>
      <w:bookmarkStart w:id="6" w:name="_Toc24360_WPSOffice_Level3Page"/>
      <w:r>
        <w:rPr>
          <w:sz w:val="22"/>
          <w:szCs w:val="22"/>
        </w:rPr>
        <w:t>2</w:t>
      </w:r>
      <w:bookmarkEnd w:id="6"/>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_Toc8781_WPSOffice_Level2 </w:instrText>
      </w:r>
      <w:r>
        <w:rPr>
          <w:sz w:val="22"/>
          <w:szCs w:val="22"/>
        </w:rPr>
        <w:fldChar w:fldCharType="separate"/>
      </w:r>
      <w:r>
        <w:rPr>
          <w:rFonts w:hint="eastAsia" w:ascii="宋体"/>
          <w:sz w:val="22"/>
          <w:szCs w:val="22"/>
        </w:rPr>
        <w:t>1.1.3工程地质</w:t>
      </w:r>
      <w:r>
        <w:rPr>
          <w:sz w:val="22"/>
          <w:szCs w:val="22"/>
        </w:rPr>
        <w:tab/>
      </w:r>
      <w:bookmarkStart w:id="7" w:name="_Toc8781_WPSOffice_Level2Page"/>
      <w:r>
        <w:rPr>
          <w:sz w:val="22"/>
          <w:szCs w:val="22"/>
        </w:rPr>
        <w:t>4</w:t>
      </w:r>
      <w:bookmarkEnd w:id="7"/>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_Toc2205_WPSOffice_Level3 </w:instrText>
      </w:r>
      <w:r>
        <w:rPr>
          <w:sz w:val="22"/>
          <w:szCs w:val="22"/>
        </w:rPr>
        <w:fldChar w:fldCharType="separate"/>
      </w:r>
      <w:r>
        <w:rPr>
          <w:rFonts w:hint="eastAsia" w:ascii="宋体"/>
          <w:sz w:val="22"/>
          <w:szCs w:val="22"/>
        </w:rPr>
        <w:t>1.1.3.1区域地质</w:t>
      </w:r>
      <w:r>
        <w:rPr>
          <w:sz w:val="22"/>
          <w:szCs w:val="22"/>
        </w:rPr>
        <w:tab/>
      </w:r>
      <w:bookmarkStart w:id="8" w:name="_Toc2205_WPSOffice_Level3Page"/>
      <w:r>
        <w:rPr>
          <w:sz w:val="22"/>
          <w:szCs w:val="22"/>
        </w:rPr>
        <w:t>4</w:t>
      </w:r>
      <w:bookmarkEnd w:id="8"/>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_Toc12642_WPSOffice_Level3 </w:instrText>
      </w:r>
      <w:r>
        <w:rPr>
          <w:sz w:val="22"/>
          <w:szCs w:val="22"/>
        </w:rPr>
        <w:fldChar w:fldCharType="separate"/>
      </w:r>
      <w:r>
        <w:rPr>
          <w:rFonts w:hint="eastAsia" w:ascii="宋体"/>
          <w:sz w:val="22"/>
          <w:szCs w:val="22"/>
        </w:rPr>
        <w:t>1.1.3.2水文地质和工程地质</w:t>
      </w:r>
      <w:r>
        <w:rPr>
          <w:sz w:val="22"/>
          <w:szCs w:val="22"/>
        </w:rPr>
        <w:tab/>
      </w:r>
      <w:bookmarkStart w:id="9" w:name="_Toc12642_WPSOffice_Level3Page"/>
      <w:r>
        <w:rPr>
          <w:sz w:val="22"/>
          <w:szCs w:val="22"/>
        </w:rPr>
        <w:t>6</w:t>
      </w:r>
      <w:bookmarkEnd w:id="9"/>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_Toc8994_WPSOffice_Level3 </w:instrText>
      </w:r>
      <w:r>
        <w:rPr>
          <w:sz w:val="22"/>
          <w:szCs w:val="22"/>
        </w:rPr>
        <w:fldChar w:fldCharType="separate"/>
      </w:r>
      <w:r>
        <w:rPr>
          <w:rFonts w:hint="eastAsia" w:ascii="宋体"/>
          <w:sz w:val="22"/>
          <w:szCs w:val="22"/>
        </w:rPr>
        <w:t>1)水文地质</w:t>
      </w:r>
      <w:r>
        <w:rPr>
          <w:sz w:val="22"/>
          <w:szCs w:val="22"/>
        </w:rPr>
        <w:tab/>
      </w:r>
      <w:bookmarkStart w:id="10" w:name="_Toc8994_WPSOffice_Level3Page"/>
      <w:r>
        <w:rPr>
          <w:sz w:val="22"/>
          <w:szCs w:val="22"/>
        </w:rPr>
        <w:t>6</w:t>
      </w:r>
      <w:bookmarkEnd w:id="10"/>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_Toc19496_WPSOffice_Level3 </w:instrText>
      </w:r>
      <w:r>
        <w:rPr>
          <w:sz w:val="22"/>
          <w:szCs w:val="22"/>
        </w:rPr>
        <w:fldChar w:fldCharType="separate"/>
      </w:r>
      <w:r>
        <w:rPr>
          <w:rFonts w:hint="eastAsia" w:ascii="宋体"/>
          <w:sz w:val="22"/>
          <w:szCs w:val="22"/>
        </w:rPr>
        <w:t>2)工程地质</w:t>
      </w:r>
      <w:r>
        <w:rPr>
          <w:sz w:val="22"/>
          <w:szCs w:val="22"/>
        </w:rPr>
        <w:tab/>
      </w:r>
      <w:bookmarkStart w:id="11" w:name="_Toc19496_WPSOffice_Level3Page"/>
      <w:r>
        <w:rPr>
          <w:sz w:val="22"/>
          <w:szCs w:val="22"/>
        </w:rPr>
        <w:t>8</w:t>
      </w:r>
      <w:bookmarkEnd w:id="11"/>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_Toc20211_WPSOffice_Level1 </w:instrText>
      </w:r>
      <w:r>
        <w:rPr>
          <w:sz w:val="22"/>
          <w:szCs w:val="22"/>
        </w:rPr>
        <w:fldChar w:fldCharType="separate"/>
      </w:r>
      <w:r>
        <w:rPr>
          <w:rFonts w:hint="eastAsia" w:ascii="黑体" w:eastAsia="黑体"/>
          <w:sz w:val="22"/>
          <w:szCs w:val="22"/>
        </w:rPr>
        <w:t>1.2富蕴县经济社会发展状况</w:t>
      </w:r>
      <w:r>
        <w:rPr>
          <w:sz w:val="22"/>
          <w:szCs w:val="22"/>
        </w:rPr>
        <w:tab/>
      </w:r>
      <w:bookmarkStart w:id="12" w:name="_Toc20211_WPSOffice_Level1Page"/>
      <w:r>
        <w:rPr>
          <w:sz w:val="22"/>
          <w:szCs w:val="22"/>
        </w:rPr>
        <w:t>12</w:t>
      </w:r>
      <w:bookmarkEnd w:id="12"/>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_Toc8940_WPSOffice_Level2 </w:instrText>
      </w:r>
      <w:r>
        <w:rPr>
          <w:sz w:val="22"/>
          <w:szCs w:val="22"/>
        </w:rPr>
        <w:fldChar w:fldCharType="separate"/>
      </w:r>
      <w:r>
        <w:rPr>
          <w:rFonts w:hint="eastAsia" w:ascii="宋体" w:hAnsi="宋体" w:cs="宋体"/>
          <w:sz w:val="22"/>
          <w:szCs w:val="22"/>
        </w:rPr>
        <w:t>1)行政区划</w:t>
      </w:r>
      <w:r>
        <w:rPr>
          <w:sz w:val="22"/>
          <w:szCs w:val="22"/>
        </w:rPr>
        <w:tab/>
      </w:r>
      <w:bookmarkStart w:id="13" w:name="_Toc8940_WPSOffice_Level2Page"/>
      <w:r>
        <w:rPr>
          <w:sz w:val="22"/>
          <w:szCs w:val="22"/>
        </w:rPr>
        <w:t>12</w:t>
      </w:r>
      <w:bookmarkEnd w:id="13"/>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_Toc20515_WPSOffice_Level2 </w:instrText>
      </w:r>
      <w:r>
        <w:rPr>
          <w:sz w:val="22"/>
          <w:szCs w:val="22"/>
        </w:rPr>
        <w:fldChar w:fldCharType="separate"/>
      </w:r>
      <w:r>
        <w:rPr>
          <w:rFonts w:hint="eastAsia" w:ascii="宋体" w:hAnsi="宋体" w:cs="宋体"/>
          <w:sz w:val="22"/>
          <w:szCs w:val="22"/>
        </w:rPr>
        <w:t>2)人口</w:t>
      </w:r>
      <w:r>
        <w:rPr>
          <w:sz w:val="22"/>
          <w:szCs w:val="22"/>
        </w:rPr>
        <w:tab/>
      </w:r>
      <w:bookmarkStart w:id="14" w:name="_Toc20515_WPSOffice_Level2Page"/>
      <w:r>
        <w:rPr>
          <w:sz w:val="22"/>
          <w:szCs w:val="22"/>
        </w:rPr>
        <w:t>12</w:t>
      </w:r>
      <w:bookmarkEnd w:id="14"/>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_Toc21127_WPSOffice_Level2 </w:instrText>
      </w:r>
      <w:r>
        <w:rPr>
          <w:sz w:val="22"/>
          <w:szCs w:val="22"/>
        </w:rPr>
        <w:fldChar w:fldCharType="separate"/>
      </w:r>
      <w:r>
        <w:rPr>
          <w:rFonts w:hint="eastAsia" w:ascii="宋体" w:hAnsi="宋体" w:cs="宋体"/>
          <w:sz w:val="22"/>
          <w:szCs w:val="22"/>
        </w:rPr>
        <w:t>3)土地</w:t>
      </w:r>
      <w:r>
        <w:rPr>
          <w:sz w:val="22"/>
          <w:szCs w:val="22"/>
        </w:rPr>
        <w:tab/>
      </w:r>
      <w:bookmarkStart w:id="15" w:name="_Toc21127_WPSOffice_Level2Page"/>
      <w:r>
        <w:rPr>
          <w:sz w:val="22"/>
          <w:szCs w:val="22"/>
        </w:rPr>
        <w:t>12</w:t>
      </w:r>
      <w:bookmarkEnd w:id="15"/>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_Toc23794_WPSOffice_Level2 </w:instrText>
      </w:r>
      <w:r>
        <w:rPr>
          <w:sz w:val="22"/>
          <w:szCs w:val="22"/>
        </w:rPr>
        <w:fldChar w:fldCharType="separate"/>
      </w:r>
      <w:r>
        <w:rPr>
          <w:rFonts w:hint="eastAsia" w:ascii="宋体" w:hAnsi="宋体" w:cs="宋体"/>
          <w:sz w:val="22"/>
          <w:szCs w:val="22"/>
        </w:rPr>
        <w:t>4)经济</w:t>
      </w:r>
      <w:r>
        <w:rPr>
          <w:sz w:val="22"/>
          <w:szCs w:val="22"/>
        </w:rPr>
        <w:tab/>
      </w:r>
      <w:bookmarkStart w:id="16" w:name="_Toc23794_WPSOffice_Level2Page"/>
      <w:r>
        <w:rPr>
          <w:sz w:val="22"/>
          <w:szCs w:val="22"/>
        </w:rPr>
        <w:t>13</w:t>
      </w:r>
      <w:bookmarkEnd w:id="16"/>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_Toc14811_WPSOffice_Level1 </w:instrText>
      </w:r>
      <w:r>
        <w:rPr>
          <w:sz w:val="22"/>
          <w:szCs w:val="22"/>
        </w:rPr>
        <w:fldChar w:fldCharType="separate"/>
      </w:r>
      <w:r>
        <w:rPr>
          <w:rFonts w:hint="eastAsia" w:ascii="黑体" w:eastAsia="黑体"/>
          <w:sz w:val="22"/>
          <w:szCs w:val="22"/>
        </w:rPr>
        <w:t>1.3水库工程基本情况</w:t>
      </w:r>
      <w:r>
        <w:rPr>
          <w:sz w:val="22"/>
          <w:szCs w:val="22"/>
        </w:rPr>
        <w:tab/>
      </w:r>
      <w:bookmarkStart w:id="17" w:name="_Toc14811_WPSOffice_Level1Page"/>
      <w:r>
        <w:rPr>
          <w:sz w:val="22"/>
          <w:szCs w:val="22"/>
        </w:rPr>
        <w:t>13</w:t>
      </w:r>
      <w:bookmarkEnd w:id="17"/>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_Toc23509_WPSOffice_Level2 </w:instrText>
      </w:r>
      <w:r>
        <w:rPr>
          <w:sz w:val="22"/>
          <w:szCs w:val="22"/>
        </w:rPr>
        <w:fldChar w:fldCharType="separate"/>
      </w:r>
      <w:r>
        <w:rPr>
          <w:rFonts w:hint="eastAsia" w:ascii="宋体" w:hAnsi="宋体" w:cs="宋体"/>
          <w:sz w:val="22"/>
          <w:szCs w:val="22"/>
        </w:rPr>
        <w:t>(1)萨尔铁列克水库</w:t>
      </w:r>
      <w:r>
        <w:rPr>
          <w:sz w:val="22"/>
          <w:szCs w:val="22"/>
        </w:rPr>
        <w:tab/>
      </w:r>
      <w:bookmarkStart w:id="18" w:name="_Toc23509_WPSOffice_Level2Page"/>
      <w:r>
        <w:rPr>
          <w:sz w:val="22"/>
          <w:szCs w:val="22"/>
        </w:rPr>
        <w:t>13</w:t>
      </w:r>
      <w:bookmarkEnd w:id="18"/>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_Toc1085_WPSOffice_Level2 </w:instrText>
      </w:r>
      <w:r>
        <w:rPr>
          <w:sz w:val="22"/>
          <w:szCs w:val="22"/>
        </w:rPr>
        <w:fldChar w:fldCharType="separate"/>
      </w:r>
      <w:r>
        <w:rPr>
          <w:rFonts w:hint="eastAsia" w:ascii="宋体" w:hAnsi="宋体" w:cs="宋体"/>
          <w:sz w:val="22"/>
          <w:szCs w:val="22"/>
        </w:rPr>
        <w:t>(2)杜热水库</w:t>
      </w:r>
      <w:r>
        <w:rPr>
          <w:sz w:val="22"/>
          <w:szCs w:val="22"/>
        </w:rPr>
        <w:tab/>
      </w:r>
      <w:bookmarkStart w:id="19" w:name="_Toc1085_WPSOffice_Level2Page"/>
      <w:r>
        <w:rPr>
          <w:sz w:val="22"/>
          <w:szCs w:val="22"/>
        </w:rPr>
        <w:t>14</w:t>
      </w:r>
      <w:bookmarkEnd w:id="19"/>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_Toc30386_WPSOffice_Level2 </w:instrText>
      </w:r>
      <w:r>
        <w:rPr>
          <w:sz w:val="22"/>
          <w:szCs w:val="22"/>
        </w:rPr>
        <w:fldChar w:fldCharType="separate"/>
      </w:r>
      <w:r>
        <w:rPr>
          <w:rFonts w:hint="eastAsia" w:ascii="宋体" w:hAnsi="宋体" w:cs="宋体"/>
          <w:sz w:val="22"/>
          <w:szCs w:val="22"/>
        </w:rPr>
        <w:t>(4)广汇煤制气供水工程</w:t>
      </w:r>
      <w:r>
        <w:rPr>
          <w:sz w:val="22"/>
          <w:szCs w:val="22"/>
        </w:rPr>
        <w:tab/>
      </w:r>
      <w:bookmarkStart w:id="20" w:name="_Toc30386_WPSOffice_Level2Page"/>
      <w:r>
        <w:rPr>
          <w:sz w:val="22"/>
          <w:szCs w:val="22"/>
        </w:rPr>
        <w:t>14</w:t>
      </w:r>
      <w:bookmarkEnd w:id="20"/>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_Toc22583_WPSOffice_Level1 </w:instrText>
      </w:r>
      <w:r>
        <w:rPr>
          <w:sz w:val="22"/>
          <w:szCs w:val="22"/>
        </w:rPr>
        <w:fldChar w:fldCharType="separate"/>
      </w:r>
      <w:r>
        <w:rPr>
          <w:rFonts w:hint="eastAsia" w:ascii="黑体" w:eastAsia="黑体"/>
          <w:sz w:val="22"/>
          <w:szCs w:val="22"/>
        </w:rPr>
        <w:t>1.4投资概算</w:t>
      </w:r>
      <w:r>
        <w:rPr>
          <w:sz w:val="22"/>
          <w:szCs w:val="22"/>
        </w:rPr>
        <w:tab/>
      </w:r>
      <w:bookmarkStart w:id="21" w:name="_Toc22583_WPSOffice_Level1Page"/>
      <w:r>
        <w:rPr>
          <w:sz w:val="22"/>
          <w:szCs w:val="22"/>
        </w:rPr>
        <w:t>15</w:t>
      </w:r>
      <w:bookmarkEnd w:id="21"/>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_Toc21801_WPSOffice_Level1 </w:instrText>
      </w:r>
      <w:r>
        <w:rPr>
          <w:sz w:val="22"/>
          <w:szCs w:val="22"/>
        </w:rPr>
        <w:fldChar w:fldCharType="separate"/>
      </w:r>
      <w:r>
        <w:rPr>
          <w:rFonts w:hint="eastAsia" w:ascii="等线 Light" w:hAnsi="等线 Light"/>
          <w:sz w:val="22"/>
          <w:szCs w:val="22"/>
        </w:rPr>
        <w:t>2水库现状及存在的问题</w:t>
      </w:r>
      <w:r>
        <w:rPr>
          <w:sz w:val="22"/>
          <w:szCs w:val="22"/>
        </w:rPr>
        <w:tab/>
      </w:r>
      <w:bookmarkStart w:id="22" w:name="_Toc21801_WPSOffice_Level1Page"/>
      <w:r>
        <w:rPr>
          <w:sz w:val="22"/>
          <w:szCs w:val="22"/>
        </w:rPr>
        <w:t>16</w:t>
      </w:r>
      <w:bookmarkEnd w:id="22"/>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_Toc21827_WPSOffice_Level1 </w:instrText>
      </w:r>
      <w:r>
        <w:rPr>
          <w:sz w:val="22"/>
          <w:szCs w:val="22"/>
        </w:rPr>
        <w:fldChar w:fldCharType="separate"/>
      </w:r>
      <w:r>
        <w:rPr>
          <w:rFonts w:hint="eastAsia" w:ascii="黑体" w:eastAsia="黑体"/>
          <w:sz w:val="22"/>
          <w:szCs w:val="22"/>
        </w:rPr>
        <w:t>2.1水库现状</w:t>
      </w:r>
      <w:r>
        <w:rPr>
          <w:sz w:val="22"/>
          <w:szCs w:val="22"/>
        </w:rPr>
        <w:tab/>
      </w:r>
      <w:bookmarkStart w:id="23" w:name="_Toc21827_WPSOffice_Level1Page"/>
      <w:r>
        <w:rPr>
          <w:sz w:val="22"/>
          <w:szCs w:val="22"/>
        </w:rPr>
        <w:t>16</w:t>
      </w:r>
      <w:bookmarkEnd w:id="23"/>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_Toc7637_WPSOffice_Level2 </w:instrText>
      </w:r>
      <w:r>
        <w:rPr>
          <w:sz w:val="22"/>
          <w:szCs w:val="22"/>
        </w:rPr>
        <w:fldChar w:fldCharType="separate"/>
      </w:r>
      <w:r>
        <w:rPr>
          <w:rFonts w:hint="eastAsia" w:ascii="宋体"/>
          <w:sz w:val="22"/>
          <w:szCs w:val="22"/>
        </w:rPr>
        <w:t>2.1.1萨尔铁列克水库</w:t>
      </w:r>
      <w:r>
        <w:rPr>
          <w:sz w:val="22"/>
          <w:szCs w:val="22"/>
        </w:rPr>
        <w:tab/>
      </w:r>
      <w:bookmarkStart w:id="24" w:name="_Toc7637_WPSOffice_Level2Page"/>
      <w:r>
        <w:rPr>
          <w:sz w:val="22"/>
          <w:szCs w:val="22"/>
        </w:rPr>
        <w:t>16</w:t>
      </w:r>
      <w:bookmarkEnd w:id="24"/>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_Toc8301_WPSOffice_Level3 </w:instrText>
      </w:r>
      <w:r>
        <w:rPr>
          <w:sz w:val="22"/>
          <w:szCs w:val="22"/>
        </w:rPr>
        <w:fldChar w:fldCharType="separate"/>
      </w:r>
      <w:r>
        <w:rPr>
          <w:rFonts w:hint="eastAsia" w:ascii="宋体" w:hAnsi="宋体" w:cs="宋体"/>
          <w:sz w:val="22"/>
          <w:szCs w:val="22"/>
        </w:rPr>
        <w:t>(1)水库大坝</w:t>
      </w:r>
      <w:r>
        <w:rPr>
          <w:sz w:val="22"/>
          <w:szCs w:val="22"/>
        </w:rPr>
        <w:tab/>
      </w:r>
      <w:bookmarkStart w:id="25" w:name="_Toc8301_WPSOffice_Level3Page"/>
      <w:r>
        <w:rPr>
          <w:sz w:val="22"/>
          <w:szCs w:val="22"/>
        </w:rPr>
        <w:t>16</w:t>
      </w:r>
      <w:bookmarkEnd w:id="25"/>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_Toc7918_WPSOffice_Level3 </w:instrText>
      </w:r>
      <w:r>
        <w:rPr>
          <w:sz w:val="22"/>
          <w:szCs w:val="22"/>
        </w:rPr>
        <w:fldChar w:fldCharType="separate"/>
      </w:r>
      <w:r>
        <w:rPr>
          <w:rFonts w:hint="eastAsia" w:ascii="宋体" w:hAnsi="宋体" w:cs="宋体"/>
          <w:sz w:val="22"/>
          <w:szCs w:val="22"/>
        </w:rPr>
        <w:t>(2)水库泄水系统</w:t>
      </w:r>
      <w:r>
        <w:rPr>
          <w:sz w:val="22"/>
          <w:szCs w:val="22"/>
        </w:rPr>
        <w:tab/>
      </w:r>
      <w:bookmarkStart w:id="26" w:name="_Toc7918_WPSOffice_Level3Page"/>
      <w:r>
        <w:rPr>
          <w:sz w:val="22"/>
          <w:szCs w:val="22"/>
        </w:rPr>
        <w:t>16</w:t>
      </w:r>
      <w:bookmarkEnd w:id="26"/>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_Toc32512_WPSOffice_Level3 </w:instrText>
      </w:r>
      <w:r>
        <w:rPr>
          <w:sz w:val="22"/>
          <w:szCs w:val="22"/>
        </w:rPr>
        <w:fldChar w:fldCharType="separate"/>
      </w:r>
      <w:r>
        <w:rPr>
          <w:rFonts w:hint="eastAsia" w:ascii="宋体" w:hAnsi="宋体" w:cs="宋体"/>
          <w:sz w:val="22"/>
          <w:szCs w:val="22"/>
        </w:rPr>
        <w:t>(3)水库放水系统</w:t>
      </w:r>
      <w:r>
        <w:rPr>
          <w:sz w:val="22"/>
          <w:szCs w:val="22"/>
        </w:rPr>
        <w:tab/>
      </w:r>
      <w:bookmarkStart w:id="27" w:name="_Toc32512_WPSOffice_Level3Page"/>
      <w:r>
        <w:rPr>
          <w:sz w:val="22"/>
          <w:szCs w:val="22"/>
        </w:rPr>
        <w:t>17</w:t>
      </w:r>
      <w:bookmarkEnd w:id="27"/>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_Toc16570_WPSOffice_Level2 </w:instrText>
      </w:r>
      <w:r>
        <w:rPr>
          <w:sz w:val="22"/>
          <w:szCs w:val="22"/>
        </w:rPr>
        <w:fldChar w:fldCharType="separate"/>
      </w:r>
      <w:r>
        <w:rPr>
          <w:rFonts w:hint="eastAsia" w:ascii="宋体"/>
          <w:sz w:val="22"/>
          <w:szCs w:val="22"/>
        </w:rPr>
        <w:t>2.2.4水库金属结构设备</w:t>
      </w:r>
      <w:r>
        <w:rPr>
          <w:sz w:val="22"/>
          <w:szCs w:val="22"/>
        </w:rPr>
        <w:tab/>
      </w:r>
      <w:bookmarkStart w:id="28" w:name="_Toc16570_WPSOffice_Level2Page"/>
      <w:r>
        <w:rPr>
          <w:sz w:val="22"/>
          <w:szCs w:val="22"/>
        </w:rPr>
        <w:t>17</w:t>
      </w:r>
      <w:bookmarkEnd w:id="28"/>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_Toc14252_WPSOffice_Level2 </w:instrText>
      </w:r>
      <w:r>
        <w:rPr>
          <w:sz w:val="22"/>
          <w:szCs w:val="22"/>
        </w:rPr>
        <w:fldChar w:fldCharType="separate"/>
      </w:r>
      <w:r>
        <w:rPr>
          <w:rFonts w:hint="eastAsia" w:ascii="宋体"/>
          <w:sz w:val="22"/>
          <w:szCs w:val="22"/>
        </w:rPr>
        <w:t>2.1.2 杜热水库</w:t>
      </w:r>
      <w:r>
        <w:rPr>
          <w:sz w:val="22"/>
          <w:szCs w:val="22"/>
        </w:rPr>
        <w:tab/>
      </w:r>
      <w:bookmarkStart w:id="29" w:name="_Toc14252_WPSOffice_Level2Page"/>
      <w:r>
        <w:rPr>
          <w:sz w:val="22"/>
          <w:szCs w:val="22"/>
        </w:rPr>
        <w:t>17</w:t>
      </w:r>
      <w:bookmarkEnd w:id="29"/>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_Toc14499_WPSOffice_Level3 </w:instrText>
      </w:r>
      <w:r>
        <w:rPr>
          <w:sz w:val="22"/>
          <w:szCs w:val="22"/>
        </w:rPr>
        <w:fldChar w:fldCharType="separate"/>
      </w:r>
      <w:r>
        <w:rPr>
          <w:rFonts w:hint="eastAsia" w:ascii="宋体" w:hAnsi="宋体" w:cs="宋体"/>
          <w:sz w:val="22"/>
          <w:szCs w:val="22"/>
        </w:rPr>
        <w:t>(1)水库大坝</w:t>
      </w:r>
      <w:r>
        <w:rPr>
          <w:sz w:val="22"/>
          <w:szCs w:val="22"/>
        </w:rPr>
        <w:tab/>
      </w:r>
      <w:bookmarkStart w:id="30" w:name="_Toc14499_WPSOffice_Level3Page"/>
      <w:r>
        <w:rPr>
          <w:sz w:val="22"/>
          <w:szCs w:val="22"/>
        </w:rPr>
        <w:t>17</w:t>
      </w:r>
      <w:bookmarkEnd w:id="30"/>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_Toc30151_WPSOffice_Level3 </w:instrText>
      </w:r>
      <w:r>
        <w:rPr>
          <w:sz w:val="22"/>
          <w:szCs w:val="22"/>
        </w:rPr>
        <w:fldChar w:fldCharType="separate"/>
      </w:r>
      <w:r>
        <w:rPr>
          <w:rFonts w:hint="eastAsia" w:ascii="宋体" w:hAnsi="宋体" w:cs="宋体"/>
          <w:sz w:val="22"/>
          <w:szCs w:val="22"/>
        </w:rPr>
        <w:t>(2)北岸放水闸</w:t>
      </w:r>
      <w:r>
        <w:rPr>
          <w:sz w:val="22"/>
          <w:szCs w:val="22"/>
        </w:rPr>
        <w:tab/>
      </w:r>
      <w:bookmarkStart w:id="31" w:name="_Toc30151_WPSOffice_Level3Page"/>
      <w:r>
        <w:rPr>
          <w:sz w:val="22"/>
          <w:szCs w:val="22"/>
        </w:rPr>
        <w:t>18</w:t>
      </w:r>
      <w:bookmarkEnd w:id="31"/>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_Toc27123_WPSOffice_Level3 </w:instrText>
      </w:r>
      <w:r>
        <w:rPr>
          <w:sz w:val="22"/>
          <w:szCs w:val="22"/>
        </w:rPr>
        <w:fldChar w:fldCharType="separate"/>
      </w:r>
      <w:r>
        <w:rPr>
          <w:rFonts w:hint="eastAsia" w:ascii="宋体" w:hAnsi="宋体" w:cs="宋体"/>
          <w:sz w:val="22"/>
          <w:szCs w:val="22"/>
        </w:rPr>
        <w:t>(3)南岸放水闸</w:t>
      </w:r>
      <w:r>
        <w:rPr>
          <w:sz w:val="22"/>
          <w:szCs w:val="22"/>
        </w:rPr>
        <w:tab/>
      </w:r>
      <w:bookmarkStart w:id="32" w:name="_Toc27123_WPSOffice_Level3Page"/>
      <w:r>
        <w:rPr>
          <w:sz w:val="22"/>
          <w:szCs w:val="22"/>
        </w:rPr>
        <w:t>18</w:t>
      </w:r>
      <w:bookmarkEnd w:id="32"/>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_Toc1936_WPSOffice_Level3 </w:instrText>
      </w:r>
      <w:r>
        <w:rPr>
          <w:sz w:val="22"/>
          <w:szCs w:val="22"/>
        </w:rPr>
        <w:fldChar w:fldCharType="separate"/>
      </w:r>
      <w:r>
        <w:rPr>
          <w:rFonts w:hint="eastAsia" w:ascii="宋体" w:hAnsi="宋体" w:cs="宋体"/>
          <w:sz w:val="22"/>
          <w:szCs w:val="22"/>
        </w:rPr>
        <w:t>(4)水库金属结构设备</w:t>
      </w:r>
      <w:r>
        <w:rPr>
          <w:sz w:val="22"/>
          <w:szCs w:val="22"/>
        </w:rPr>
        <w:tab/>
      </w:r>
      <w:bookmarkStart w:id="33" w:name="_Toc1936_WPSOffice_Level3Page"/>
      <w:r>
        <w:rPr>
          <w:sz w:val="22"/>
          <w:szCs w:val="22"/>
        </w:rPr>
        <w:t>18</w:t>
      </w:r>
      <w:bookmarkEnd w:id="33"/>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_Toc2441_WPSOffice_Level2 </w:instrText>
      </w:r>
      <w:r>
        <w:rPr>
          <w:sz w:val="22"/>
          <w:szCs w:val="22"/>
        </w:rPr>
        <w:fldChar w:fldCharType="separate"/>
      </w:r>
      <w:r>
        <w:rPr>
          <w:rFonts w:hint="eastAsia" w:ascii="宋体"/>
          <w:sz w:val="22"/>
          <w:szCs w:val="22"/>
        </w:rPr>
        <w:t>2.1.3广汇煤制气供水工程</w:t>
      </w:r>
      <w:r>
        <w:rPr>
          <w:sz w:val="22"/>
          <w:szCs w:val="22"/>
        </w:rPr>
        <w:tab/>
      </w:r>
      <w:bookmarkStart w:id="34" w:name="_Toc2441_WPSOffice_Level2Page"/>
      <w:r>
        <w:rPr>
          <w:sz w:val="22"/>
          <w:szCs w:val="22"/>
        </w:rPr>
        <w:t>20</w:t>
      </w:r>
      <w:bookmarkEnd w:id="34"/>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_Toc22434_WPSOffice_Level1 </w:instrText>
      </w:r>
      <w:r>
        <w:rPr>
          <w:sz w:val="22"/>
          <w:szCs w:val="22"/>
        </w:rPr>
        <w:fldChar w:fldCharType="separate"/>
      </w:r>
      <w:r>
        <w:rPr>
          <w:rFonts w:hint="eastAsia" w:ascii="黑体" w:hAnsi="Times New Roman" w:eastAsia="黑体" w:cs="Times New Roman"/>
          <w:sz w:val="22"/>
          <w:szCs w:val="22"/>
        </w:rPr>
        <w:t>2.2水库存在的问题</w:t>
      </w:r>
      <w:r>
        <w:rPr>
          <w:sz w:val="22"/>
          <w:szCs w:val="22"/>
        </w:rPr>
        <w:tab/>
      </w:r>
      <w:bookmarkStart w:id="35" w:name="_Toc22434_WPSOffice_Level1Page"/>
      <w:r>
        <w:rPr>
          <w:sz w:val="22"/>
          <w:szCs w:val="22"/>
        </w:rPr>
        <w:t>20</w:t>
      </w:r>
      <w:bookmarkEnd w:id="35"/>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_Toc1018_WPSOffice_Level2 </w:instrText>
      </w:r>
      <w:r>
        <w:rPr>
          <w:sz w:val="22"/>
          <w:szCs w:val="22"/>
        </w:rPr>
        <w:fldChar w:fldCharType="separate"/>
      </w:r>
      <w:r>
        <w:rPr>
          <w:rFonts w:hint="eastAsia" w:ascii="宋体"/>
          <w:sz w:val="22"/>
          <w:szCs w:val="22"/>
        </w:rPr>
        <w:t>2.2.1萨尔铁列克水库</w:t>
      </w:r>
      <w:r>
        <w:rPr>
          <w:sz w:val="22"/>
          <w:szCs w:val="22"/>
        </w:rPr>
        <w:tab/>
      </w:r>
      <w:bookmarkStart w:id="36" w:name="_Toc1018_WPSOffice_Level2Page"/>
      <w:r>
        <w:rPr>
          <w:sz w:val="22"/>
          <w:szCs w:val="22"/>
        </w:rPr>
        <w:t>20</w:t>
      </w:r>
      <w:bookmarkEnd w:id="36"/>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_Toc25085_WPSOffice_Level3 </w:instrText>
      </w:r>
      <w:r>
        <w:rPr>
          <w:sz w:val="22"/>
          <w:szCs w:val="22"/>
        </w:rPr>
        <w:fldChar w:fldCharType="separate"/>
      </w:r>
      <w:r>
        <w:rPr>
          <w:rFonts w:hint="eastAsia" w:ascii="宋体" w:hAnsi="宋体" w:cs="宋体"/>
          <w:sz w:val="22"/>
          <w:szCs w:val="22"/>
        </w:rPr>
        <w:t>现状迎水面护坡面板下沉</w:t>
      </w:r>
      <w:r>
        <w:rPr>
          <w:sz w:val="22"/>
          <w:szCs w:val="22"/>
        </w:rPr>
        <w:tab/>
      </w:r>
      <w:bookmarkStart w:id="37" w:name="_Toc25085_WPSOffice_Level3Page"/>
      <w:r>
        <w:rPr>
          <w:sz w:val="22"/>
          <w:szCs w:val="22"/>
        </w:rPr>
        <w:t>21</w:t>
      </w:r>
      <w:bookmarkEnd w:id="37"/>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_Toc14414_WPSOffice_Level3 </w:instrText>
      </w:r>
      <w:r>
        <w:rPr>
          <w:sz w:val="22"/>
          <w:szCs w:val="22"/>
        </w:rPr>
        <w:fldChar w:fldCharType="separate"/>
      </w:r>
      <w:r>
        <w:rPr>
          <w:rFonts w:hint="eastAsia" w:ascii="宋体" w:hAnsi="宋体" w:cs="宋体"/>
          <w:sz w:val="22"/>
          <w:szCs w:val="22"/>
        </w:rPr>
        <w:t>启闭机房配电柜故障</w:t>
      </w:r>
      <w:r>
        <w:rPr>
          <w:sz w:val="22"/>
          <w:szCs w:val="22"/>
        </w:rPr>
        <w:tab/>
      </w:r>
      <w:bookmarkStart w:id="38" w:name="_Toc14414_WPSOffice_Level3Page"/>
      <w:r>
        <w:rPr>
          <w:sz w:val="22"/>
          <w:szCs w:val="22"/>
        </w:rPr>
        <w:t>22</w:t>
      </w:r>
      <w:bookmarkEnd w:id="38"/>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_Toc1311_WPSOffice_Level2 </w:instrText>
      </w:r>
      <w:r>
        <w:rPr>
          <w:sz w:val="22"/>
          <w:szCs w:val="22"/>
        </w:rPr>
        <w:fldChar w:fldCharType="separate"/>
      </w:r>
      <w:r>
        <w:rPr>
          <w:rFonts w:hint="eastAsia" w:ascii="宋体"/>
          <w:sz w:val="22"/>
          <w:szCs w:val="22"/>
        </w:rPr>
        <w:t>2.2.2杜热水库</w:t>
      </w:r>
      <w:r>
        <w:rPr>
          <w:sz w:val="22"/>
          <w:szCs w:val="22"/>
        </w:rPr>
        <w:tab/>
      </w:r>
      <w:bookmarkStart w:id="39" w:name="_Toc1311_WPSOffice_Level2Page"/>
      <w:r>
        <w:rPr>
          <w:sz w:val="22"/>
          <w:szCs w:val="22"/>
        </w:rPr>
        <w:t>22</w:t>
      </w:r>
      <w:bookmarkEnd w:id="39"/>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_Toc12879_WPSOffice_Level2 </w:instrText>
      </w:r>
      <w:r>
        <w:rPr>
          <w:sz w:val="22"/>
          <w:szCs w:val="22"/>
        </w:rPr>
        <w:fldChar w:fldCharType="separate"/>
      </w:r>
      <w:r>
        <w:rPr>
          <w:rFonts w:hint="eastAsia" w:ascii="宋体"/>
          <w:sz w:val="22"/>
          <w:szCs w:val="22"/>
        </w:rPr>
        <w:t>2.2.3广汇煤制气供水工程</w:t>
      </w:r>
      <w:r>
        <w:rPr>
          <w:sz w:val="22"/>
          <w:szCs w:val="22"/>
        </w:rPr>
        <w:tab/>
      </w:r>
      <w:bookmarkStart w:id="40" w:name="_Toc12879_WPSOffice_Level2Page"/>
      <w:r>
        <w:rPr>
          <w:sz w:val="22"/>
          <w:szCs w:val="22"/>
        </w:rPr>
        <w:t>22</w:t>
      </w:r>
      <w:bookmarkEnd w:id="40"/>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_Toc9989_WPSOffice_Level1 </w:instrText>
      </w:r>
      <w:r>
        <w:rPr>
          <w:sz w:val="22"/>
          <w:szCs w:val="22"/>
        </w:rPr>
        <w:fldChar w:fldCharType="separate"/>
      </w:r>
      <w:r>
        <w:rPr>
          <w:rFonts w:hint="eastAsia" w:ascii="黑体" w:eastAsia="黑体"/>
          <w:sz w:val="22"/>
          <w:szCs w:val="22"/>
        </w:rPr>
        <w:t>3.1编制指导思想</w:t>
      </w:r>
      <w:r>
        <w:rPr>
          <w:sz w:val="22"/>
          <w:szCs w:val="22"/>
        </w:rPr>
        <w:tab/>
      </w:r>
      <w:bookmarkStart w:id="41" w:name="_Toc9989_WPSOffice_Level1Page"/>
      <w:r>
        <w:rPr>
          <w:sz w:val="22"/>
          <w:szCs w:val="22"/>
        </w:rPr>
        <w:t>23</w:t>
      </w:r>
      <w:bookmarkEnd w:id="41"/>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_Toc28294_WPSOffice_Level1 </w:instrText>
      </w:r>
      <w:r>
        <w:rPr>
          <w:sz w:val="22"/>
          <w:szCs w:val="22"/>
        </w:rPr>
        <w:fldChar w:fldCharType="separate"/>
      </w:r>
      <w:r>
        <w:rPr>
          <w:rFonts w:hint="eastAsia" w:ascii="黑体" w:eastAsia="黑体"/>
          <w:sz w:val="22"/>
          <w:szCs w:val="22"/>
        </w:rPr>
        <w:t>3.2编制原则</w:t>
      </w:r>
      <w:r>
        <w:rPr>
          <w:sz w:val="22"/>
          <w:szCs w:val="22"/>
        </w:rPr>
        <w:tab/>
      </w:r>
      <w:bookmarkStart w:id="42" w:name="_Toc28294_WPSOffice_Level1Page"/>
      <w:r>
        <w:rPr>
          <w:sz w:val="22"/>
          <w:szCs w:val="22"/>
        </w:rPr>
        <w:t>23</w:t>
      </w:r>
      <w:bookmarkEnd w:id="42"/>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_Toc6085_WPSOffice_Level1 </w:instrText>
      </w:r>
      <w:r>
        <w:rPr>
          <w:sz w:val="22"/>
          <w:szCs w:val="22"/>
        </w:rPr>
        <w:fldChar w:fldCharType="separate"/>
      </w:r>
      <w:r>
        <w:rPr>
          <w:rFonts w:hint="eastAsia" w:ascii="黑体" w:eastAsia="黑体"/>
          <w:sz w:val="22"/>
          <w:szCs w:val="22"/>
        </w:rPr>
        <w:t>3.3编制依据</w:t>
      </w:r>
      <w:r>
        <w:rPr>
          <w:sz w:val="22"/>
          <w:szCs w:val="22"/>
        </w:rPr>
        <w:tab/>
      </w:r>
      <w:bookmarkStart w:id="43" w:name="_Toc6085_WPSOffice_Level1Page"/>
      <w:r>
        <w:rPr>
          <w:sz w:val="22"/>
          <w:szCs w:val="22"/>
        </w:rPr>
        <w:t>23</w:t>
      </w:r>
      <w:bookmarkEnd w:id="43"/>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_Toc2736_WPSOffice_Level2 </w:instrText>
      </w:r>
      <w:r>
        <w:rPr>
          <w:sz w:val="22"/>
          <w:szCs w:val="22"/>
        </w:rPr>
        <w:fldChar w:fldCharType="separate"/>
      </w:r>
      <w:r>
        <w:rPr>
          <w:rFonts w:hint="eastAsia" w:ascii="宋体" w:hAnsi="宋体" w:cs="宋体"/>
          <w:sz w:val="22"/>
          <w:szCs w:val="22"/>
        </w:rPr>
        <w:t>1.强制性条文</w:t>
      </w:r>
      <w:r>
        <w:rPr>
          <w:sz w:val="22"/>
          <w:szCs w:val="22"/>
        </w:rPr>
        <w:tab/>
      </w:r>
      <w:bookmarkStart w:id="44" w:name="_Toc2736_WPSOffice_Level2Page"/>
      <w:r>
        <w:rPr>
          <w:sz w:val="22"/>
          <w:szCs w:val="22"/>
        </w:rPr>
        <w:t>23</w:t>
      </w:r>
      <w:bookmarkEnd w:id="44"/>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_Toc18053_WPSOffice_Level2 </w:instrText>
      </w:r>
      <w:r>
        <w:rPr>
          <w:sz w:val="22"/>
          <w:szCs w:val="22"/>
        </w:rPr>
        <w:fldChar w:fldCharType="separate"/>
      </w:r>
      <w:r>
        <w:rPr>
          <w:rFonts w:hint="eastAsia" w:ascii="宋体" w:hAnsi="宋体" w:cs="宋体"/>
          <w:sz w:val="22"/>
          <w:szCs w:val="22"/>
        </w:rPr>
        <w:t>2.相关文件及资料</w:t>
      </w:r>
      <w:r>
        <w:rPr>
          <w:sz w:val="22"/>
          <w:szCs w:val="22"/>
        </w:rPr>
        <w:tab/>
      </w:r>
      <w:bookmarkStart w:id="45" w:name="_Toc18053_WPSOffice_Level2Page"/>
      <w:r>
        <w:rPr>
          <w:sz w:val="22"/>
          <w:szCs w:val="22"/>
        </w:rPr>
        <w:t>23</w:t>
      </w:r>
      <w:bookmarkEnd w:id="45"/>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_Toc4814_WPSOffice_Level2 </w:instrText>
      </w:r>
      <w:r>
        <w:rPr>
          <w:sz w:val="22"/>
          <w:szCs w:val="22"/>
        </w:rPr>
        <w:fldChar w:fldCharType="separate"/>
      </w:r>
      <w:r>
        <w:rPr>
          <w:rFonts w:hint="eastAsia" w:ascii="宋体" w:hAnsi="宋体" w:cs="宋体"/>
          <w:sz w:val="22"/>
          <w:szCs w:val="22"/>
        </w:rPr>
        <w:t>3.规程规范及标准</w:t>
      </w:r>
      <w:r>
        <w:rPr>
          <w:sz w:val="22"/>
          <w:szCs w:val="22"/>
        </w:rPr>
        <w:tab/>
      </w:r>
      <w:bookmarkStart w:id="46" w:name="_Toc4814_WPSOffice_Level2Page"/>
      <w:r>
        <w:rPr>
          <w:sz w:val="22"/>
          <w:szCs w:val="22"/>
        </w:rPr>
        <w:t>23</w:t>
      </w:r>
      <w:bookmarkEnd w:id="46"/>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_Toc21704_WPSOffice_Level1 </w:instrText>
      </w:r>
      <w:r>
        <w:rPr>
          <w:sz w:val="22"/>
          <w:szCs w:val="22"/>
        </w:rPr>
        <w:fldChar w:fldCharType="separate"/>
      </w:r>
      <w:r>
        <w:rPr>
          <w:rFonts w:hint="eastAsia" w:ascii="黑体" w:eastAsia="黑体"/>
          <w:sz w:val="22"/>
          <w:szCs w:val="22"/>
        </w:rPr>
        <w:t>3.4编制目的</w:t>
      </w:r>
      <w:r>
        <w:rPr>
          <w:sz w:val="22"/>
          <w:szCs w:val="22"/>
        </w:rPr>
        <w:tab/>
      </w:r>
      <w:bookmarkStart w:id="47" w:name="_Toc21704_WPSOffice_Level1Page"/>
      <w:r>
        <w:rPr>
          <w:sz w:val="22"/>
          <w:szCs w:val="22"/>
        </w:rPr>
        <w:t>24</w:t>
      </w:r>
      <w:bookmarkEnd w:id="47"/>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_Toc32644_WPSOffice_Level1 </w:instrText>
      </w:r>
      <w:r>
        <w:rPr>
          <w:sz w:val="22"/>
          <w:szCs w:val="22"/>
        </w:rPr>
        <w:fldChar w:fldCharType="separate"/>
      </w:r>
      <w:r>
        <w:rPr>
          <w:rFonts w:hint="eastAsia" w:ascii="黑体" w:eastAsia="黑体"/>
          <w:sz w:val="22"/>
          <w:szCs w:val="22"/>
        </w:rPr>
        <w:t>3.5设计标准</w:t>
      </w:r>
      <w:r>
        <w:rPr>
          <w:sz w:val="22"/>
          <w:szCs w:val="22"/>
        </w:rPr>
        <w:tab/>
      </w:r>
      <w:bookmarkStart w:id="48" w:name="_Toc32644_WPSOffice_Level1Page"/>
      <w:r>
        <w:rPr>
          <w:sz w:val="22"/>
          <w:szCs w:val="22"/>
        </w:rPr>
        <w:t>24</w:t>
      </w:r>
      <w:bookmarkEnd w:id="48"/>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_Toc15814_WPSOffice_Level1 </w:instrText>
      </w:r>
      <w:r>
        <w:rPr>
          <w:sz w:val="22"/>
          <w:szCs w:val="22"/>
        </w:rPr>
        <w:fldChar w:fldCharType="separate"/>
      </w:r>
      <w:r>
        <w:rPr>
          <w:rFonts w:hint="eastAsia" w:ascii="黑体" w:eastAsia="黑体"/>
          <w:sz w:val="22"/>
          <w:szCs w:val="22"/>
        </w:rPr>
        <w:t>3.6工程设计</w:t>
      </w:r>
      <w:r>
        <w:rPr>
          <w:sz w:val="22"/>
          <w:szCs w:val="22"/>
        </w:rPr>
        <w:tab/>
      </w:r>
      <w:bookmarkStart w:id="49" w:name="_Toc15814_WPSOffice_Level1Page"/>
      <w:r>
        <w:rPr>
          <w:sz w:val="22"/>
          <w:szCs w:val="22"/>
        </w:rPr>
        <w:t>24</w:t>
      </w:r>
      <w:bookmarkEnd w:id="49"/>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_Toc22100_WPSOffice_Level2 </w:instrText>
      </w:r>
      <w:r>
        <w:rPr>
          <w:sz w:val="22"/>
          <w:szCs w:val="22"/>
        </w:rPr>
        <w:fldChar w:fldCharType="separate"/>
      </w:r>
      <w:r>
        <w:rPr>
          <w:rFonts w:hint="eastAsia" w:ascii="宋体"/>
          <w:sz w:val="22"/>
          <w:szCs w:val="22"/>
        </w:rPr>
        <w:t>3.6.1萨尔铁列克水库</w:t>
      </w:r>
      <w:r>
        <w:rPr>
          <w:sz w:val="22"/>
          <w:szCs w:val="22"/>
        </w:rPr>
        <w:tab/>
      </w:r>
      <w:bookmarkStart w:id="50" w:name="_Toc22100_WPSOffice_Level2Page"/>
      <w:r>
        <w:rPr>
          <w:sz w:val="22"/>
          <w:szCs w:val="22"/>
        </w:rPr>
        <w:t>24</w:t>
      </w:r>
      <w:bookmarkEnd w:id="50"/>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_Toc9884_WPSOffice_Level2 </w:instrText>
      </w:r>
      <w:r>
        <w:rPr>
          <w:sz w:val="22"/>
          <w:szCs w:val="22"/>
        </w:rPr>
        <w:fldChar w:fldCharType="separate"/>
      </w:r>
      <w:r>
        <w:rPr>
          <w:rFonts w:hint="eastAsia" w:ascii="宋体"/>
          <w:sz w:val="22"/>
          <w:szCs w:val="22"/>
        </w:rPr>
        <w:t>3.6.2 杜热水库</w:t>
      </w:r>
      <w:r>
        <w:rPr>
          <w:sz w:val="22"/>
          <w:szCs w:val="22"/>
        </w:rPr>
        <w:tab/>
      </w:r>
      <w:bookmarkStart w:id="51" w:name="_Toc9884_WPSOffice_Level2Page"/>
      <w:r>
        <w:rPr>
          <w:sz w:val="22"/>
          <w:szCs w:val="22"/>
        </w:rPr>
        <w:t>25</w:t>
      </w:r>
      <w:bookmarkEnd w:id="51"/>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_Toc27674_WPSOffice_Level2 </w:instrText>
      </w:r>
      <w:r>
        <w:rPr>
          <w:sz w:val="22"/>
          <w:szCs w:val="22"/>
        </w:rPr>
        <w:fldChar w:fldCharType="separate"/>
      </w:r>
      <w:r>
        <w:rPr>
          <w:rFonts w:hint="eastAsia" w:ascii="宋体"/>
          <w:sz w:val="22"/>
          <w:szCs w:val="22"/>
        </w:rPr>
        <w:t>3.6.3广汇煤制气供水工程</w:t>
      </w:r>
      <w:r>
        <w:rPr>
          <w:sz w:val="22"/>
          <w:szCs w:val="22"/>
        </w:rPr>
        <w:tab/>
      </w:r>
      <w:bookmarkStart w:id="52" w:name="_Toc27674_WPSOffice_Level2Page"/>
      <w:r>
        <w:rPr>
          <w:sz w:val="22"/>
          <w:szCs w:val="22"/>
        </w:rPr>
        <w:t>25</w:t>
      </w:r>
      <w:bookmarkEnd w:id="52"/>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_Toc11278_WPSOffice_Level2 </w:instrText>
      </w:r>
      <w:r>
        <w:rPr>
          <w:sz w:val="22"/>
          <w:szCs w:val="22"/>
        </w:rPr>
        <w:fldChar w:fldCharType="separate"/>
      </w:r>
      <w:r>
        <w:rPr>
          <w:rFonts w:hint="eastAsia" w:ascii="等线 Light" w:hAnsi="等线 Light" w:eastAsia="宋体" w:cs="Times New Roman"/>
          <w:sz w:val="22"/>
          <w:szCs w:val="22"/>
        </w:rPr>
        <w:t>4 施工组织设计</w:t>
      </w:r>
      <w:r>
        <w:rPr>
          <w:sz w:val="22"/>
          <w:szCs w:val="22"/>
        </w:rPr>
        <w:tab/>
      </w:r>
      <w:bookmarkStart w:id="53" w:name="_Toc11278_WPSOffice_Level2Page"/>
      <w:r>
        <w:rPr>
          <w:sz w:val="22"/>
          <w:szCs w:val="22"/>
        </w:rPr>
        <w:t>26</w:t>
      </w:r>
      <w:bookmarkEnd w:id="53"/>
      <w:r>
        <w:rPr>
          <w:sz w:val="22"/>
          <w:szCs w:val="22"/>
        </w:rPr>
        <w:fldChar w:fldCharType="end"/>
      </w:r>
    </w:p>
    <w:p>
      <w:pPr>
        <w:pStyle w:val="13"/>
        <w:tabs>
          <w:tab w:val="right" w:leader="dot" w:pos="8306"/>
        </w:tabs>
        <w:ind w:left="0" w:leftChars="0" w:firstLine="0" w:firstLineChars="0"/>
        <w:rPr>
          <w:sz w:val="22"/>
          <w:szCs w:val="22"/>
        </w:rPr>
      </w:pPr>
      <w:r>
        <w:rPr>
          <w:sz w:val="22"/>
          <w:szCs w:val="22"/>
        </w:rPr>
        <w:fldChar w:fldCharType="begin"/>
      </w:r>
      <w:r>
        <w:rPr>
          <w:sz w:val="22"/>
          <w:szCs w:val="22"/>
        </w:rPr>
        <w:instrText xml:space="preserve"> HYPERLINK \l _Toc24730_WPSOffice_Level3 </w:instrText>
      </w:r>
      <w:r>
        <w:rPr>
          <w:sz w:val="22"/>
          <w:szCs w:val="22"/>
        </w:rPr>
        <w:fldChar w:fldCharType="separate"/>
      </w:r>
      <w:r>
        <w:rPr>
          <w:rFonts w:hint="eastAsia" w:ascii="黑体" w:hAnsi="Times New Roman" w:eastAsia="黑体" w:cs="Times New Roman"/>
          <w:sz w:val="22"/>
          <w:szCs w:val="22"/>
        </w:rPr>
        <w:t>4.1对外交通</w:t>
      </w:r>
      <w:r>
        <w:rPr>
          <w:sz w:val="22"/>
          <w:szCs w:val="22"/>
        </w:rPr>
        <w:tab/>
      </w:r>
      <w:bookmarkStart w:id="54" w:name="_Toc24730_WPSOffice_Level3Page"/>
      <w:r>
        <w:rPr>
          <w:sz w:val="22"/>
          <w:szCs w:val="22"/>
        </w:rPr>
        <w:t>26</w:t>
      </w:r>
      <w:bookmarkEnd w:id="54"/>
      <w:r>
        <w:rPr>
          <w:sz w:val="22"/>
          <w:szCs w:val="22"/>
        </w:rPr>
        <w:fldChar w:fldCharType="end"/>
      </w:r>
    </w:p>
    <w:p>
      <w:pPr>
        <w:pStyle w:val="13"/>
        <w:tabs>
          <w:tab w:val="right" w:leader="dot" w:pos="8306"/>
        </w:tabs>
        <w:ind w:left="0" w:leftChars="0" w:firstLine="0" w:firstLineChars="0"/>
        <w:rPr>
          <w:sz w:val="22"/>
          <w:szCs w:val="22"/>
        </w:rPr>
      </w:pPr>
      <w:r>
        <w:rPr>
          <w:sz w:val="22"/>
          <w:szCs w:val="22"/>
        </w:rPr>
        <w:fldChar w:fldCharType="begin"/>
      </w:r>
      <w:r>
        <w:rPr>
          <w:sz w:val="22"/>
          <w:szCs w:val="22"/>
        </w:rPr>
        <w:instrText xml:space="preserve"> HYPERLINK \l _Toc13488_WPSOffice_Level3 </w:instrText>
      </w:r>
      <w:r>
        <w:rPr>
          <w:sz w:val="22"/>
          <w:szCs w:val="22"/>
        </w:rPr>
        <w:fldChar w:fldCharType="separate"/>
      </w:r>
      <w:r>
        <w:rPr>
          <w:rFonts w:hint="eastAsia" w:ascii="黑体" w:hAnsi="Times New Roman" w:eastAsia="黑体" w:cs="Times New Roman"/>
          <w:sz w:val="22"/>
          <w:szCs w:val="22"/>
        </w:rPr>
        <w:t>4.2 建材来源、水电供应条件及天然建筑材料</w:t>
      </w:r>
      <w:r>
        <w:rPr>
          <w:sz w:val="22"/>
          <w:szCs w:val="22"/>
        </w:rPr>
        <w:tab/>
      </w:r>
      <w:bookmarkStart w:id="55" w:name="_Toc13488_WPSOffice_Level3Page"/>
      <w:r>
        <w:rPr>
          <w:sz w:val="22"/>
          <w:szCs w:val="22"/>
        </w:rPr>
        <w:t>26</w:t>
      </w:r>
      <w:bookmarkEnd w:id="55"/>
      <w:r>
        <w:rPr>
          <w:sz w:val="22"/>
          <w:szCs w:val="22"/>
        </w:rPr>
        <w:fldChar w:fldCharType="end"/>
      </w:r>
    </w:p>
    <w:p>
      <w:pPr>
        <w:pStyle w:val="13"/>
        <w:tabs>
          <w:tab w:val="right" w:leader="dot" w:pos="8306"/>
        </w:tabs>
        <w:ind w:left="0" w:leftChars="0" w:firstLine="0" w:firstLineChars="0"/>
        <w:rPr>
          <w:sz w:val="22"/>
          <w:szCs w:val="22"/>
        </w:rPr>
      </w:pPr>
      <w:r>
        <w:rPr>
          <w:sz w:val="22"/>
          <w:szCs w:val="22"/>
        </w:rPr>
        <w:fldChar w:fldCharType="begin"/>
      </w:r>
      <w:r>
        <w:rPr>
          <w:sz w:val="22"/>
          <w:szCs w:val="22"/>
        </w:rPr>
        <w:instrText xml:space="preserve"> HYPERLINK \l _Toc13932_WPSOffice_Level3 </w:instrText>
      </w:r>
      <w:r>
        <w:rPr>
          <w:sz w:val="22"/>
          <w:szCs w:val="22"/>
        </w:rPr>
        <w:fldChar w:fldCharType="separate"/>
      </w:r>
      <w:r>
        <w:rPr>
          <w:rFonts w:hint="eastAsia" w:ascii="黑体" w:hAnsi="Times New Roman" w:eastAsia="黑体" w:cs="Times New Roman"/>
          <w:sz w:val="22"/>
          <w:szCs w:val="22"/>
        </w:rPr>
        <w:t>4.3 工程施工</w:t>
      </w:r>
      <w:r>
        <w:rPr>
          <w:sz w:val="22"/>
          <w:szCs w:val="22"/>
        </w:rPr>
        <w:tab/>
      </w:r>
      <w:bookmarkStart w:id="56" w:name="_Toc13932_WPSOffice_Level3Page"/>
      <w:r>
        <w:rPr>
          <w:sz w:val="22"/>
          <w:szCs w:val="22"/>
        </w:rPr>
        <w:t>26</w:t>
      </w:r>
      <w:bookmarkEnd w:id="56"/>
      <w:r>
        <w:rPr>
          <w:sz w:val="22"/>
          <w:szCs w:val="22"/>
        </w:rPr>
        <w:fldChar w:fldCharType="end"/>
      </w:r>
    </w:p>
    <w:p>
      <w:pPr>
        <w:pStyle w:val="13"/>
        <w:tabs>
          <w:tab w:val="right" w:leader="dot" w:pos="8306"/>
        </w:tabs>
        <w:ind w:left="0" w:leftChars="0" w:firstLine="0" w:firstLineChars="0"/>
        <w:rPr>
          <w:sz w:val="22"/>
          <w:szCs w:val="22"/>
        </w:rPr>
      </w:pPr>
      <w:r>
        <w:rPr>
          <w:sz w:val="22"/>
          <w:szCs w:val="22"/>
        </w:rPr>
        <w:fldChar w:fldCharType="begin"/>
      </w:r>
      <w:r>
        <w:rPr>
          <w:sz w:val="22"/>
          <w:szCs w:val="22"/>
        </w:rPr>
        <w:instrText xml:space="preserve"> HYPERLINK \l _Toc32172_WPSOffice_Level3 </w:instrText>
      </w:r>
      <w:r>
        <w:rPr>
          <w:sz w:val="22"/>
          <w:szCs w:val="22"/>
        </w:rPr>
        <w:fldChar w:fldCharType="separate"/>
      </w:r>
      <w:r>
        <w:rPr>
          <w:rFonts w:hint="eastAsia" w:ascii="黑体" w:eastAsia="黑体"/>
          <w:sz w:val="22"/>
          <w:szCs w:val="22"/>
        </w:rPr>
        <w:t>4.4工程量</w:t>
      </w:r>
      <w:r>
        <w:rPr>
          <w:sz w:val="22"/>
          <w:szCs w:val="22"/>
        </w:rPr>
        <w:tab/>
      </w:r>
      <w:bookmarkStart w:id="57" w:name="_Toc32172_WPSOffice_Level3Page"/>
      <w:r>
        <w:rPr>
          <w:sz w:val="22"/>
          <w:szCs w:val="22"/>
        </w:rPr>
        <w:t>27</w:t>
      </w:r>
      <w:bookmarkEnd w:id="57"/>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_Toc12098_WPSOffice_Level1 </w:instrText>
      </w:r>
      <w:r>
        <w:rPr>
          <w:sz w:val="22"/>
          <w:szCs w:val="22"/>
        </w:rPr>
        <w:fldChar w:fldCharType="separate"/>
      </w:r>
      <w:r>
        <w:rPr>
          <w:rFonts w:hint="eastAsia" w:ascii="宋体" w:hAnsi="宋体" w:cs="宋体"/>
          <w:sz w:val="22"/>
          <w:szCs w:val="22"/>
        </w:rPr>
        <w:t>主要工程量汇总表</w:t>
      </w:r>
      <w:r>
        <w:rPr>
          <w:sz w:val="22"/>
          <w:szCs w:val="22"/>
        </w:rPr>
        <w:tab/>
      </w:r>
      <w:bookmarkStart w:id="58" w:name="_Toc12098_WPSOffice_Level1Page"/>
      <w:r>
        <w:rPr>
          <w:sz w:val="22"/>
          <w:szCs w:val="22"/>
        </w:rPr>
        <w:t>27</w:t>
      </w:r>
      <w:bookmarkEnd w:id="58"/>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_Toc32367_WPSOffice_Level1 </w:instrText>
      </w:r>
      <w:r>
        <w:rPr>
          <w:sz w:val="22"/>
          <w:szCs w:val="22"/>
        </w:rPr>
        <w:fldChar w:fldCharType="separate"/>
      </w:r>
      <w:r>
        <w:rPr>
          <w:rFonts w:hint="eastAsia" w:ascii="等线 Light" w:hAnsi="等线 Light"/>
          <w:sz w:val="22"/>
          <w:szCs w:val="22"/>
        </w:rPr>
        <w:t>5投资概算</w:t>
      </w:r>
      <w:r>
        <w:rPr>
          <w:sz w:val="22"/>
          <w:szCs w:val="22"/>
        </w:rPr>
        <w:tab/>
      </w:r>
      <w:bookmarkStart w:id="59" w:name="_Toc32367_WPSOffice_Level1Page"/>
      <w:r>
        <w:rPr>
          <w:sz w:val="22"/>
          <w:szCs w:val="22"/>
        </w:rPr>
        <w:t>28</w:t>
      </w:r>
      <w:bookmarkEnd w:id="59"/>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_Toc14154_WPSOffice_Level1 </w:instrText>
      </w:r>
      <w:r>
        <w:rPr>
          <w:sz w:val="22"/>
          <w:szCs w:val="22"/>
        </w:rPr>
        <w:fldChar w:fldCharType="separate"/>
      </w:r>
      <w:r>
        <w:rPr>
          <w:rFonts w:hint="eastAsia" w:ascii="黑体" w:eastAsia="黑体"/>
          <w:sz w:val="22"/>
          <w:szCs w:val="22"/>
        </w:rPr>
        <w:t>5.1工程概况</w:t>
      </w:r>
      <w:r>
        <w:rPr>
          <w:sz w:val="22"/>
          <w:szCs w:val="22"/>
        </w:rPr>
        <w:tab/>
      </w:r>
      <w:bookmarkStart w:id="60" w:name="_Toc14154_WPSOffice_Level1Page"/>
      <w:r>
        <w:rPr>
          <w:sz w:val="22"/>
          <w:szCs w:val="22"/>
        </w:rPr>
        <w:t>28</w:t>
      </w:r>
      <w:bookmarkEnd w:id="60"/>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_Toc25343_WPSOffice_Level1 </w:instrText>
      </w:r>
      <w:r>
        <w:rPr>
          <w:sz w:val="22"/>
          <w:szCs w:val="22"/>
        </w:rPr>
        <w:fldChar w:fldCharType="separate"/>
      </w:r>
      <w:r>
        <w:rPr>
          <w:rFonts w:hint="eastAsia" w:ascii="黑体" w:eastAsia="黑体"/>
          <w:sz w:val="22"/>
          <w:szCs w:val="22"/>
        </w:rPr>
        <w:t>5.2投资主要指标</w:t>
      </w:r>
      <w:r>
        <w:rPr>
          <w:sz w:val="22"/>
          <w:szCs w:val="22"/>
        </w:rPr>
        <w:tab/>
      </w:r>
      <w:bookmarkStart w:id="61" w:name="_Toc25343_WPSOffice_Level1Page"/>
      <w:r>
        <w:rPr>
          <w:sz w:val="22"/>
          <w:szCs w:val="22"/>
        </w:rPr>
        <w:t>29</w:t>
      </w:r>
      <w:bookmarkEnd w:id="61"/>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_Toc16576_WPSOffice_Level1 </w:instrText>
      </w:r>
      <w:r>
        <w:rPr>
          <w:sz w:val="22"/>
          <w:szCs w:val="22"/>
        </w:rPr>
        <w:fldChar w:fldCharType="separate"/>
      </w:r>
      <w:r>
        <w:rPr>
          <w:rFonts w:hint="eastAsia" w:ascii="黑体" w:hAnsi="Times New Roman" w:eastAsia="黑体" w:cs="Times New Roman"/>
          <w:sz w:val="22"/>
          <w:szCs w:val="22"/>
        </w:rPr>
        <w:t>5.3编制原则及依据</w:t>
      </w:r>
      <w:r>
        <w:rPr>
          <w:sz w:val="22"/>
          <w:szCs w:val="22"/>
        </w:rPr>
        <w:tab/>
      </w:r>
      <w:bookmarkStart w:id="62" w:name="_Toc16576_WPSOffice_Level1Page"/>
      <w:r>
        <w:rPr>
          <w:sz w:val="22"/>
          <w:szCs w:val="22"/>
        </w:rPr>
        <w:t>30</w:t>
      </w:r>
      <w:bookmarkEnd w:id="62"/>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_Toc6605_WPSOffice_Level2 </w:instrText>
      </w:r>
      <w:r>
        <w:rPr>
          <w:sz w:val="22"/>
          <w:szCs w:val="22"/>
        </w:rPr>
        <w:fldChar w:fldCharType="separate"/>
      </w:r>
      <w:r>
        <w:rPr>
          <w:rFonts w:hint="eastAsia" w:ascii="宋体" w:hAnsi="Times New Roman" w:eastAsia="宋体" w:cs="Times New Roman"/>
          <w:sz w:val="22"/>
          <w:szCs w:val="22"/>
        </w:rPr>
        <w:t>5.3.1编制原则</w:t>
      </w:r>
      <w:r>
        <w:rPr>
          <w:sz w:val="22"/>
          <w:szCs w:val="22"/>
        </w:rPr>
        <w:tab/>
      </w:r>
      <w:bookmarkStart w:id="63" w:name="_Toc6605_WPSOffice_Level2Page"/>
      <w:r>
        <w:rPr>
          <w:sz w:val="22"/>
          <w:szCs w:val="22"/>
        </w:rPr>
        <w:t>30</w:t>
      </w:r>
      <w:bookmarkEnd w:id="63"/>
      <w:r>
        <w:rPr>
          <w:sz w:val="22"/>
          <w:szCs w:val="22"/>
        </w:rPr>
        <w:fldChar w:fldCharType="end"/>
      </w:r>
    </w:p>
    <w:p>
      <w:pPr>
        <w:pStyle w:val="12"/>
        <w:tabs>
          <w:tab w:val="right" w:leader="dot" w:pos="8306"/>
        </w:tabs>
        <w:rPr>
          <w:sz w:val="22"/>
          <w:szCs w:val="22"/>
        </w:rPr>
      </w:pPr>
      <w:r>
        <w:rPr>
          <w:sz w:val="22"/>
          <w:szCs w:val="22"/>
        </w:rPr>
        <w:fldChar w:fldCharType="begin"/>
      </w:r>
      <w:r>
        <w:rPr>
          <w:sz w:val="22"/>
          <w:szCs w:val="22"/>
        </w:rPr>
        <w:instrText xml:space="preserve"> HYPERLINK \l _Toc14569_WPSOffice_Level2 </w:instrText>
      </w:r>
      <w:r>
        <w:rPr>
          <w:sz w:val="22"/>
          <w:szCs w:val="22"/>
        </w:rPr>
        <w:fldChar w:fldCharType="separate"/>
      </w:r>
      <w:r>
        <w:rPr>
          <w:rFonts w:hint="eastAsia" w:ascii="宋体" w:hAnsi="Times New Roman" w:eastAsia="宋体" w:cs="Times New Roman"/>
          <w:sz w:val="22"/>
          <w:szCs w:val="22"/>
        </w:rPr>
        <w:t>5.3.2编制依据</w:t>
      </w:r>
      <w:r>
        <w:rPr>
          <w:sz w:val="22"/>
          <w:szCs w:val="22"/>
        </w:rPr>
        <w:tab/>
      </w:r>
      <w:bookmarkStart w:id="64" w:name="_Toc14569_WPSOffice_Level2Page"/>
      <w:r>
        <w:rPr>
          <w:sz w:val="22"/>
          <w:szCs w:val="22"/>
        </w:rPr>
        <w:t>30</w:t>
      </w:r>
      <w:bookmarkEnd w:id="64"/>
      <w:r>
        <w:rPr>
          <w:sz w:val="22"/>
          <w:szCs w:val="22"/>
        </w:rPr>
        <w:fldChar w:fldCharType="end"/>
      </w:r>
    </w:p>
    <w:p>
      <w:pPr>
        <w:pStyle w:val="13"/>
        <w:tabs>
          <w:tab w:val="right" w:leader="dot" w:pos="8306"/>
        </w:tabs>
        <w:rPr>
          <w:sz w:val="22"/>
          <w:szCs w:val="22"/>
        </w:rPr>
      </w:pPr>
      <w:r>
        <w:rPr>
          <w:sz w:val="22"/>
          <w:szCs w:val="22"/>
        </w:rPr>
        <w:fldChar w:fldCharType="begin"/>
      </w:r>
      <w:r>
        <w:rPr>
          <w:sz w:val="22"/>
          <w:szCs w:val="22"/>
        </w:rPr>
        <w:instrText xml:space="preserve"> HYPERLINK \l _Toc6458_WPSOffice_Level3 </w:instrText>
      </w:r>
      <w:r>
        <w:rPr>
          <w:sz w:val="22"/>
          <w:szCs w:val="22"/>
        </w:rPr>
        <w:fldChar w:fldCharType="separate"/>
      </w:r>
      <w:r>
        <w:rPr>
          <w:rFonts w:hint="eastAsia" w:ascii="宋体" w:hAnsi="宋体" w:cs="宋体"/>
          <w:sz w:val="22"/>
          <w:szCs w:val="22"/>
        </w:rPr>
        <w:t>(5)费用标准。</w:t>
      </w:r>
      <w:r>
        <w:rPr>
          <w:sz w:val="22"/>
          <w:szCs w:val="22"/>
        </w:rPr>
        <w:tab/>
      </w:r>
      <w:bookmarkStart w:id="65" w:name="_Toc6458_WPSOffice_Level3Page"/>
      <w:r>
        <w:rPr>
          <w:sz w:val="22"/>
          <w:szCs w:val="22"/>
        </w:rPr>
        <w:t>30</w:t>
      </w:r>
      <w:bookmarkEnd w:id="65"/>
      <w:r>
        <w:rPr>
          <w:sz w:val="22"/>
          <w:szCs w:val="22"/>
        </w:rPr>
        <w:fldChar w:fldCharType="end"/>
      </w:r>
    </w:p>
    <w:p>
      <w:pPr>
        <w:pStyle w:val="11"/>
        <w:tabs>
          <w:tab w:val="right" w:leader="dot" w:pos="8306"/>
        </w:tabs>
        <w:rPr>
          <w:sz w:val="22"/>
          <w:szCs w:val="22"/>
        </w:rPr>
      </w:pPr>
      <w:r>
        <w:rPr>
          <w:sz w:val="22"/>
          <w:szCs w:val="22"/>
        </w:rPr>
        <w:fldChar w:fldCharType="begin"/>
      </w:r>
      <w:r>
        <w:rPr>
          <w:sz w:val="22"/>
          <w:szCs w:val="22"/>
        </w:rPr>
        <w:instrText xml:space="preserve"> HYPERLINK \l _Toc18958_WPSOffice_Level1 </w:instrText>
      </w:r>
      <w:r>
        <w:rPr>
          <w:sz w:val="22"/>
          <w:szCs w:val="22"/>
        </w:rPr>
        <w:fldChar w:fldCharType="separate"/>
      </w:r>
      <w:r>
        <w:rPr>
          <w:rFonts w:hint="eastAsia" w:ascii="黑体" w:hAnsi="Times New Roman" w:eastAsia="黑体" w:cs="Times New Roman"/>
          <w:sz w:val="22"/>
          <w:szCs w:val="22"/>
        </w:rPr>
        <w:t>5.4费用标准</w:t>
      </w:r>
      <w:r>
        <w:rPr>
          <w:sz w:val="22"/>
          <w:szCs w:val="22"/>
        </w:rPr>
        <w:tab/>
      </w:r>
      <w:bookmarkStart w:id="66" w:name="_Toc18958_WPSOffice_Level1Page"/>
      <w:r>
        <w:rPr>
          <w:sz w:val="22"/>
          <w:szCs w:val="22"/>
        </w:rPr>
        <w:t>31</w:t>
      </w:r>
      <w:bookmarkEnd w:id="66"/>
      <w:r>
        <w:rPr>
          <w:sz w:val="22"/>
          <w:szCs w:val="22"/>
        </w:rPr>
        <w:fldChar w:fldCharType="end"/>
      </w:r>
      <w:bookmarkEnd w:id="0"/>
    </w:p>
    <w:p>
      <w:pPr>
        <w:pStyle w:val="11"/>
        <w:tabs>
          <w:tab w:val="right" w:leader="dot" w:pos="8306"/>
        </w:tabs>
        <w:rPr>
          <w:sz w:val="32"/>
          <w:szCs w:val="32"/>
        </w:rPr>
      </w:pPr>
    </w:p>
    <w:p>
      <w:pPr>
        <w:spacing w:line="560" w:lineRule="exact"/>
        <w:jc w:val="center"/>
        <w:rPr>
          <w:rFonts w:eastAsia="华文细黑"/>
          <w:b/>
          <w:bCs/>
          <w:sz w:val="56"/>
          <w:szCs w:val="56"/>
        </w:rPr>
      </w:pPr>
      <w:bookmarkStart w:id="67" w:name="_Toc227993656_WPSOffice_Level1"/>
      <w:bookmarkStart w:id="68" w:name="_Toc782421405_WPSOffice_Level1"/>
    </w:p>
    <w:p>
      <w:pPr>
        <w:spacing w:line="560" w:lineRule="exact"/>
        <w:jc w:val="center"/>
        <w:rPr>
          <w:rFonts w:eastAsia="华文细黑"/>
          <w:b/>
          <w:bCs/>
          <w:sz w:val="56"/>
          <w:szCs w:val="56"/>
        </w:rPr>
      </w:pPr>
    </w:p>
    <w:bookmarkEnd w:id="67"/>
    <w:bookmarkEnd w:id="68"/>
    <w:p>
      <w:pPr>
        <w:pStyle w:val="7"/>
        <w:adjustRightInd w:val="0"/>
        <w:snapToGrid w:val="0"/>
        <w:spacing w:line="360" w:lineRule="auto"/>
        <w:jc w:val="both"/>
        <w:rPr>
          <w:rFonts w:hint="eastAsia"/>
          <w:snapToGrid w:val="0"/>
          <w:kern w:val="0"/>
        </w:rPr>
        <w:sectPr>
          <w:headerReference r:id="rId5" w:type="default"/>
          <w:footerReference r:id="rId6" w:type="default"/>
          <w:pgSz w:w="11906" w:h="16838"/>
          <w:pgMar w:top="1440" w:right="1800" w:bottom="1440" w:left="1800" w:header="851" w:footer="992" w:gutter="0"/>
          <w:pgNumType w:fmt="numberInDash"/>
          <w:cols w:space="720" w:num="1"/>
          <w:docGrid w:type="lines" w:linePitch="312" w:charSpace="0"/>
        </w:sectPr>
      </w:pPr>
      <w:bookmarkStart w:id="69" w:name="_Toc26324_WPSOffice_Level1"/>
    </w:p>
    <w:p>
      <w:pPr>
        <w:pStyle w:val="7"/>
        <w:adjustRightInd w:val="0"/>
        <w:snapToGrid w:val="0"/>
        <w:spacing w:line="360" w:lineRule="auto"/>
        <w:jc w:val="center"/>
        <w:rPr>
          <w:rFonts w:hint="eastAsia"/>
          <w:snapToGrid w:val="0"/>
          <w:kern w:val="0"/>
        </w:rPr>
      </w:pPr>
      <w:bookmarkStart w:id="70" w:name="_Toc1184_WPSOffice_Level1"/>
      <w:r>
        <w:rPr>
          <w:rFonts w:hint="eastAsia"/>
          <w:snapToGrid w:val="0"/>
          <w:kern w:val="0"/>
        </w:rPr>
        <w:t>1项目区概况</w:t>
      </w:r>
      <w:bookmarkEnd w:id="69"/>
      <w:bookmarkEnd w:id="70"/>
    </w:p>
    <w:p>
      <w:pPr>
        <w:spacing w:line="480" w:lineRule="auto"/>
        <w:ind w:firstLine="562" w:firstLineChars="200"/>
        <w:rPr>
          <w:rFonts w:hint="eastAsia" w:ascii="黑体" w:eastAsia="黑体"/>
          <w:b/>
          <w:snapToGrid w:val="0"/>
          <w:kern w:val="0"/>
          <w:sz w:val="28"/>
        </w:rPr>
      </w:pPr>
      <w:bookmarkStart w:id="71" w:name="_Toc18304_WPSOffice_Level1"/>
      <w:bookmarkStart w:id="72" w:name="_Toc19791_WPSOffice_Level1"/>
      <w:r>
        <w:rPr>
          <w:rFonts w:hint="eastAsia" w:ascii="黑体" w:eastAsia="黑体"/>
          <w:b/>
          <w:snapToGrid w:val="0"/>
          <w:kern w:val="0"/>
          <w:sz w:val="28"/>
        </w:rPr>
        <w:t>1.1自然状况</w:t>
      </w:r>
      <w:bookmarkEnd w:id="71"/>
      <w:bookmarkEnd w:id="72"/>
    </w:p>
    <w:p>
      <w:pPr>
        <w:pStyle w:val="14"/>
        <w:ind w:left="0" w:leftChars="0" w:firstLine="482" w:firstLineChars="200"/>
        <w:rPr>
          <w:rFonts w:hint="eastAsia"/>
          <w:snapToGrid w:val="0"/>
          <w:kern w:val="0"/>
        </w:rPr>
      </w:pPr>
      <w:bookmarkStart w:id="73" w:name="_Toc31814_WPSOffice_Level2"/>
      <w:bookmarkStart w:id="74" w:name="_Toc27604_WPSOffice_Level2"/>
      <w:r>
        <w:rPr>
          <w:rFonts w:hint="eastAsia"/>
          <w:snapToGrid w:val="0"/>
          <w:kern w:val="0"/>
        </w:rPr>
        <w:t>1.1.1地理位置</w:t>
      </w:r>
      <w:bookmarkEnd w:id="73"/>
      <w:bookmarkEnd w:id="74"/>
    </w:p>
    <w:p>
      <w:pPr>
        <w:spacing w:line="480" w:lineRule="auto"/>
        <w:ind w:firstLine="480" w:firstLineChars="200"/>
        <w:rPr>
          <w:rFonts w:hint="eastAsia" w:ascii="宋体" w:hAnsi="宋体" w:cs="宋体"/>
          <w:sz w:val="24"/>
        </w:rPr>
      </w:pPr>
      <w:r>
        <w:rPr>
          <w:rFonts w:hint="eastAsia" w:ascii="宋体" w:hAnsi="宋体" w:cs="宋体"/>
          <w:sz w:val="24"/>
        </w:rPr>
        <w:t>富蕴县位于新疆维吾尔自治区东北部、阿勒泰山南麓、准噶尔盆地北缘，额尔齐斯河上游右岸。地理坐标:北纬 45°00’~48°03’，东经88°10’~90°31’。县域东临青河县，西接福海县，南与昌吉回族自治州的奇台县、吉木萨尔县毗邻。东北部与蒙古人民共和国接壤，边界线总长205km。境内有国道216线及省道公路干线和乌鲁木齐、阿勒泰、北屯等城镇相通，县城距自治区首府乌鲁木齐 480km,距行署所在地阿勒泰市237.3km,工程区交通条件十分便利。</w:t>
      </w:r>
    </w:p>
    <w:p>
      <w:pPr>
        <w:spacing w:line="480" w:lineRule="auto"/>
        <w:ind w:firstLine="480" w:firstLineChars="200"/>
        <w:rPr>
          <w:rFonts w:hint="eastAsia" w:ascii="宋体" w:hAnsi="宋体" w:cs="宋体"/>
          <w:sz w:val="24"/>
        </w:rPr>
      </w:pPr>
      <w:r>
        <w:rPr>
          <w:rFonts w:hint="eastAsia" w:ascii="宋体" w:hAnsi="宋体" w:cs="宋体"/>
          <w:sz w:val="24"/>
        </w:rPr>
        <w:t>(1)萨尔铁列克水库地处东经89°01’47.5”、北纬46°24’57"位于阿勒泰地区富蕴县铁买克乡境内,属乌伦古河流域中游灌区，距富蕴县城130km,交通、通讯较为便利。</w:t>
      </w:r>
    </w:p>
    <w:p>
      <w:pPr>
        <w:spacing w:line="480" w:lineRule="auto"/>
        <w:ind w:firstLine="480" w:firstLineChars="200"/>
        <w:rPr>
          <w:rFonts w:hint="eastAsia" w:ascii="宋体" w:hAnsi="宋体" w:cs="宋体"/>
          <w:sz w:val="24"/>
        </w:rPr>
      </w:pPr>
      <w:r>
        <w:rPr>
          <w:rFonts w:hint="eastAsia" w:ascii="宋体" w:hAnsi="宋体" w:cs="宋体"/>
          <w:sz w:val="24"/>
        </w:rPr>
        <w:t>(2)杜热水库位于新疆富蕴县境内的乌伦古河中下游、杜热灌区上游1km处，地理位置东径89°32’21”，北纬46°20’30"。距富蕴县城144km，杜热水库至杜热乡柏油路相连，距离8.0km。</w:t>
      </w:r>
    </w:p>
    <w:p>
      <w:pPr>
        <w:spacing w:line="480" w:lineRule="auto"/>
        <w:ind w:firstLine="480" w:firstLineChars="200"/>
        <w:rPr>
          <w:rFonts w:hint="eastAsia" w:ascii="宋体" w:hAnsi="宋体" w:cs="宋体"/>
          <w:sz w:val="24"/>
        </w:rPr>
      </w:pPr>
      <w:r>
        <w:rPr>
          <w:rFonts w:hint="eastAsia" w:ascii="宋体" w:hAnsi="宋体" w:cs="宋体"/>
          <w:sz w:val="24"/>
        </w:rPr>
        <w:t>(3)新疆富蕴广汇煤制气项目供水工程，枢纽建设地点位于新疆阿勒泰地区富蕴县恰库尔图镇哈西翁村上游附近，地理坐标为东经89°26’29"，北纬45°33'15"之间。距离富蕴县城160km,距离恰库尔图镇80km,距离自治区首府乌鲁木齐 390km。</w:t>
      </w:r>
    </w:p>
    <w:p>
      <w:pPr>
        <w:spacing w:line="480" w:lineRule="auto"/>
        <w:ind w:firstLine="482" w:firstLineChars="200"/>
        <w:rPr>
          <w:rFonts w:hint="eastAsia" w:ascii="宋体"/>
          <w:b/>
          <w:bCs/>
          <w:snapToGrid w:val="0"/>
          <w:kern w:val="0"/>
          <w:sz w:val="24"/>
        </w:rPr>
      </w:pPr>
      <w:bookmarkStart w:id="75" w:name="_Toc7192_WPSOffice_Level2"/>
      <w:bookmarkStart w:id="76" w:name="_Toc112_WPSOffice_Level2"/>
      <w:r>
        <w:rPr>
          <w:rFonts w:hint="eastAsia" w:ascii="宋体"/>
          <w:b/>
          <w:bCs/>
          <w:snapToGrid w:val="0"/>
          <w:kern w:val="0"/>
          <w:sz w:val="24"/>
        </w:rPr>
        <w:t>1.1.2水文气象</w:t>
      </w:r>
      <w:bookmarkEnd w:id="75"/>
      <w:bookmarkEnd w:id="76"/>
    </w:p>
    <w:p>
      <w:pPr>
        <w:spacing w:line="480" w:lineRule="auto"/>
        <w:ind w:firstLine="480" w:firstLineChars="200"/>
        <w:rPr>
          <w:rFonts w:hint="eastAsia" w:ascii="宋体" w:hAnsi="宋体" w:cs="宋体"/>
          <w:sz w:val="24"/>
        </w:rPr>
      </w:pPr>
      <w:bookmarkStart w:id="77" w:name="_Toc8900_WPSOffice_Level3"/>
      <w:bookmarkStart w:id="78" w:name="_Toc31855_WPSOffice_Level3"/>
      <w:r>
        <w:rPr>
          <w:rFonts w:hint="eastAsia" w:ascii="宋体" w:hAnsi="宋体" w:cs="宋体"/>
          <w:sz w:val="24"/>
        </w:rPr>
        <w:t>1)气象观测站网简介</w:t>
      </w:r>
      <w:bookmarkEnd w:id="77"/>
      <w:bookmarkEnd w:id="78"/>
    </w:p>
    <w:p>
      <w:pPr>
        <w:spacing w:line="480" w:lineRule="auto"/>
        <w:ind w:firstLine="480" w:firstLineChars="200"/>
        <w:rPr>
          <w:rFonts w:hint="eastAsia" w:ascii="宋体" w:hAnsi="宋体" w:cs="宋体"/>
          <w:sz w:val="24"/>
        </w:rPr>
      </w:pPr>
      <w:r>
        <w:rPr>
          <w:rFonts w:hint="eastAsia" w:ascii="宋体" w:hAnsi="宋体" w:cs="宋体"/>
          <w:sz w:val="24"/>
        </w:rPr>
        <w:t>乌伦古河流域内有福海水文站、二台水文站、青河气象站、大青河水文站、小青河水文站等五个气象站点，其中二台水文站距项目区132km(直线距离)，还有距其较近的福海气象站，约98km(直线距离)。福海气象站位于福海县城，地理坐标东经87°30，北纬47°04'，海拔高程为500.9m。该气象站于1957年10月由自治区气象局设立，观测至今，属国家基本气象站。主要气象观测项目有:气温、降水、蒸发、风、日照、冻土等，项目齐全。</w:t>
      </w:r>
    </w:p>
    <w:p>
      <w:pPr>
        <w:spacing w:line="480" w:lineRule="auto"/>
        <w:ind w:firstLine="480" w:firstLineChars="200"/>
        <w:rPr>
          <w:rFonts w:hint="eastAsia" w:ascii="宋体" w:hAnsi="宋体" w:cs="宋体"/>
          <w:sz w:val="24"/>
        </w:rPr>
      </w:pPr>
      <w:r>
        <w:rPr>
          <w:rFonts w:hint="eastAsia" w:ascii="宋体" w:hAnsi="宋体" w:cs="宋体"/>
          <w:sz w:val="24"/>
        </w:rPr>
        <w:t>福海气象站和二台水文站为国家基本站点，观测项目及其数据的整编均严格按国家行业技术标准执行，精度较高，气象资料成果可靠，本次收集到福海气象站(1971~2018年)48年的实测气象资料，由于灌区位于乌伦古河中下游平原区，海拔高程约515m，距二台水文站较远，距离福海气象站较近，因此，项目区的气象要素可依据福海气象站气象资料统计分析。</w:t>
      </w:r>
    </w:p>
    <w:p>
      <w:pPr>
        <w:spacing w:line="480" w:lineRule="auto"/>
        <w:ind w:firstLine="480" w:firstLineChars="200"/>
        <w:rPr>
          <w:rFonts w:hint="eastAsia" w:ascii="宋体" w:hAnsi="宋体" w:cs="宋体"/>
          <w:sz w:val="24"/>
        </w:rPr>
      </w:pPr>
      <w:bookmarkStart w:id="79" w:name="_Toc24360_WPSOffice_Level3"/>
      <w:bookmarkStart w:id="80" w:name="_Toc22402_WPSOffice_Level3"/>
      <w:r>
        <w:rPr>
          <w:rFonts w:hint="eastAsia" w:ascii="宋体" w:hAnsi="宋体" w:cs="宋体"/>
          <w:sz w:val="24"/>
        </w:rPr>
        <w:t>2)气候特征</w:t>
      </w:r>
      <w:bookmarkEnd w:id="79"/>
      <w:bookmarkEnd w:id="80"/>
    </w:p>
    <w:p>
      <w:pPr>
        <w:spacing w:line="480" w:lineRule="auto"/>
        <w:ind w:firstLine="480" w:firstLineChars="200"/>
        <w:rPr>
          <w:rFonts w:hint="eastAsia" w:ascii="宋体" w:hAnsi="宋体" w:cs="宋体"/>
          <w:sz w:val="24"/>
        </w:rPr>
      </w:pPr>
      <w:r>
        <w:rPr>
          <w:rFonts w:hint="eastAsia" w:ascii="宋体" w:hAnsi="宋体" w:cs="宋体"/>
          <w:sz w:val="24"/>
        </w:rPr>
        <w:t>富蕴县地处欧亚大陆腹地，远离海洋，纬度较高，属大陆北温及寒温带气候，其主要气候特点是高山湿润，南部平原受准噶尔盆地古尔班通古特沙漠的影响，降水较少，蒸发较强烈，气候干燥。四季中，春秋两季不明显，大致可分为冷半年和暖半年，春寒多风，夏季凉爽，秋季短促，冬季寒冷漫长，气温日、年变差大，光热资源丰富。</w:t>
      </w:r>
    </w:p>
    <w:p>
      <w:pPr>
        <w:spacing w:line="480" w:lineRule="auto"/>
        <w:ind w:firstLine="480" w:firstLineChars="200"/>
        <w:rPr>
          <w:rFonts w:hint="eastAsia" w:ascii="宋体" w:hAnsi="宋体" w:cs="宋体"/>
          <w:sz w:val="24"/>
        </w:rPr>
      </w:pPr>
      <w:r>
        <w:rPr>
          <w:rFonts w:hint="eastAsia" w:ascii="宋体" w:hAnsi="宋体" w:cs="宋体"/>
          <w:sz w:val="24"/>
        </w:rPr>
        <w:t>(1)气温</w:t>
      </w:r>
    </w:p>
    <w:p>
      <w:pPr>
        <w:spacing w:line="480" w:lineRule="auto"/>
        <w:ind w:firstLine="480" w:firstLineChars="200"/>
        <w:rPr>
          <w:rFonts w:hint="eastAsia" w:ascii="宋体" w:hAnsi="宋体" w:cs="宋体"/>
          <w:sz w:val="24"/>
        </w:rPr>
      </w:pPr>
      <w:r>
        <w:rPr>
          <w:rFonts w:hint="eastAsia" w:ascii="宋体" w:hAnsi="宋体" w:cs="宋体"/>
          <w:sz w:val="24"/>
        </w:rPr>
        <w:t>据福海气象站实测气象资料统计:多年平均气温为4.3℃，极端最高气温为39.3℃，极端最低气温为-41.2℃，最热月出现在7月，月平均气温23.3℃，最冷月出现在1月，月平均气温-19.2℃。</w:t>
      </w:r>
    </w:p>
    <w:p>
      <w:pPr>
        <w:spacing w:line="480" w:lineRule="auto"/>
        <w:rPr>
          <w:rFonts w:hint="eastAsia" w:ascii="宋体" w:hAnsi="宋体" w:cs="宋体"/>
          <w:sz w:val="24"/>
        </w:rPr>
      </w:pPr>
    </w:p>
    <w:p>
      <w:pPr>
        <w:spacing w:line="480" w:lineRule="auto"/>
        <w:rPr>
          <w:rFonts w:hint="eastAsia" w:ascii="宋体" w:hAnsi="宋体" w:cs="宋体"/>
          <w:sz w:val="24"/>
        </w:rPr>
      </w:pPr>
    </w:p>
    <w:p>
      <w:pPr>
        <w:spacing w:line="480" w:lineRule="auto"/>
        <w:ind w:firstLine="480" w:firstLineChars="200"/>
        <w:rPr>
          <w:rFonts w:hint="eastAsia"/>
        </w:rPr>
      </w:pPr>
      <w:r>
        <w:rPr>
          <w:rFonts w:hint="eastAsia" w:ascii="宋体" w:hAnsi="宋体" w:cs="宋体"/>
          <w:sz w:val="24"/>
        </w:rPr>
        <w:t>福海气象站多年平均气温统计见表1.1-1。</w:t>
      </w:r>
    </w:p>
    <w:tbl>
      <w:tblPr>
        <w:tblStyle w:val="8"/>
        <w:tblW w:w="9080" w:type="dxa"/>
        <w:jc w:val="center"/>
        <w:tblInd w:w="0" w:type="dxa"/>
        <w:tblLayout w:type="fixed"/>
        <w:tblCellMar>
          <w:top w:w="0" w:type="dxa"/>
          <w:left w:w="0" w:type="dxa"/>
          <w:bottom w:w="0" w:type="dxa"/>
          <w:right w:w="0" w:type="dxa"/>
        </w:tblCellMar>
      </w:tblPr>
      <w:tblGrid>
        <w:gridCol w:w="1215"/>
        <w:gridCol w:w="653"/>
        <w:gridCol w:w="652"/>
        <w:gridCol w:w="653"/>
        <w:gridCol w:w="652"/>
        <w:gridCol w:w="530"/>
        <w:gridCol w:w="528"/>
        <w:gridCol w:w="529"/>
        <w:gridCol w:w="529"/>
        <w:gridCol w:w="528"/>
        <w:gridCol w:w="653"/>
        <w:gridCol w:w="653"/>
        <w:gridCol w:w="652"/>
        <w:gridCol w:w="653"/>
      </w:tblGrid>
      <w:tr>
        <w:tblPrEx>
          <w:tblLayout w:type="fixed"/>
          <w:tblCellMar>
            <w:top w:w="0" w:type="dxa"/>
            <w:left w:w="0" w:type="dxa"/>
            <w:bottom w:w="0" w:type="dxa"/>
            <w:right w:w="0" w:type="dxa"/>
          </w:tblCellMar>
        </w:tblPrEx>
        <w:trPr>
          <w:trHeight w:val="374" w:hRule="atLeast"/>
          <w:jc w:val="center"/>
        </w:trPr>
        <w:tc>
          <w:tcPr>
            <w:tcW w:w="9080" w:type="dxa"/>
            <w:gridSpan w:val="14"/>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b/>
                <w:bCs/>
                <w:color w:val="000000"/>
                <w:szCs w:val="21"/>
              </w:rPr>
            </w:pPr>
            <w:r>
              <w:rPr>
                <w:rFonts w:hint="eastAsia" w:ascii="宋体" w:hAnsi="宋体" w:cs="宋体"/>
                <w:b/>
                <w:bCs/>
                <w:color w:val="000000"/>
                <w:kern w:val="0"/>
                <w:szCs w:val="21"/>
                <w:lang w:bidi="ar"/>
              </w:rPr>
              <w:t>表1.1-1                          福海气象站月气温特征值表              单位：℃</w:t>
            </w:r>
          </w:p>
        </w:tc>
      </w:tr>
      <w:tr>
        <w:tblPrEx>
          <w:tblLayout w:type="fixed"/>
          <w:tblCellMar>
            <w:top w:w="0" w:type="dxa"/>
            <w:left w:w="0" w:type="dxa"/>
            <w:bottom w:w="0" w:type="dxa"/>
            <w:right w:w="0" w:type="dxa"/>
          </w:tblCellMar>
        </w:tblPrEx>
        <w:trPr>
          <w:trHeight w:val="349" w:hRule="atLeast"/>
          <w:jc w:val="center"/>
        </w:trPr>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项目</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1月</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2月</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3月</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w:t>
            </w:r>
          </w:p>
        </w:tc>
        <w:tc>
          <w:tcPr>
            <w:tcW w:w="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6月</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7月</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8月</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9月</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10月</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11月</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12月</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全年</w:t>
            </w:r>
          </w:p>
        </w:tc>
      </w:tr>
      <w:tr>
        <w:tblPrEx>
          <w:tblLayout w:type="fixed"/>
          <w:tblCellMar>
            <w:top w:w="0" w:type="dxa"/>
            <w:left w:w="0" w:type="dxa"/>
            <w:bottom w:w="0" w:type="dxa"/>
            <w:right w:w="0" w:type="dxa"/>
          </w:tblCellMar>
        </w:tblPrEx>
        <w:trPr>
          <w:trHeight w:val="349" w:hRule="atLeast"/>
          <w:jc w:val="center"/>
        </w:trPr>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平均值</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-19.2</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-15.9</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-5.2</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w:t>
            </w:r>
          </w:p>
        </w:tc>
        <w:tc>
          <w:tcPr>
            <w:tcW w:w="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16.1</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21.8</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23.3</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14.7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5.9</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-4.6</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-14.5</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4.3</w:t>
            </w:r>
          </w:p>
        </w:tc>
      </w:tr>
      <w:tr>
        <w:tblPrEx>
          <w:tblLayout w:type="fixed"/>
          <w:tblCellMar>
            <w:top w:w="0" w:type="dxa"/>
            <w:left w:w="0" w:type="dxa"/>
            <w:bottom w:w="0" w:type="dxa"/>
            <w:right w:w="0" w:type="dxa"/>
          </w:tblCellMar>
        </w:tblPrEx>
        <w:trPr>
          <w:trHeight w:val="349" w:hRule="atLeast"/>
          <w:jc w:val="center"/>
        </w:trPr>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极端最高</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0.3</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6.3</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24.2</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31.9</w:t>
            </w:r>
          </w:p>
        </w:tc>
        <w:tc>
          <w:tcPr>
            <w:tcW w:w="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36.1</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38.4</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39.3</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38.1</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35.6</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29.7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16.7</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39.3</w:t>
            </w:r>
          </w:p>
        </w:tc>
      </w:tr>
      <w:tr>
        <w:tblPrEx>
          <w:tblLayout w:type="fixed"/>
          <w:tblCellMar>
            <w:top w:w="0" w:type="dxa"/>
            <w:left w:w="0" w:type="dxa"/>
            <w:bottom w:w="0" w:type="dxa"/>
            <w:right w:w="0" w:type="dxa"/>
          </w:tblCellMar>
        </w:tblPrEx>
        <w:trPr>
          <w:trHeight w:val="387" w:hRule="atLeast"/>
          <w:jc w:val="center"/>
        </w:trPr>
        <w:tc>
          <w:tcPr>
            <w:tcW w:w="12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极端最低</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-41.2</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-39.5</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-33.3</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-15.5</w:t>
            </w:r>
          </w:p>
        </w:tc>
        <w:tc>
          <w:tcPr>
            <w:tcW w:w="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7.6</w:t>
            </w:r>
          </w:p>
        </w:tc>
        <w:tc>
          <w:tcPr>
            <w:tcW w:w="5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w:t>
            </w:r>
          </w:p>
        </w:tc>
        <w:tc>
          <w:tcPr>
            <w:tcW w:w="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-3.2</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-15.6</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-33.2</w:t>
            </w:r>
          </w:p>
        </w:tc>
        <w:tc>
          <w:tcPr>
            <w:tcW w:w="6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-40.4</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-41.2</w:t>
            </w:r>
          </w:p>
        </w:tc>
      </w:tr>
    </w:tbl>
    <w:p>
      <w:pPr>
        <w:spacing w:line="480" w:lineRule="auto"/>
        <w:ind w:firstLine="480" w:firstLineChars="200"/>
        <w:rPr>
          <w:rFonts w:hint="eastAsia" w:ascii="宋体" w:hAnsi="宋体" w:cs="宋体"/>
          <w:sz w:val="24"/>
        </w:rPr>
      </w:pPr>
      <w:r>
        <w:rPr>
          <w:rFonts w:hint="eastAsia" w:ascii="宋体" w:hAnsi="宋体" w:cs="宋体"/>
          <w:sz w:val="24"/>
        </w:rPr>
        <w:t>(2)降水</w:t>
      </w:r>
    </w:p>
    <w:p>
      <w:pPr>
        <w:spacing w:line="480" w:lineRule="auto"/>
        <w:rPr>
          <w:rFonts w:hint="eastAsia" w:ascii="宋体" w:hAnsi="宋体" w:cs="宋体"/>
          <w:sz w:val="24"/>
        </w:rPr>
      </w:pPr>
      <w:r>
        <w:rPr>
          <w:rFonts w:hint="eastAsia" w:ascii="宋体" w:hAnsi="宋体" w:cs="宋体"/>
          <w:sz w:val="24"/>
        </w:rPr>
        <w:t>福海气象站降水资料统计年内分配及四季分配如表1.1-2、表1.1-3。</w:t>
      </w:r>
    </w:p>
    <w:tbl>
      <w:tblPr>
        <w:tblStyle w:val="8"/>
        <w:tblW w:w="9075" w:type="dxa"/>
        <w:jc w:val="center"/>
        <w:tblInd w:w="0" w:type="dxa"/>
        <w:tblLayout w:type="fixed"/>
        <w:tblCellMar>
          <w:top w:w="0" w:type="dxa"/>
          <w:left w:w="0" w:type="dxa"/>
          <w:bottom w:w="0" w:type="dxa"/>
          <w:right w:w="0" w:type="dxa"/>
        </w:tblCellMar>
      </w:tblPr>
      <w:tblGrid>
        <w:gridCol w:w="1230"/>
        <w:gridCol w:w="473"/>
        <w:gridCol w:w="534"/>
        <w:gridCol w:w="473"/>
        <w:gridCol w:w="535"/>
        <w:gridCol w:w="661"/>
        <w:gridCol w:w="659"/>
        <w:gridCol w:w="661"/>
        <w:gridCol w:w="660"/>
        <w:gridCol w:w="660"/>
        <w:gridCol w:w="599"/>
        <w:gridCol w:w="597"/>
        <w:gridCol w:w="597"/>
        <w:gridCol w:w="736"/>
      </w:tblGrid>
      <w:tr>
        <w:tblPrEx>
          <w:tblLayout w:type="fixed"/>
          <w:tblCellMar>
            <w:top w:w="0" w:type="dxa"/>
            <w:left w:w="0" w:type="dxa"/>
            <w:bottom w:w="0" w:type="dxa"/>
            <w:right w:w="0" w:type="dxa"/>
          </w:tblCellMar>
        </w:tblPrEx>
        <w:trPr>
          <w:trHeight w:val="341" w:hRule="atLeast"/>
          <w:jc w:val="center"/>
        </w:trPr>
        <w:tc>
          <w:tcPr>
            <w:tcW w:w="9075" w:type="dxa"/>
            <w:gridSpan w:val="14"/>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表1.1-2                         福海县气象站多年平均降水量年内分配表</w:t>
            </w:r>
          </w:p>
        </w:tc>
      </w:tr>
      <w:tr>
        <w:tblPrEx>
          <w:tblLayout w:type="fixed"/>
          <w:tblCellMar>
            <w:top w:w="0" w:type="dxa"/>
            <w:left w:w="0" w:type="dxa"/>
            <w:bottom w:w="0" w:type="dxa"/>
            <w:right w:w="0" w:type="dxa"/>
          </w:tblCellMar>
        </w:tblPrEx>
        <w:trPr>
          <w:trHeight w:val="359" w:hRule="atLeast"/>
          <w:jc w:val="center"/>
        </w:trPr>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项目</w:t>
            </w:r>
          </w:p>
        </w:tc>
        <w:tc>
          <w:tcPr>
            <w:tcW w:w="4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1月</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2月</w:t>
            </w:r>
          </w:p>
        </w:tc>
        <w:tc>
          <w:tcPr>
            <w:tcW w:w="4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3月</w:t>
            </w:r>
          </w:p>
        </w:tc>
        <w:tc>
          <w:tcPr>
            <w:tcW w:w="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w:t>
            </w: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6月</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7月</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8月</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9月</w:t>
            </w:r>
          </w:p>
        </w:tc>
        <w:tc>
          <w:tcPr>
            <w:tcW w:w="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10月</w:t>
            </w:r>
          </w:p>
        </w:tc>
        <w:tc>
          <w:tcPr>
            <w:tcW w:w="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11月</w:t>
            </w:r>
          </w:p>
        </w:tc>
        <w:tc>
          <w:tcPr>
            <w:tcW w:w="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12月</w:t>
            </w:r>
          </w:p>
        </w:tc>
        <w:tc>
          <w:tcPr>
            <w:tcW w:w="7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全年</w:t>
            </w:r>
          </w:p>
        </w:tc>
      </w:tr>
      <w:tr>
        <w:tblPrEx>
          <w:tblLayout w:type="fixed"/>
          <w:tblCellMar>
            <w:top w:w="0" w:type="dxa"/>
            <w:left w:w="0" w:type="dxa"/>
            <w:bottom w:w="0" w:type="dxa"/>
            <w:right w:w="0" w:type="dxa"/>
          </w:tblCellMar>
        </w:tblPrEx>
        <w:trPr>
          <w:trHeight w:val="424" w:hRule="atLeast"/>
          <w:jc w:val="center"/>
        </w:trPr>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降水量（㎜）</w:t>
            </w:r>
          </w:p>
        </w:tc>
        <w:tc>
          <w:tcPr>
            <w:tcW w:w="4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5.2</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4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4.5</w:t>
            </w:r>
          </w:p>
        </w:tc>
        <w:tc>
          <w:tcPr>
            <w:tcW w:w="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8.2</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12.9</w:t>
            </w: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13.8</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22.2</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15.4</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13.4</w:t>
            </w:r>
          </w:p>
        </w:tc>
        <w:tc>
          <w:tcPr>
            <w:tcW w:w="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10.6</w:t>
            </w:r>
          </w:p>
        </w:tc>
        <w:tc>
          <w:tcPr>
            <w:tcW w:w="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8.7</w:t>
            </w:r>
          </w:p>
        </w:tc>
        <w:tc>
          <w:tcPr>
            <w:tcW w:w="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w:t>
            </w:r>
          </w:p>
        </w:tc>
        <w:tc>
          <w:tcPr>
            <w:tcW w:w="7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124.2</w:t>
            </w:r>
          </w:p>
        </w:tc>
      </w:tr>
      <w:tr>
        <w:tblPrEx>
          <w:tblLayout w:type="fixed"/>
          <w:tblCellMar>
            <w:top w:w="0" w:type="dxa"/>
            <w:left w:w="0" w:type="dxa"/>
            <w:bottom w:w="0" w:type="dxa"/>
            <w:right w:w="0" w:type="dxa"/>
          </w:tblCellMar>
        </w:tblPrEx>
        <w:trPr>
          <w:trHeight w:val="399" w:hRule="atLeast"/>
          <w:jc w:val="center"/>
        </w:trPr>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w:t>
            </w:r>
          </w:p>
        </w:tc>
        <w:tc>
          <w:tcPr>
            <w:tcW w:w="4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0.2</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2.23</w:t>
            </w:r>
          </w:p>
        </w:tc>
        <w:tc>
          <w:tcPr>
            <w:tcW w:w="4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w:t>
            </w:r>
          </w:p>
        </w:tc>
        <w:tc>
          <w:tcPr>
            <w:tcW w:w="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6.63</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10.38</w:t>
            </w: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11.11</w:t>
            </w:r>
          </w:p>
        </w:tc>
        <w:tc>
          <w:tcPr>
            <w:tcW w:w="6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17.87</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12.36</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10.76</w:t>
            </w:r>
          </w:p>
        </w:tc>
        <w:tc>
          <w:tcPr>
            <w:tcW w:w="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w:t>
            </w:r>
          </w:p>
        </w:tc>
        <w:tc>
          <w:tcPr>
            <w:tcW w:w="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7.03</w:t>
            </w:r>
          </w:p>
        </w:tc>
        <w:tc>
          <w:tcPr>
            <w:tcW w:w="5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5.34</w:t>
            </w:r>
          </w:p>
        </w:tc>
        <w:tc>
          <w:tcPr>
            <w:tcW w:w="73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100</w:t>
            </w:r>
          </w:p>
        </w:tc>
      </w:tr>
    </w:tbl>
    <w:p>
      <w:pPr>
        <w:rPr>
          <w:rFonts w:hint="eastAsia" w:ascii="宋体" w:hAnsi="宋体" w:cs="宋体"/>
          <w:sz w:val="24"/>
        </w:rPr>
      </w:pPr>
    </w:p>
    <w:tbl>
      <w:tblPr>
        <w:tblStyle w:val="8"/>
        <w:tblW w:w="9140" w:type="dxa"/>
        <w:jc w:val="center"/>
        <w:tblInd w:w="0" w:type="dxa"/>
        <w:tblLayout w:type="fixed"/>
        <w:tblCellMar>
          <w:top w:w="0" w:type="dxa"/>
          <w:left w:w="0" w:type="dxa"/>
          <w:bottom w:w="0" w:type="dxa"/>
          <w:right w:w="0" w:type="dxa"/>
        </w:tblCellMar>
      </w:tblPr>
      <w:tblGrid>
        <w:gridCol w:w="1248"/>
        <w:gridCol w:w="481"/>
        <w:gridCol w:w="543"/>
        <w:gridCol w:w="480"/>
        <w:gridCol w:w="544"/>
        <w:gridCol w:w="670"/>
        <w:gridCol w:w="671"/>
        <w:gridCol w:w="670"/>
        <w:gridCol w:w="670"/>
        <w:gridCol w:w="671"/>
        <w:gridCol w:w="607"/>
        <w:gridCol w:w="607"/>
        <w:gridCol w:w="607"/>
        <w:gridCol w:w="671"/>
      </w:tblGrid>
      <w:tr>
        <w:tblPrEx>
          <w:tblLayout w:type="fixed"/>
          <w:tblCellMar>
            <w:top w:w="0" w:type="dxa"/>
            <w:left w:w="0" w:type="dxa"/>
            <w:bottom w:w="0" w:type="dxa"/>
            <w:right w:w="0" w:type="dxa"/>
          </w:tblCellMar>
        </w:tblPrEx>
        <w:trPr>
          <w:trHeight w:val="404" w:hRule="atLeast"/>
          <w:jc w:val="center"/>
        </w:trPr>
        <w:tc>
          <w:tcPr>
            <w:tcW w:w="9140" w:type="dxa"/>
            <w:gridSpan w:val="14"/>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表1.1-3                         福海县气象站降水量四级分配表</w:t>
            </w:r>
          </w:p>
        </w:tc>
      </w:tr>
      <w:tr>
        <w:tblPrEx>
          <w:tblLayout w:type="fixed"/>
          <w:tblCellMar>
            <w:top w:w="0" w:type="dxa"/>
            <w:left w:w="0" w:type="dxa"/>
            <w:bottom w:w="0" w:type="dxa"/>
            <w:right w:w="0" w:type="dxa"/>
          </w:tblCellMar>
        </w:tblPrEx>
        <w:trPr>
          <w:trHeight w:val="399" w:hRule="atLeast"/>
          <w:jc w:val="center"/>
        </w:trPr>
        <w:tc>
          <w:tcPr>
            <w:tcW w:w="12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项目</w:t>
            </w:r>
          </w:p>
        </w:tc>
        <w:tc>
          <w:tcPr>
            <w:tcW w:w="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1月</w:t>
            </w:r>
          </w:p>
        </w:tc>
        <w:tc>
          <w:tcPr>
            <w:tcW w:w="5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2月</w:t>
            </w:r>
          </w:p>
        </w:tc>
        <w:tc>
          <w:tcPr>
            <w:tcW w:w="4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3月</w:t>
            </w:r>
          </w:p>
        </w:tc>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6月</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7月</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8月</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9月</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10月</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11月</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12月</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全年</w:t>
            </w:r>
          </w:p>
        </w:tc>
      </w:tr>
      <w:tr>
        <w:tblPrEx>
          <w:tblLayout w:type="fixed"/>
          <w:tblCellMar>
            <w:top w:w="0" w:type="dxa"/>
            <w:left w:w="0" w:type="dxa"/>
            <w:bottom w:w="0" w:type="dxa"/>
            <w:right w:w="0" w:type="dxa"/>
          </w:tblCellMar>
        </w:tblPrEx>
        <w:trPr>
          <w:trHeight w:val="484" w:hRule="atLeast"/>
          <w:jc w:val="center"/>
        </w:trPr>
        <w:tc>
          <w:tcPr>
            <w:tcW w:w="12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降水量（㎜）</w:t>
            </w:r>
          </w:p>
        </w:tc>
        <w:tc>
          <w:tcPr>
            <w:tcW w:w="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5.2</w:t>
            </w:r>
          </w:p>
        </w:tc>
        <w:tc>
          <w:tcPr>
            <w:tcW w:w="5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4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4.5</w:t>
            </w:r>
          </w:p>
        </w:tc>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8.2</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12.9</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13.8</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22.2</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15.4</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13.4</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10.6</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8.7</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124.2</w:t>
            </w:r>
          </w:p>
        </w:tc>
      </w:tr>
      <w:tr>
        <w:tblPrEx>
          <w:tblLayout w:type="fixed"/>
          <w:tblCellMar>
            <w:top w:w="0" w:type="dxa"/>
            <w:left w:w="0" w:type="dxa"/>
            <w:bottom w:w="0" w:type="dxa"/>
            <w:right w:w="0" w:type="dxa"/>
          </w:tblCellMar>
        </w:tblPrEx>
        <w:trPr>
          <w:trHeight w:val="424" w:hRule="atLeast"/>
          <w:jc w:val="center"/>
        </w:trPr>
        <w:tc>
          <w:tcPr>
            <w:tcW w:w="12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w:t>
            </w:r>
          </w:p>
        </w:tc>
        <w:tc>
          <w:tcPr>
            <w:tcW w:w="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0.2</w:t>
            </w:r>
          </w:p>
        </w:tc>
        <w:tc>
          <w:tcPr>
            <w:tcW w:w="5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2.23</w:t>
            </w:r>
          </w:p>
        </w:tc>
        <w:tc>
          <w:tcPr>
            <w:tcW w:w="4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w:t>
            </w:r>
          </w:p>
        </w:tc>
        <w:tc>
          <w:tcPr>
            <w:tcW w:w="5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6.63</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10.38</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11.11</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17.87</w:t>
            </w:r>
          </w:p>
        </w:tc>
        <w:tc>
          <w:tcPr>
            <w:tcW w:w="6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12.36</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10.76</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7.03</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5.34</w:t>
            </w:r>
          </w:p>
        </w:tc>
        <w:tc>
          <w:tcPr>
            <w:tcW w:w="6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100</w:t>
            </w:r>
          </w:p>
        </w:tc>
      </w:tr>
    </w:tbl>
    <w:p>
      <w:pPr>
        <w:spacing w:line="480" w:lineRule="auto"/>
        <w:ind w:firstLine="480" w:firstLineChars="200"/>
        <w:rPr>
          <w:rFonts w:hint="eastAsia" w:ascii="宋体" w:hAnsi="宋体" w:cs="宋体"/>
          <w:sz w:val="24"/>
        </w:rPr>
      </w:pPr>
      <w:r>
        <w:rPr>
          <w:rFonts w:hint="eastAsia" w:ascii="宋体" w:hAnsi="宋体" w:cs="宋体"/>
          <w:sz w:val="24"/>
        </w:rPr>
        <w:t>从表 1.1-2和表1.1-3可以看出，福海气象站最大月降水量出现在7月份，降水量占全年降水量的17.87%，最小月降水量出现在2月份，降水量占全年降水量的2.23%，降水量连续最大四个月出现在6~9月，占全年降水量的 52.1%,夏半年(4~9月)，占全年降水量的69.1%，冬半年(10~3月)，占全年降水量的 30.9%。降水量的季节分配夏季最大，冬季最小。</w:t>
      </w:r>
    </w:p>
    <w:p>
      <w:pPr>
        <w:spacing w:line="480" w:lineRule="auto"/>
        <w:ind w:firstLine="480" w:firstLineChars="200"/>
        <w:rPr>
          <w:rFonts w:hint="eastAsia" w:ascii="宋体" w:hAnsi="宋体" w:cs="宋体"/>
          <w:sz w:val="24"/>
        </w:rPr>
      </w:pPr>
      <w:r>
        <w:rPr>
          <w:rFonts w:hint="eastAsia" w:ascii="宋体" w:hAnsi="宋体" w:cs="宋体"/>
          <w:sz w:val="24"/>
        </w:rPr>
        <w:t>(3)水面蒸发</w:t>
      </w:r>
    </w:p>
    <w:p>
      <w:pPr>
        <w:spacing w:line="480" w:lineRule="auto"/>
        <w:ind w:firstLine="480" w:firstLineChars="200"/>
        <w:rPr>
          <w:rFonts w:hint="eastAsia" w:ascii="宋体" w:hAnsi="宋体" w:cs="宋体"/>
          <w:sz w:val="24"/>
        </w:rPr>
      </w:pPr>
      <w:r>
        <w:rPr>
          <w:rFonts w:hint="eastAsia" w:ascii="宋体" w:hAnsi="宋体" w:cs="宋体"/>
          <w:sz w:val="24"/>
        </w:rPr>
        <w:t>根据福海气象站20cm口径蒸发皿观测的蒸发量资料分析，多年平均水面蒸发量为1776.1mm,年最大蒸发量出现在7月，约占全年蒸发量的17.0%，最小月出现在1月，约占年蒸发量的0.46%。</w:t>
      </w:r>
    </w:p>
    <w:p>
      <w:pPr>
        <w:spacing w:line="480" w:lineRule="auto"/>
        <w:ind w:firstLine="480" w:firstLineChars="200"/>
        <w:rPr>
          <w:rFonts w:hint="eastAsia" w:ascii="宋体" w:hAnsi="宋体" w:cs="宋体"/>
          <w:sz w:val="24"/>
        </w:rPr>
      </w:pPr>
      <w:r>
        <w:rPr>
          <w:rFonts w:hint="eastAsia" w:ascii="宋体" w:hAnsi="宋体" w:cs="宋体"/>
          <w:sz w:val="24"/>
        </w:rPr>
        <w:t>(4)风速、风向</w:t>
      </w:r>
    </w:p>
    <w:p>
      <w:pPr>
        <w:spacing w:line="480" w:lineRule="auto"/>
        <w:ind w:firstLine="480" w:firstLineChars="200"/>
        <w:rPr>
          <w:rFonts w:hint="eastAsia" w:ascii="宋体" w:hAnsi="宋体" w:cs="宋体"/>
          <w:sz w:val="24"/>
          <w:lang w:eastAsia="zh-Hans"/>
        </w:rPr>
      </w:pPr>
      <w:r>
        <w:rPr>
          <w:rFonts w:hint="eastAsia" w:ascii="宋体" w:hAnsi="宋体" w:cs="宋体"/>
          <w:sz w:val="24"/>
        </w:rPr>
        <w:t>根据福海气象站实测统计资料，其多年平均风速2.8m/s;历年最大风速为21.7m/s，风向为NW;多年平均最大风速为 18.2m/s，风向为WNW。该站多年平均风速、风向统计见表1.1-4。</w:t>
      </w:r>
    </w:p>
    <w:tbl>
      <w:tblPr>
        <w:tblStyle w:val="8"/>
        <w:tblW w:w="9080" w:type="dxa"/>
        <w:jc w:val="center"/>
        <w:tblInd w:w="0" w:type="dxa"/>
        <w:tblLayout w:type="fixed"/>
        <w:tblCellMar>
          <w:top w:w="0" w:type="dxa"/>
          <w:left w:w="0" w:type="dxa"/>
          <w:bottom w:w="0" w:type="dxa"/>
          <w:right w:w="0" w:type="dxa"/>
        </w:tblCellMar>
      </w:tblPr>
      <w:tblGrid>
        <w:gridCol w:w="1390"/>
        <w:gridCol w:w="534"/>
        <w:gridCol w:w="534"/>
        <w:gridCol w:w="607"/>
        <w:gridCol w:w="604"/>
        <w:gridCol w:w="604"/>
        <w:gridCol w:w="607"/>
        <w:gridCol w:w="534"/>
        <w:gridCol w:w="534"/>
        <w:gridCol w:w="605"/>
        <w:gridCol w:w="676"/>
        <w:gridCol w:w="675"/>
        <w:gridCol w:w="578"/>
        <w:gridCol w:w="598"/>
      </w:tblGrid>
      <w:tr>
        <w:tblPrEx>
          <w:tblLayout w:type="fixed"/>
          <w:tblCellMar>
            <w:top w:w="0" w:type="dxa"/>
            <w:left w:w="0" w:type="dxa"/>
            <w:bottom w:w="0" w:type="dxa"/>
            <w:right w:w="0" w:type="dxa"/>
          </w:tblCellMar>
        </w:tblPrEx>
        <w:trPr>
          <w:trHeight w:val="562" w:hRule="atLeast"/>
          <w:jc w:val="center"/>
        </w:trPr>
        <w:tc>
          <w:tcPr>
            <w:tcW w:w="9080" w:type="dxa"/>
            <w:gridSpan w:val="14"/>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表1.1-4                      福海气象站多年平均风速、风向统计表        单位：m/s</w:t>
            </w:r>
          </w:p>
        </w:tc>
      </w:tr>
      <w:tr>
        <w:tblPrEx>
          <w:tblLayout w:type="fixed"/>
          <w:tblCellMar>
            <w:top w:w="0" w:type="dxa"/>
            <w:left w:w="0" w:type="dxa"/>
            <w:bottom w:w="0" w:type="dxa"/>
            <w:right w:w="0" w:type="dxa"/>
          </w:tblCellMar>
        </w:tblPrEx>
        <w:trPr>
          <w:trHeight w:val="353" w:hRule="atLeast"/>
          <w:jc w:val="center"/>
        </w:trPr>
        <w:tc>
          <w:tcPr>
            <w:tcW w:w="1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项目</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1月</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2月</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3月</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6月</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7月</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8月</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9月</w:t>
            </w:r>
          </w:p>
        </w:tc>
        <w:tc>
          <w:tcPr>
            <w:tcW w:w="6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10月</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11月</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12月</w:t>
            </w:r>
          </w:p>
        </w:tc>
        <w:tc>
          <w:tcPr>
            <w:tcW w:w="5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全年</w:t>
            </w:r>
          </w:p>
        </w:tc>
      </w:tr>
      <w:tr>
        <w:tblPrEx>
          <w:tblLayout w:type="fixed"/>
          <w:tblCellMar>
            <w:top w:w="0" w:type="dxa"/>
            <w:left w:w="0" w:type="dxa"/>
            <w:bottom w:w="0" w:type="dxa"/>
            <w:right w:w="0" w:type="dxa"/>
          </w:tblCellMar>
        </w:tblPrEx>
        <w:trPr>
          <w:trHeight w:val="353" w:hRule="atLeast"/>
          <w:jc w:val="center"/>
        </w:trPr>
        <w:tc>
          <w:tcPr>
            <w:tcW w:w="1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平均值</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2.7</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3.7</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3.5</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6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2.3</w:t>
            </w:r>
          </w:p>
        </w:tc>
        <w:tc>
          <w:tcPr>
            <w:tcW w:w="5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r>
      <w:tr>
        <w:tblPrEx>
          <w:tblLayout w:type="fixed"/>
          <w:tblCellMar>
            <w:top w:w="0" w:type="dxa"/>
            <w:left w:w="0" w:type="dxa"/>
            <w:bottom w:w="0" w:type="dxa"/>
            <w:right w:w="0" w:type="dxa"/>
          </w:tblCellMar>
        </w:tblPrEx>
        <w:trPr>
          <w:trHeight w:val="353" w:hRule="atLeast"/>
          <w:jc w:val="center"/>
        </w:trPr>
        <w:tc>
          <w:tcPr>
            <w:tcW w:w="1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极端最高</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14</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15.3</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21.7</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19.7</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17.3</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w:t>
            </w:r>
          </w:p>
        </w:tc>
        <w:tc>
          <w:tcPr>
            <w:tcW w:w="6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18.7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17.6</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15.3</w:t>
            </w:r>
          </w:p>
        </w:tc>
        <w:tc>
          <w:tcPr>
            <w:tcW w:w="5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21.7</w:t>
            </w:r>
          </w:p>
        </w:tc>
      </w:tr>
      <w:tr>
        <w:tblPrEx>
          <w:tblLayout w:type="fixed"/>
          <w:tblCellMar>
            <w:top w:w="0" w:type="dxa"/>
            <w:left w:w="0" w:type="dxa"/>
            <w:bottom w:w="0" w:type="dxa"/>
            <w:right w:w="0" w:type="dxa"/>
          </w:tblCellMar>
        </w:tblPrEx>
        <w:trPr>
          <w:trHeight w:val="353" w:hRule="atLeast"/>
          <w:jc w:val="center"/>
        </w:trPr>
        <w:tc>
          <w:tcPr>
            <w:tcW w:w="1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极端最低</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SE</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SE</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SE</w:t>
            </w:r>
          </w:p>
        </w:tc>
        <w:tc>
          <w:tcPr>
            <w:tcW w:w="6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NW</w:t>
            </w:r>
          </w:p>
        </w:tc>
        <w:tc>
          <w:tcPr>
            <w:tcW w:w="6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NW</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NW</w:t>
            </w:r>
          </w:p>
        </w:tc>
        <w:tc>
          <w:tcPr>
            <w:tcW w:w="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WNW</w:t>
            </w:r>
          </w:p>
        </w:tc>
        <w:tc>
          <w:tcPr>
            <w:tcW w:w="6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NWNW</w:t>
            </w:r>
          </w:p>
        </w:tc>
        <w:tc>
          <w:tcPr>
            <w:tcW w:w="6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SE</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WNW</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SE</w:t>
            </w:r>
          </w:p>
        </w:tc>
        <w:tc>
          <w:tcPr>
            <w:tcW w:w="5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NW</w:t>
            </w:r>
          </w:p>
        </w:tc>
      </w:tr>
      <w:tr>
        <w:tblPrEx>
          <w:tblLayout w:type="fixed"/>
          <w:tblCellMar>
            <w:top w:w="0" w:type="dxa"/>
            <w:left w:w="0" w:type="dxa"/>
            <w:bottom w:w="0" w:type="dxa"/>
            <w:right w:w="0" w:type="dxa"/>
          </w:tblCellMar>
        </w:tblPrEx>
        <w:trPr>
          <w:trHeight w:val="382" w:hRule="atLeast"/>
          <w:jc w:val="center"/>
        </w:trPr>
        <w:tc>
          <w:tcPr>
            <w:tcW w:w="9080" w:type="dxa"/>
            <w:gridSpan w:val="1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备注：最大风速为10分钟内的平均最大风速</w:t>
            </w:r>
          </w:p>
        </w:tc>
      </w:tr>
    </w:tbl>
    <w:p>
      <w:pPr>
        <w:spacing w:line="480" w:lineRule="auto"/>
        <w:ind w:firstLine="480" w:firstLineChars="200"/>
        <w:rPr>
          <w:rFonts w:hint="eastAsia" w:ascii="宋体" w:hAnsi="宋体" w:cs="宋体"/>
          <w:sz w:val="24"/>
        </w:rPr>
      </w:pPr>
      <w:r>
        <w:rPr>
          <w:rFonts w:hint="eastAsia" w:ascii="宋体" w:hAnsi="宋体" w:cs="宋体"/>
          <w:sz w:val="24"/>
        </w:rPr>
        <w:t>(5)冻土、积雪</w:t>
      </w:r>
    </w:p>
    <w:p>
      <w:pPr>
        <w:spacing w:line="480" w:lineRule="auto"/>
        <w:ind w:firstLine="480" w:firstLineChars="200"/>
        <w:rPr>
          <w:rFonts w:hint="eastAsia" w:ascii="宋体" w:hAnsi="宋体" w:cs="宋体"/>
          <w:sz w:val="24"/>
        </w:rPr>
      </w:pPr>
      <w:r>
        <w:rPr>
          <w:rFonts w:hint="eastAsia" w:ascii="宋体" w:hAnsi="宋体" w:cs="宋体"/>
          <w:sz w:val="24"/>
        </w:rPr>
        <w:t>根据福海气象站实测统计资料，历年最大冻土深207cm，历年最大积雪深为30cm。福海气象站多年平均最大冻土深及积雪深统计见表1.1-5。</w:t>
      </w:r>
    </w:p>
    <w:tbl>
      <w:tblPr>
        <w:tblStyle w:val="8"/>
        <w:tblW w:w="9091" w:type="dxa"/>
        <w:tblInd w:w="-391" w:type="dxa"/>
        <w:tblLayout w:type="fixed"/>
        <w:tblCellMar>
          <w:top w:w="0" w:type="dxa"/>
          <w:left w:w="0" w:type="dxa"/>
          <w:bottom w:w="0" w:type="dxa"/>
          <w:right w:w="0" w:type="dxa"/>
        </w:tblCellMar>
      </w:tblPr>
      <w:tblGrid>
        <w:gridCol w:w="1579"/>
        <w:gridCol w:w="458"/>
        <w:gridCol w:w="517"/>
        <w:gridCol w:w="456"/>
        <w:gridCol w:w="518"/>
        <w:gridCol w:w="638"/>
        <w:gridCol w:w="638"/>
        <w:gridCol w:w="638"/>
        <w:gridCol w:w="639"/>
        <w:gridCol w:w="638"/>
        <w:gridCol w:w="578"/>
        <w:gridCol w:w="578"/>
        <w:gridCol w:w="578"/>
        <w:gridCol w:w="638"/>
      </w:tblGrid>
      <w:tr>
        <w:tblPrEx>
          <w:tblLayout w:type="fixed"/>
          <w:tblCellMar>
            <w:top w:w="0" w:type="dxa"/>
            <w:left w:w="0" w:type="dxa"/>
            <w:bottom w:w="0" w:type="dxa"/>
            <w:right w:w="0" w:type="dxa"/>
          </w:tblCellMar>
        </w:tblPrEx>
        <w:trPr>
          <w:trHeight w:val="511" w:hRule="atLeast"/>
        </w:trPr>
        <w:tc>
          <w:tcPr>
            <w:tcW w:w="9091" w:type="dxa"/>
            <w:gridSpan w:val="14"/>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表1.1-5            福海县气象站多年最大平均冻土深、积雪深统计表           单位：㎝</w:t>
            </w:r>
          </w:p>
        </w:tc>
      </w:tr>
      <w:tr>
        <w:tblPrEx>
          <w:tblLayout w:type="fixed"/>
          <w:tblCellMar>
            <w:top w:w="0" w:type="dxa"/>
            <w:left w:w="0" w:type="dxa"/>
            <w:bottom w:w="0" w:type="dxa"/>
            <w:right w:w="0" w:type="dxa"/>
          </w:tblCellMar>
        </w:tblPrEx>
        <w:trPr>
          <w:trHeight w:val="434" w:hRule="atLeast"/>
        </w:trPr>
        <w:tc>
          <w:tcPr>
            <w:tcW w:w="1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项目</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1月</w:t>
            </w: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2月</w:t>
            </w:r>
          </w:p>
        </w:tc>
        <w:tc>
          <w:tcPr>
            <w:tcW w:w="4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3月</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4月</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5月</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6月</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7月</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8月</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9月</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10月</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11月</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12月</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全年</w:t>
            </w:r>
          </w:p>
        </w:tc>
      </w:tr>
      <w:tr>
        <w:tblPrEx>
          <w:tblLayout w:type="fixed"/>
          <w:tblCellMar>
            <w:top w:w="0" w:type="dxa"/>
            <w:left w:w="0" w:type="dxa"/>
            <w:bottom w:w="0" w:type="dxa"/>
            <w:right w:w="0" w:type="dxa"/>
          </w:tblCellMar>
        </w:tblPrEx>
        <w:trPr>
          <w:trHeight w:val="434" w:hRule="atLeast"/>
        </w:trPr>
        <w:tc>
          <w:tcPr>
            <w:tcW w:w="1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降水量（㎜）</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5.2</w:t>
            </w: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2.8</w:t>
            </w:r>
          </w:p>
        </w:tc>
        <w:tc>
          <w:tcPr>
            <w:tcW w:w="4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4.5</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8.2</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12.9</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13.8</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22.2</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15.4</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13.4</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10.6</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8.7</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124.2</w:t>
            </w:r>
          </w:p>
        </w:tc>
      </w:tr>
      <w:tr>
        <w:tblPrEx>
          <w:tblLayout w:type="fixed"/>
          <w:tblCellMar>
            <w:top w:w="0" w:type="dxa"/>
            <w:left w:w="0" w:type="dxa"/>
            <w:bottom w:w="0" w:type="dxa"/>
            <w:right w:w="0" w:type="dxa"/>
          </w:tblCellMar>
        </w:tblPrEx>
        <w:trPr>
          <w:trHeight w:val="443" w:hRule="atLeast"/>
        </w:trPr>
        <w:tc>
          <w:tcPr>
            <w:tcW w:w="15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w:t>
            </w:r>
          </w:p>
        </w:tc>
        <w:tc>
          <w:tcPr>
            <w:tcW w:w="4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0.2</w:t>
            </w: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2.23</w:t>
            </w:r>
          </w:p>
        </w:tc>
        <w:tc>
          <w:tcPr>
            <w:tcW w:w="4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3.6</w:t>
            </w:r>
          </w:p>
        </w:tc>
        <w:tc>
          <w:tcPr>
            <w:tcW w:w="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6.63</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10.38</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11.11</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17.87</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12.36</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10.76</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7.03</w:t>
            </w:r>
          </w:p>
        </w:tc>
        <w:tc>
          <w:tcPr>
            <w:tcW w:w="5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5.34</w:t>
            </w:r>
          </w:p>
        </w:tc>
        <w:tc>
          <w:tcPr>
            <w:tcW w:w="6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100</w:t>
            </w:r>
          </w:p>
        </w:tc>
      </w:tr>
    </w:tbl>
    <w:p>
      <w:pPr>
        <w:spacing w:line="480" w:lineRule="auto"/>
        <w:ind w:firstLine="482" w:firstLineChars="200"/>
        <w:rPr>
          <w:rFonts w:hint="eastAsia" w:ascii="宋体"/>
          <w:b/>
          <w:bCs/>
          <w:snapToGrid w:val="0"/>
          <w:kern w:val="0"/>
          <w:sz w:val="24"/>
        </w:rPr>
      </w:pPr>
      <w:bookmarkStart w:id="81" w:name="_Toc29044_WPSOffice_Level2"/>
      <w:bookmarkStart w:id="82" w:name="_Toc8781_WPSOffice_Level2"/>
      <w:r>
        <w:rPr>
          <w:rFonts w:hint="eastAsia" w:ascii="宋体"/>
          <w:b/>
          <w:bCs/>
          <w:snapToGrid w:val="0"/>
          <w:kern w:val="0"/>
          <w:sz w:val="24"/>
        </w:rPr>
        <w:t>1.1.3工程地质</w:t>
      </w:r>
      <w:bookmarkEnd w:id="81"/>
      <w:bookmarkEnd w:id="82"/>
    </w:p>
    <w:p>
      <w:pPr>
        <w:spacing w:line="480" w:lineRule="auto"/>
        <w:ind w:firstLine="482" w:firstLineChars="200"/>
        <w:rPr>
          <w:rFonts w:hint="eastAsia" w:ascii="宋体"/>
          <w:b/>
          <w:bCs/>
          <w:snapToGrid w:val="0"/>
          <w:kern w:val="0"/>
          <w:sz w:val="24"/>
        </w:rPr>
      </w:pPr>
      <w:bookmarkStart w:id="83" w:name="_Toc974_WPSOffice_Level3"/>
      <w:bookmarkStart w:id="84" w:name="_Toc2205_WPSOffice_Level3"/>
      <w:r>
        <w:rPr>
          <w:rFonts w:hint="eastAsia" w:ascii="宋体"/>
          <w:b/>
          <w:bCs/>
          <w:snapToGrid w:val="0"/>
          <w:kern w:val="0"/>
          <w:sz w:val="24"/>
        </w:rPr>
        <w:t>1.1.3.1区域地质</w:t>
      </w:r>
      <w:bookmarkEnd w:id="83"/>
      <w:bookmarkEnd w:id="84"/>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(1)萨尔铁列克水库</w:t>
      </w:r>
    </w:p>
    <w:p>
      <w:pPr>
        <w:spacing w:line="480" w:lineRule="auto"/>
        <w:ind w:firstLine="480" w:firstLineChars="200"/>
        <w:rPr>
          <w:rFonts w:hint="eastAsia" w:ascii="宋体" w:hAnsi="宋体" w:cs="宋体"/>
          <w:sz w:val="24"/>
        </w:rPr>
      </w:pPr>
      <w:r>
        <w:rPr>
          <w:rFonts w:hint="eastAsia" w:ascii="宋体" w:hAnsi="宋体" w:cs="宋体"/>
          <w:sz w:val="24"/>
        </w:rPr>
        <w:t>库区位于阿勒泰山前，乌伦古河主河道上，阿勒泰山前戈壁平原的一部分，测区范围内，地貌成因类型以构造，剥蚀作用为主。</w:t>
      </w:r>
    </w:p>
    <w:p>
      <w:pPr>
        <w:spacing w:line="480" w:lineRule="auto"/>
        <w:ind w:firstLine="480" w:firstLineChars="200"/>
        <w:rPr>
          <w:rFonts w:hint="eastAsia" w:ascii="宋体" w:hAnsi="宋体" w:cs="宋体"/>
          <w:sz w:val="24"/>
        </w:rPr>
      </w:pPr>
      <w:r>
        <w:rPr>
          <w:rFonts w:hint="eastAsia" w:ascii="宋体" w:hAnsi="宋体" w:cs="宋体"/>
          <w:sz w:val="24"/>
        </w:rPr>
        <w:t>地貌主要为河流峡谷、冲积平原、剥蚀残丘和半固定砂丘。</w:t>
      </w:r>
    </w:p>
    <w:p>
      <w:pPr>
        <w:spacing w:line="480" w:lineRule="auto"/>
        <w:ind w:firstLine="480" w:firstLineChars="200"/>
        <w:rPr>
          <w:rFonts w:hint="eastAsia" w:ascii="宋体" w:hAnsi="宋体" w:cs="宋体"/>
          <w:sz w:val="24"/>
        </w:rPr>
      </w:pPr>
      <w:r>
        <w:rPr>
          <w:rFonts w:hint="eastAsia" w:ascii="宋体" w:hAnsi="宋体" w:cs="宋体"/>
          <w:sz w:val="24"/>
        </w:rPr>
        <w:t>本区位于蒙古弧形构造带的西翼与准葛尔弧形构造带的东翼之间的过渡地带，大的区域地处北西一一南东向的大型复背斜(见构造纲要图)内。区域内以乌伦古河大断裂为界，断裂以南沉积分布泥盆系地层，断裂以北则主要为石炭系中统地层。</w:t>
      </w:r>
    </w:p>
    <w:p>
      <w:pPr>
        <w:spacing w:line="480" w:lineRule="auto"/>
        <w:ind w:firstLine="480" w:firstLineChars="200"/>
        <w:rPr>
          <w:rFonts w:hint="eastAsia" w:ascii="宋体" w:hAnsi="宋体" w:cs="宋体"/>
          <w:sz w:val="24"/>
        </w:rPr>
      </w:pPr>
      <w:r>
        <w:rPr>
          <w:rFonts w:hint="eastAsia" w:ascii="宋体" w:hAnsi="宋体" w:cs="宋体"/>
          <w:sz w:val="24"/>
        </w:rPr>
        <w:t>库坝区不是处在区域应力场最集中地地方。库区及附近未发现活动断裂，新构造运动应处在相对稳定期内。依据20</w:t>
      </w:r>
      <w:r>
        <w:rPr>
          <w:rFonts w:hint="eastAsia" w:ascii="宋体" w:hAnsi="宋体" w:cs="宋体"/>
          <w:sz w:val="24"/>
          <w:lang w:val="en-US" w:eastAsia="zh-CN"/>
        </w:rPr>
        <w:t>15</w:t>
      </w:r>
      <w:r>
        <w:rPr>
          <w:rFonts w:hint="eastAsia" w:ascii="宋体" w:hAnsi="宋体" w:cs="宋体"/>
          <w:sz w:val="24"/>
        </w:rPr>
        <w:t>年版1:400万《中国地震动峰值加速度区划图》GB-18306-20</w:t>
      </w:r>
      <w:r>
        <w:rPr>
          <w:rFonts w:hint="eastAsia" w:ascii="宋体" w:hAnsi="宋体" w:cs="宋体"/>
          <w:sz w:val="24"/>
          <w:lang w:val="en-US" w:eastAsia="zh-CN"/>
        </w:rPr>
        <w:t>15</w:t>
      </w:r>
      <w:r>
        <w:rPr>
          <w:rFonts w:hint="eastAsia" w:ascii="宋体" w:hAnsi="宋体" w:cs="宋体"/>
          <w:sz w:val="24"/>
        </w:rPr>
        <w:t>标准，该区的地震动峰值加速度为0.</w:t>
      </w:r>
      <w:r>
        <w:rPr>
          <w:rFonts w:hint="eastAsia" w:ascii="宋体" w:hAnsi="宋体" w:cs="宋体"/>
          <w:sz w:val="24"/>
          <w:lang w:val="en-US" w:eastAsia="zh-CN"/>
        </w:rPr>
        <w:t>05</w:t>
      </w:r>
      <w:r>
        <w:rPr>
          <w:rFonts w:hint="eastAsia" w:ascii="宋体" w:hAnsi="宋体" w:cs="宋体"/>
          <w:sz w:val="24"/>
        </w:rPr>
        <w:t>g，对应的地震烈度为Ⅶ度。据《中国地震动反应谱特征周期区划图》(GB18306-20</w:t>
      </w:r>
      <w:r>
        <w:rPr>
          <w:rFonts w:hint="eastAsia" w:ascii="宋体" w:hAnsi="宋体" w:cs="宋体"/>
          <w:sz w:val="24"/>
          <w:lang w:val="en-US" w:eastAsia="zh-CN"/>
        </w:rPr>
        <w:t>15</w:t>
      </w:r>
      <w:r>
        <w:rPr>
          <w:rFonts w:hint="eastAsia" w:ascii="宋体" w:hAnsi="宋体" w:cs="宋体"/>
          <w:sz w:val="24"/>
        </w:rPr>
        <w:t>,图B1)特征周期为0.4</w:t>
      </w:r>
      <w:r>
        <w:rPr>
          <w:rFonts w:hint="eastAsia" w:ascii="宋体" w:hAnsi="宋体" w:cs="宋体"/>
          <w:sz w:val="24"/>
          <w:lang w:val="en-US" w:eastAsia="zh-CN"/>
        </w:rPr>
        <w:t>5</w:t>
      </w:r>
      <w:r>
        <w:rPr>
          <w:rFonts w:hint="eastAsia" w:ascii="宋体" w:hAnsi="宋体" w:cs="宋体"/>
          <w:sz w:val="24"/>
        </w:rPr>
        <w:t>S，属构造稳定区。</w:t>
      </w:r>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(2)杜热水库</w:t>
      </w:r>
    </w:p>
    <w:p>
      <w:pPr>
        <w:spacing w:line="480" w:lineRule="auto"/>
        <w:ind w:firstLine="480" w:firstLineChars="200"/>
        <w:rPr>
          <w:rFonts w:hint="eastAsia" w:ascii="宋体" w:hAnsi="宋体" w:cs="宋体"/>
          <w:sz w:val="24"/>
        </w:rPr>
      </w:pPr>
      <w:r>
        <w:rPr>
          <w:rFonts w:hint="eastAsia" w:ascii="宋体" w:hAnsi="宋体" w:cs="宋体"/>
          <w:sz w:val="24"/>
        </w:rPr>
        <w:t>库区属乌伦古河中下游冲积平原的河谷地貌,现代河谷由漫滩及一级阶地组成。库坝区南岸分布二级阶地，北岸发育三、四级高阶地阶地，坝址区古老基岩出露构成残丘。二级阶地分布于南北外围，高出一级接地20-30m,为基座式阶地。此外北部还发育三、四级阶地，分别高出一级阶地40m及60m，全属基座阶地。总体地势北高南低，东高西低，由北东向南西倾斜，乌伦古河为区域最低侵蚀基准面，总体流向为南东一北西向，顺乌伦古河谷地势又表现为由两岸倾向河谷中心偏下游。</w:t>
      </w:r>
    </w:p>
    <w:p>
      <w:pPr>
        <w:spacing w:line="480" w:lineRule="auto"/>
        <w:ind w:left="239" w:leftChars="114" w:firstLine="240" w:firstLineChars="100"/>
        <w:rPr>
          <w:rFonts w:hint="eastAsia" w:ascii="宋体"/>
          <w:b/>
          <w:bCs/>
          <w:snapToGrid w:val="0"/>
          <w:kern w:val="0"/>
          <w:sz w:val="24"/>
        </w:rPr>
      </w:pPr>
      <w:r>
        <w:rPr>
          <w:rFonts w:hint="eastAsia" w:ascii="宋体" w:hAnsi="宋体" w:cs="宋体"/>
          <w:sz w:val="24"/>
        </w:rPr>
        <w:t>库区范围内出露地层由老至新有泥盆系(D2b)、第三系(N2)及第四系(Q)。(3)</w:t>
      </w:r>
      <w:r>
        <w:rPr>
          <w:rFonts w:hint="eastAsia" w:ascii="宋体"/>
          <w:b/>
          <w:bCs/>
          <w:snapToGrid w:val="0"/>
          <w:kern w:val="0"/>
          <w:sz w:val="24"/>
        </w:rPr>
        <w:t>（3）广汇煤制气供水工程</w:t>
      </w:r>
    </w:p>
    <w:p>
      <w:pPr>
        <w:spacing w:line="480" w:lineRule="auto"/>
        <w:ind w:firstLine="480" w:firstLineChars="200"/>
        <w:rPr>
          <w:rFonts w:hint="eastAsia" w:ascii="宋体" w:hAnsi="宋体" w:eastAsia="宋体" w:cs="宋体"/>
          <w:sz w:val="24"/>
          <w:lang w:eastAsia="zh-CN"/>
        </w:rPr>
      </w:pPr>
      <w:r>
        <w:rPr>
          <w:rFonts w:hint="eastAsia" w:ascii="宋体" w:hAnsi="宋体" w:cs="宋体"/>
          <w:sz w:val="24"/>
        </w:rPr>
        <w:t>供水工程自乌伦古河恰库尔图镇哈西翁村建坝取水后以渡槽、座槽等渠系建筑物向西偏南穿越河床左岸的漫滩、I级阶地至一泵站，然后向南以压力管道穿越丘陵及洪积戈壁平原,至8+638后进入基岩低山丘陵区,至58+000进入洪积戈壁平原。库区、坝址工程地质条件</w:t>
      </w:r>
      <w:r>
        <w:rPr>
          <w:rFonts w:hint="eastAsia" w:ascii="宋体" w:hAnsi="宋体" w:cs="宋体"/>
          <w:sz w:val="24"/>
          <w:lang w:eastAsia="zh-CN"/>
        </w:rPr>
        <w:t>。</w:t>
      </w:r>
    </w:p>
    <w:p>
      <w:pPr>
        <w:spacing w:line="480" w:lineRule="auto"/>
        <w:ind w:firstLine="480" w:firstLineChars="200"/>
        <w:rPr>
          <w:rFonts w:hint="eastAsia" w:ascii="宋体" w:hAnsi="宋体" w:cs="宋体"/>
          <w:sz w:val="24"/>
        </w:rPr>
      </w:pPr>
      <w:r>
        <w:rPr>
          <w:rFonts w:hint="eastAsia" w:ascii="宋体" w:hAnsi="宋体" w:cs="宋体"/>
          <w:sz w:val="24"/>
        </w:rPr>
        <w:t>(1)该水库为河槽型水库，库岸由岩质岸坡和砂砾石岸坡组成，仅局部存在库岸再造问题，塌岸方量很小，也不存在水库渗漏问题。</w:t>
      </w:r>
    </w:p>
    <w:p>
      <w:pPr>
        <w:spacing w:line="480" w:lineRule="auto"/>
        <w:ind w:firstLine="480" w:firstLineChars="200"/>
        <w:rPr>
          <w:rFonts w:hint="eastAsia" w:ascii="宋体" w:hAnsi="宋体" w:cs="宋体"/>
          <w:sz w:val="24"/>
        </w:rPr>
      </w:pPr>
      <w:r>
        <w:rPr>
          <w:rFonts w:hint="eastAsia" w:ascii="宋体" w:hAnsi="宋体" w:cs="宋体"/>
          <w:sz w:val="24"/>
        </w:rPr>
        <w:t>(2)坝轴线河床、河漫滩砂砾石层厚度6~8.7m,下伏中石炭统安山岩、Y4花岗岩，无大断裂及活动性断裂构造发育，工程地质条件较为简单。砂砾石坝段位于乌伦古河左岸河漫滩。</w:t>
      </w:r>
    </w:p>
    <w:p>
      <w:pPr>
        <w:spacing w:line="480" w:lineRule="auto"/>
        <w:ind w:firstLine="480" w:firstLineChars="200"/>
        <w:rPr>
          <w:rFonts w:hint="eastAsia" w:ascii="宋体" w:hAnsi="宋体" w:cs="宋体"/>
          <w:sz w:val="24"/>
        </w:rPr>
      </w:pPr>
      <w:r>
        <w:rPr>
          <w:rFonts w:hint="eastAsia" w:ascii="宋体" w:hAnsi="宋体" w:cs="宋体"/>
          <w:sz w:val="24"/>
        </w:rPr>
        <w:t>泵站及输水管线工程地质条件：</w:t>
      </w:r>
    </w:p>
    <w:p>
      <w:pPr>
        <w:spacing w:line="480" w:lineRule="auto"/>
        <w:ind w:firstLine="480" w:firstLineChars="200"/>
        <w:rPr>
          <w:rFonts w:hint="eastAsia" w:ascii="宋体" w:hAnsi="宋体" w:cs="宋体"/>
          <w:sz w:val="24"/>
        </w:rPr>
      </w:pPr>
      <w:r>
        <w:rPr>
          <w:rFonts w:hint="eastAsia" w:ascii="宋体" w:hAnsi="宋体" w:cs="宋体"/>
          <w:sz w:val="24"/>
        </w:rPr>
        <w:t>(1)一泵站处于乌伦古河左岸I级阶地后缘，泵站厂房、前池以细砂为地基，二泵站处于山前洪积倾斜平原，泵站厂房、前池以含砾砂为地基，三泵站、四泵站处于基岩低山丘陵区，需清除表部覆盖层及基岩强风化层，将泵站厂房基础、前池等置于弱风化岩石中。</w:t>
      </w:r>
    </w:p>
    <w:p>
      <w:pPr>
        <w:spacing w:line="480" w:lineRule="auto"/>
        <w:ind w:firstLine="480" w:firstLineChars="200"/>
        <w:rPr>
          <w:rFonts w:hint="eastAsia" w:ascii="宋体" w:hAnsi="宋体" w:cs="宋体"/>
          <w:sz w:val="24"/>
        </w:rPr>
      </w:pPr>
      <w:r>
        <w:rPr>
          <w:rFonts w:hint="eastAsia" w:ascii="宋体" w:hAnsi="宋体" w:cs="宋体"/>
          <w:sz w:val="24"/>
        </w:rPr>
        <w:t>(2)供水管线经四级泵站提水，自一泵站起，供水管线向西南、南穿越洪积戈壁平原、基岩低山丘陵等，止于蓄水池南，管道地基岩土类型主要有plQ4含砾砂等，其中岩质坚硬，开挖困难。</w:t>
      </w:r>
    </w:p>
    <w:p>
      <w:pPr>
        <w:spacing w:line="480" w:lineRule="auto"/>
        <w:ind w:firstLine="480" w:firstLineChars="200"/>
        <w:rPr>
          <w:rFonts w:hint="eastAsia" w:ascii="宋体" w:hAnsi="宋体" w:cs="宋体"/>
          <w:sz w:val="24"/>
        </w:rPr>
      </w:pPr>
      <w:r>
        <w:rPr>
          <w:rFonts w:hint="eastAsia" w:ascii="宋体" w:hAnsi="宋体" w:cs="宋体"/>
          <w:sz w:val="24"/>
        </w:rPr>
        <w:t>蓄水池工程地质条件：</w:t>
      </w:r>
    </w:p>
    <w:p>
      <w:pPr>
        <w:spacing w:line="480" w:lineRule="auto"/>
        <w:ind w:firstLine="480" w:firstLineChars="200"/>
        <w:rPr>
          <w:rFonts w:hint="eastAsia" w:ascii="宋体" w:hAnsi="宋体" w:cs="宋体"/>
          <w:sz w:val="24"/>
        </w:rPr>
      </w:pPr>
      <w:r>
        <w:rPr>
          <w:rFonts w:hint="eastAsia" w:ascii="宋体" w:hAnsi="宋体" w:cs="宋体"/>
          <w:sz w:val="24"/>
        </w:rPr>
        <w:t>调蓄水池地基为N砂质泥岩，开挖裸露后易风化，岩土体中夹有石膏或透镜体，对混凝土具有腐蚀性。</w:t>
      </w:r>
    </w:p>
    <w:p>
      <w:pPr>
        <w:spacing w:line="480" w:lineRule="auto"/>
        <w:ind w:firstLine="482" w:firstLineChars="200"/>
        <w:rPr>
          <w:rFonts w:hint="eastAsia" w:ascii="宋体"/>
          <w:b/>
          <w:bCs/>
          <w:snapToGrid w:val="0"/>
          <w:kern w:val="0"/>
          <w:sz w:val="24"/>
        </w:rPr>
      </w:pPr>
      <w:bookmarkStart w:id="85" w:name="_Toc12642_WPSOffice_Level3"/>
      <w:bookmarkStart w:id="86" w:name="_Toc21024_WPSOffice_Level3"/>
      <w:r>
        <w:rPr>
          <w:rFonts w:hint="eastAsia" w:ascii="宋体"/>
          <w:b/>
          <w:bCs/>
          <w:snapToGrid w:val="0"/>
          <w:kern w:val="0"/>
          <w:sz w:val="24"/>
        </w:rPr>
        <w:t>1.1.3.2水文地质和工程地质</w:t>
      </w:r>
      <w:bookmarkEnd w:id="85"/>
      <w:bookmarkEnd w:id="86"/>
    </w:p>
    <w:p>
      <w:pPr>
        <w:spacing w:line="480" w:lineRule="auto"/>
        <w:ind w:firstLine="482" w:firstLineChars="200"/>
        <w:rPr>
          <w:rFonts w:hint="eastAsia" w:ascii="宋体"/>
          <w:b/>
          <w:bCs/>
          <w:snapToGrid w:val="0"/>
          <w:kern w:val="0"/>
          <w:sz w:val="24"/>
        </w:rPr>
      </w:pPr>
      <w:bookmarkStart w:id="87" w:name="_Toc9536_WPSOffice_Level3"/>
      <w:bookmarkStart w:id="88" w:name="_Toc8994_WPSOffice_Level3"/>
      <w:r>
        <w:rPr>
          <w:rFonts w:hint="eastAsia" w:ascii="宋体"/>
          <w:b/>
          <w:bCs/>
          <w:snapToGrid w:val="0"/>
          <w:kern w:val="0"/>
          <w:sz w:val="24"/>
        </w:rPr>
        <w:t>1)水文地质</w:t>
      </w:r>
      <w:bookmarkEnd w:id="87"/>
      <w:bookmarkEnd w:id="88"/>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(1)萨尔铁列克水库</w:t>
      </w:r>
    </w:p>
    <w:p>
      <w:pPr>
        <w:spacing w:line="480" w:lineRule="auto"/>
        <w:ind w:firstLine="480" w:firstLineChars="200"/>
        <w:rPr>
          <w:rFonts w:hint="eastAsia" w:ascii="宋体" w:hAnsi="宋体" w:cs="宋体"/>
          <w:sz w:val="24"/>
        </w:rPr>
      </w:pPr>
      <w:r>
        <w:rPr>
          <w:rFonts w:hint="eastAsia" w:ascii="宋体" w:hAnsi="宋体" w:cs="宋体"/>
          <w:sz w:val="24"/>
        </w:rPr>
        <w:t>区域地处准噶尔盆地北缘、阿尔泰山西南坡以南的低山丘陵区，干旱少雨，年蒸发量是年降水量的10倍左右，为典型的大陆性干旱气候。地下水补给源贫乏,主要靠大气降水、融雪水和河水补给。区域范围内泥盆系地层及华力西期侵入岩，高程在710.00m以上,由于缺乏有效的补给，除断裂带见地下水溢出带外，裂隙水十分贫乏，且埋藏很深，岩层富水性贫乏。</w:t>
      </w:r>
    </w:p>
    <w:p>
      <w:pPr>
        <w:spacing w:line="480" w:lineRule="auto"/>
        <w:ind w:firstLine="480" w:firstLineChars="200"/>
        <w:rPr>
          <w:rFonts w:hint="eastAsia" w:ascii="宋体" w:hAnsi="宋体" w:cs="宋体"/>
          <w:sz w:val="24"/>
        </w:rPr>
      </w:pPr>
      <w:r>
        <w:rPr>
          <w:rFonts w:hint="eastAsia" w:ascii="宋体" w:hAnsi="宋体" w:cs="宋体"/>
          <w:sz w:val="24"/>
        </w:rPr>
        <w:t>沿乌伦古河谷I级阶地和河漫滩冲积砂卵砾石层因傍河而补给源充足,含有丰富的孔隙潜水，水位埋深2.0-3.5m。II、Ⅲ级阶地及其阶地后缘的山前洪积扇、裙的砂砾石层及碎石砾砂土层，由于所处位置较高补给源有限，主要接受季节性冰雪融化水及暴雨洪水的季节性临时补给，除局部地形、地质条件较好含有季节性浅层地下水外，大部地区无地下水。</w:t>
      </w:r>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(2)杜热水库</w:t>
      </w:r>
    </w:p>
    <w:p>
      <w:pPr>
        <w:spacing w:line="480" w:lineRule="auto"/>
        <w:ind w:firstLine="480" w:firstLineChars="200"/>
        <w:rPr>
          <w:rFonts w:hint="eastAsia" w:ascii="宋体" w:hAnsi="宋体" w:cs="宋体"/>
          <w:sz w:val="24"/>
        </w:rPr>
      </w:pPr>
      <w:r>
        <w:rPr>
          <w:rFonts w:hint="eastAsia" w:ascii="宋体" w:hAnsi="宋体" w:cs="宋体"/>
          <w:sz w:val="24"/>
        </w:rPr>
        <w:t>坝址区地下水按成因类型可分为基岩裂隙水和第四系松散堆积层中的孔隙潜水两类。</w:t>
      </w:r>
    </w:p>
    <w:p>
      <w:pPr>
        <w:spacing w:line="480" w:lineRule="auto"/>
        <w:ind w:firstLine="480" w:firstLineChars="200"/>
        <w:rPr>
          <w:rFonts w:hint="eastAsia" w:ascii="宋体" w:hAnsi="宋体" w:cs="宋体"/>
          <w:sz w:val="24"/>
        </w:rPr>
      </w:pPr>
      <w:r>
        <w:rPr>
          <w:rFonts w:hint="eastAsia" w:ascii="宋体" w:hAnsi="宋体" w:cs="宋体"/>
          <w:sz w:val="24"/>
        </w:rPr>
        <w:t>(1)孔隙水潜水:埋藏于第四系河流冲积松散堆积层中，主要受库水、河水及两岸基岩裂隙水补给，水量丰富，含水层厚度5~9m。</w:t>
      </w:r>
    </w:p>
    <w:p>
      <w:pPr>
        <w:spacing w:line="480" w:lineRule="auto"/>
        <w:ind w:firstLine="480" w:firstLineChars="200"/>
        <w:rPr>
          <w:rFonts w:hint="eastAsia" w:ascii="宋体" w:hAnsi="宋体" w:cs="宋体"/>
          <w:sz w:val="24"/>
        </w:rPr>
      </w:pPr>
      <w:r>
        <w:rPr>
          <w:rFonts w:hint="eastAsia" w:ascii="宋体" w:hAnsi="宋体" w:cs="宋体"/>
          <w:sz w:val="24"/>
        </w:rPr>
        <w:t>(2)基岩裂隙水:</w:t>
      </w:r>
    </w:p>
    <w:p>
      <w:pPr>
        <w:spacing w:line="480" w:lineRule="auto"/>
        <w:ind w:firstLine="480" w:firstLineChars="200"/>
        <w:rPr>
          <w:rFonts w:hint="eastAsia" w:ascii="宋体" w:hAnsi="宋体" w:cs="宋体"/>
          <w:sz w:val="24"/>
        </w:rPr>
      </w:pPr>
      <w:r>
        <w:rPr>
          <w:rFonts w:hint="eastAsia" w:ascii="宋体" w:hAnsi="宋体" w:cs="宋体"/>
          <w:sz w:val="24"/>
        </w:rPr>
        <w:t>分布于左右坝肩和坝基底部。左右坝肩裂隙水贫乏，主要靠大气降水、融雪水和同侧分水岭中高山区裂隙水渗流补给，补给的时间和季节性差异明显。凝灰质鞍山岩构造裂隙中微弱含水，因裂隙开启性很差，所以储水空间及导水能力都差。零星分布在坝址区附近，接受河水的补给，水量相对较小。</w:t>
      </w:r>
    </w:p>
    <w:p>
      <w:pPr>
        <w:spacing w:line="480" w:lineRule="auto"/>
        <w:ind w:firstLine="480" w:firstLineChars="200"/>
        <w:rPr>
          <w:rFonts w:hint="eastAsia" w:ascii="宋体" w:hAnsi="宋体" w:cs="宋体"/>
          <w:sz w:val="24"/>
        </w:rPr>
      </w:pPr>
      <w:r>
        <w:rPr>
          <w:rFonts w:hint="eastAsia" w:ascii="宋体" w:hAnsi="宋体" w:cs="宋体"/>
          <w:sz w:val="24"/>
        </w:rPr>
        <w:t>(3)水化学类型及侵蚀性评价:</w:t>
      </w:r>
    </w:p>
    <w:p>
      <w:pPr>
        <w:spacing w:line="480" w:lineRule="auto"/>
        <w:ind w:firstLine="480" w:firstLineChars="200"/>
        <w:rPr>
          <w:rFonts w:hint="eastAsia" w:ascii="宋体" w:hAnsi="宋体" w:cs="宋体"/>
          <w:sz w:val="24"/>
        </w:rPr>
      </w:pPr>
      <w:r>
        <w:rPr>
          <w:rFonts w:hint="eastAsia" w:ascii="宋体" w:hAnsi="宋体" w:cs="宋体"/>
          <w:sz w:val="24"/>
        </w:rPr>
        <w:t>本次工作共采集两组水样进行水质分析,第一组编号SY01为乌伦古河河水第二组为坝后探坑内地下潜水渗水。现对两组水样检测结果进行评价。</w:t>
      </w:r>
    </w:p>
    <w:p>
      <w:pPr>
        <w:spacing w:line="480" w:lineRule="auto"/>
        <w:ind w:firstLine="480" w:firstLineChars="200"/>
        <w:rPr>
          <w:rFonts w:hint="eastAsia" w:ascii="宋体" w:hAnsi="宋体" w:cs="宋体"/>
          <w:sz w:val="24"/>
        </w:rPr>
      </w:pPr>
      <w:r>
        <w:rPr>
          <w:rFonts w:hint="eastAsia" w:ascii="宋体" w:hAnsi="宋体" w:cs="宋体"/>
          <w:sz w:val="24"/>
        </w:rPr>
        <w:t>地表唯一水系乌伦古河河水，水化学类型:HCO°.SO,一Ca▪K+Na型，矿化度值M为0.36g/L,小于1g/L，属淡水;总硬度Ca、Mg含量为5.14mmol/L,属微硬水，PH值为7.9，属弱碱性水。综合以上因素可知，乌伦古河河水质良好，为人畜可饮用水。</w:t>
      </w:r>
    </w:p>
    <w:p>
      <w:pPr>
        <w:spacing w:line="480" w:lineRule="auto"/>
        <w:ind w:firstLine="480" w:firstLineChars="200"/>
        <w:rPr>
          <w:rFonts w:hint="eastAsia" w:ascii="宋体" w:hAnsi="宋体" w:cs="宋体"/>
          <w:sz w:val="24"/>
        </w:rPr>
      </w:pPr>
      <w:r>
        <w:rPr>
          <w:rFonts w:hint="eastAsia" w:ascii="宋体" w:hAnsi="宋体" w:cs="宋体"/>
          <w:sz w:val="24"/>
        </w:rPr>
        <w:t>地下水(坝后渗水)水化学类型为::HCO.So,’-Ca・K’+Na，矿化度值M为0.41-0.69g/L，属淡水，其矿化度高于河水，水化学类型略有不同，综合判定，库区地下水水质均属良好。依据《水利水电工程地质勘察规范》GB50487-2008附录G《环境水对混凝土腐蚀评价》表G..0.3环境水腐蚀性评价标准判定，乌伦古河河水及地下水对普通硅酸盐水泥没有侵蚀性。</w:t>
      </w:r>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(3)广汇煤制气供水工程</w:t>
      </w:r>
    </w:p>
    <w:p>
      <w:pPr>
        <w:spacing w:line="480" w:lineRule="auto"/>
        <w:ind w:firstLine="480" w:firstLineChars="200"/>
        <w:rPr>
          <w:rFonts w:hint="eastAsia" w:ascii="宋体" w:hAnsi="宋体" w:cs="宋体"/>
          <w:sz w:val="24"/>
        </w:rPr>
      </w:pPr>
      <w:r>
        <w:rPr>
          <w:rFonts w:hint="eastAsia" w:ascii="宋体" w:hAnsi="宋体" w:cs="宋体"/>
          <w:sz w:val="24"/>
        </w:rPr>
        <w:t>工程区在大地构造上处于准噶尔陷区的东北缘，以及东准噶尔褶皱带区内断裂、褶皱较为发育;区内新构造运动主要表现为间歇性升降运动。工程区不存在否定方案成立的构造稳定性问题。库坝区、供水管线的地震动峰值速度为0.20g:相应的地震基本烈度8度，地震动反应谱特征周期0.40s:供水管线的地震动峰值加速度为0.15g。</w:t>
      </w:r>
    </w:p>
    <w:p>
      <w:pPr>
        <w:spacing w:line="480" w:lineRule="auto"/>
        <w:ind w:firstLine="480" w:firstLineChars="200"/>
        <w:rPr>
          <w:rFonts w:hint="eastAsia" w:ascii="宋体" w:hAnsi="宋体" w:cs="宋体"/>
          <w:sz w:val="24"/>
        </w:rPr>
      </w:pPr>
      <w:r>
        <w:rPr>
          <w:rFonts w:hint="eastAsia" w:ascii="宋体" w:hAnsi="宋体" w:cs="宋体"/>
          <w:sz w:val="24"/>
        </w:rPr>
        <w:t>该水库为河槽型水库，库岸由岩质岸坡和砂砾石岸坡组成，仅局部存在库岸再造问题，塌岸方量很小;也不存在水库渗漏问题上、下坝轴线河床、河漫滩砂砾石层厚度6~8.7m，下伏中石炭统安山份岩、 Y4花岗岩，无大断裂及活动性断裂构造发育，工程地质条件较为简单。</w:t>
      </w:r>
    </w:p>
    <w:p>
      <w:pPr>
        <w:spacing w:line="480" w:lineRule="auto"/>
        <w:ind w:firstLine="480" w:firstLineChars="200"/>
        <w:rPr>
          <w:rFonts w:hint="eastAsia"/>
        </w:rPr>
      </w:pPr>
      <w:r>
        <w:rPr>
          <w:rFonts w:hint="eastAsia" w:ascii="宋体" w:hAnsi="宋体" w:cs="宋体"/>
          <w:sz w:val="24"/>
        </w:rPr>
        <w:t>一泵站处于乌伦古河左岸I级阶地后缘，泵站厂房、前池以细砂为地基土，建议采用砂砾石垫层处理。供水管线经四级泵站提水，自一泵站起，供水管线向西南、南穿越洪积戈壁平原、基岩低山丘陵等，止于蓄水池南。</w:t>
      </w:r>
    </w:p>
    <w:p>
      <w:pPr>
        <w:spacing w:line="480" w:lineRule="auto"/>
        <w:ind w:firstLine="480" w:firstLineChars="200"/>
        <w:rPr>
          <w:rFonts w:hint="eastAsia" w:ascii="宋体" w:hAnsi="宋体" w:cs="宋体"/>
          <w:sz w:val="24"/>
        </w:rPr>
      </w:pPr>
      <w:r>
        <w:rPr>
          <w:rFonts w:hint="eastAsia" w:ascii="宋体" w:hAnsi="宋体" w:cs="宋体"/>
          <w:sz w:val="24"/>
        </w:rPr>
        <w:t>调蓄水池地基为N砂质泥岩、泥岩，夹砂岩及砂研岩，开挖裸露后易风化，失水干缩，遇水易软化，具崩解、膨胀性;岩土体中局部夹有石膏、芒硝薄层或透镜体，对混凝土具有腐蚀性。</w:t>
      </w:r>
    </w:p>
    <w:p>
      <w:pPr>
        <w:spacing w:line="480" w:lineRule="auto"/>
        <w:ind w:firstLine="482" w:firstLineChars="200"/>
        <w:rPr>
          <w:rFonts w:hint="eastAsia" w:ascii="宋体"/>
          <w:b/>
          <w:bCs/>
          <w:snapToGrid w:val="0"/>
          <w:kern w:val="0"/>
          <w:sz w:val="24"/>
        </w:rPr>
      </w:pPr>
      <w:bookmarkStart w:id="89" w:name="_Toc19496_WPSOffice_Level3"/>
      <w:bookmarkStart w:id="90" w:name="_Toc18186_WPSOffice_Level3"/>
      <w:r>
        <w:rPr>
          <w:rFonts w:hint="eastAsia" w:ascii="宋体"/>
          <w:b/>
          <w:bCs/>
          <w:snapToGrid w:val="0"/>
          <w:kern w:val="0"/>
          <w:sz w:val="24"/>
        </w:rPr>
        <w:t>2)工程地质</w:t>
      </w:r>
      <w:bookmarkEnd w:id="89"/>
      <w:bookmarkEnd w:id="90"/>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(1)萨尔铁列克水库</w:t>
      </w:r>
    </w:p>
    <w:p>
      <w:pPr>
        <w:spacing w:line="480" w:lineRule="auto"/>
        <w:ind w:firstLine="480" w:firstLineChars="200"/>
        <w:rPr>
          <w:rFonts w:hint="eastAsia" w:ascii="宋体" w:hAnsi="宋体" w:cs="宋体"/>
          <w:sz w:val="24"/>
        </w:rPr>
      </w:pPr>
      <w:r>
        <w:rPr>
          <w:rFonts w:hint="eastAsia" w:ascii="宋体" w:hAnsi="宋体" w:cs="宋体"/>
          <w:sz w:val="24"/>
        </w:rPr>
        <w:t>水库区处于乌伦古河的中游河谷段，为顺河道型水库，河流蜿蜒蛇曲，河曲发育，两岸为侵蚀丘陵地貌，海拔高程760~780m。库区河谷段主要呈不对称的箱型，凹凸岸突出，凸岸坡度较平缓，凹岸相对陡峻，较平直河段岸坡平缓一一中等，沿河流两岸不连续分布I~IⅢ级阶地。现代河床宽50~110m左右，河床纵坡坡降 2%左右。</w:t>
      </w:r>
    </w:p>
    <w:p>
      <w:pPr>
        <w:spacing w:line="480" w:lineRule="auto"/>
        <w:ind w:firstLine="480" w:firstLineChars="200"/>
        <w:rPr>
          <w:rFonts w:hint="eastAsia" w:ascii="宋体" w:hAnsi="宋体" w:cs="宋体"/>
          <w:sz w:val="24"/>
        </w:rPr>
      </w:pPr>
      <w:r>
        <w:rPr>
          <w:rFonts w:hint="eastAsia" w:ascii="宋体" w:hAnsi="宋体" w:cs="宋体"/>
          <w:sz w:val="24"/>
        </w:rPr>
        <w:t>库区地形整体封闭，左、右岸坡主要由Ⅱ、Ⅲ级阶地基座或阶地后缘泥盆系上统(D3ja)第一亚组，微变质凝灰质砂岩组成，岸坡在15~70°;局部岸坡顺现代冲沟形成，由第四系上更新统洪坡积碎石土组成，坡度在5~10°，库水以下坡度更为平缓。</w:t>
      </w:r>
    </w:p>
    <w:p>
      <w:pPr>
        <w:spacing w:line="480" w:lineRule="auto"/>
        <w:ind w:firstLine="480" w:firstLineChars="200"/>
        <w:rPr>
          <w:rFonts w:hint="eastAsia" w:ascii="宋体" w:hAnsi="宋体" w:cs="宋体"/>
          <w:sz w:val="24"/>
        </w:rPr>
      </w:pPr>
      <w:r>
        <w:rPr>
          <w:rFonts w:hint="eastAsia" w:ascii="宋体" w:hAnsi="宋体" w:cs="宋体"/>
          <w:sz w:val="24"/>
        </w:rPr>
        <w:t>水库区处于乌伦古河的中游河谷段，为顺河道型水库，河流蜿蜒蛇曲，河曲发育，两岸为侵蚀丘陵地貌，海拔高程760~780m。库区河谷段主要呈不对称的箱型，凹凸岸突出，凸岸坡度较平缓，凹岸相对陡峻，较平直河段岸坡平缓一中等，沿河流两岸不连续分布I~IⅢ级阶地。现代河床宽50~110m左右，河床纵坡坡降2%左右，水库正常高水位749.76m,洄水长度约6.5km左右，水面宽150-540m，呈窄长带状，坝前最大水深9.20m左右。</w:t>
      </w:r>
    </w:p>
    <w:p>
      <w:pPr>
        <w:spacing w:line="480" w:lineRule="auto"/>
        <w:ind w:firstLine="480" w:firstLineChars="200"/>
        <w:rPr>
          <w:rFonts w:hint="eastAsia" w:ascii="宋体" w:hAnsi="宋体" w:cs="宋体"/>
          <w:sz w:val="24"/>
        </w:rPr>
      </w:pPr>
      <w:r>
        <w:rPr>
          <w:rFonts w:hint="eastAsia" w:ascii="宋体" w:hAnsi="宋体" w:cs="宋体"/>
          <w:sz w:val="24"/>
        </w:rPr>
        <w:t>库区地形整体封闭，左、右岸坡主要由Ⅱ、Ⅲ级阶地基座或阶地后缘泥盆系中统(C2b)微变质凝灰岩山体组成，岸坡在15~70°;左岸边坡，由第四系上更新统洪坡积碎石土组成，坡度在5~10°,库水以下坡度更为平缓，水库运行已近40年，库岸总体稳定，不存在边岸再造问题。</w:t>
      </w:r>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(2)杜热水库</w:t>
      </w:r>
    </w:p>
    <w:p>
      <w:pPr>
        <w:spacing w:line="480" w:lineRule="auto"/>
        <w:ind w:firstLine="480" w:firstLineChars="200"/>
        <w:rPr>
          <w:rFonts w:hint="eastAsia" w:ascii="宋体" w:hAnsi="宋体" w:cs="宋体"/>
          <w:sz w:val="24"/>
        </w:rPr>
      </w:pPr>
      <w:r>
        <w:rPr>
          <w:rFonts w:hint="eastAsia" w:ascii="宋体" w:hAnsi="宋体" w:cs="宋体"/>
          <w:sz w:val="24"/>
        </w:rPr>
        <w:t>桩号0+000~0+040段为大坝左坝肩，山体基岩裸露，岸坡在10-15°，强风化厚度2.0m左右，下伏弱风化岩体。岩性主要为泥盆系凝灰质安山岩，灰褐色、灰黑色，裂面、层面多充填锈、钙膜。岩石表面及裂隙面局部已变色，岩块断口大部分具新鲜色泽，锤击较清脆，局部哑声，总体呈强风化，强风化厚 2m左右，自表层3m以下岩体属弱风化带。受构造影响，坝肩岩体节理裂隙较发育，岩体被切割成 20-60cm大小的岩块，总体呈块状、次块状结构，局部呈镶嵌碎裂结构。据本次压水试验成果，强风化凝灰质安山岩透水率在16~39Lu之间，为中等透水性。</w:t>
      </w:r>
    </w:p>
    <w:p>
      <w:pPr>
        <w:spacing w:line="480" w:lineRule="auto"/>
        <w:ind w:firstLine="480" w:firstLineChars="200"/>
        <w:rPr>
          <w:rFonts w:hint="eastAsia" w:ascii="宋体" w:hAnsi="宋体" w:cs="宋体"/>
          <w:sz w:val="24"/>
        </w:rPr>
      </w:pPr>
      <w:r>
        <w:rPr>
          <w:rFonts w:hint="eastAsia" w:ascii="宋体" w:hAnsi="宋体" w:cs="宋体"/>
          <w:sz w:val="24"/>
        </w:rPr>
        <w:t>桩号0+014~0+146段为原河谷、河床段坝基，宽132m左右。坝体座落在原河床河流冲积相砂砾石层上，该层总体沉积厚度3~4m,砂砾石层下伏为石炭系上统凝灰质安山岩，强风化厚度在2.0-3.0m。其地层结构为:</w:t>
      </w:r>
    </w:p>
    <w:p>
      <w:pPr>
        <w:spacing w:line="480" w:lineRule="auto"/>
        <w:ind w:firstLine="480" w:firstLineChars="200"/>
        <w:rPr>
          <w:rFonts w:hint="eastAsia" w:ascii="宋体" w:hAnsi="宋体" w:cs="宋体"/>
          <w:sz w:val="24"/>
        </w:rPr>
      </w:pPr>
      <w:r>
        <w:rPr>
          <w:rFonts w:hint="eastAsia" w:ascii="宋体" w:hAnsi="宋体" w:cs="宋体"/>
          <w:sz w:val="24"/>
        </w:rPr>
        <w:t>1、冲积相砂砾石层，该层沉积厚度一般在3~4m。其中:粒径粒径10-60mm的颗粒占 40%左右，5-10mm占12.5%，2-5mm占12%,2-0.5mm占14%，0.25 -0.50mm占13%，0.1-0.25mm占7%，小于0.1mm占1.5%，级配较好，主要成份为花岗岩、安山岩、凝灰岩类，坚硬。该层相对密度Dr=0.53总体处于中密状态，渗透系数K=40m/d,属中等透水层。</w:t>
      </w:r>
    </w:p>
    <w:p>
      <w:pPr>
        <w:spacing w:line="480" w:lineRule="auto"/>
        <w:ind w:firstLine="480" w:firstLineChars="200"/>
        <w:rPr>
          <w:rFonts w:hint="eastAsia" w:ascii="宋体" w:hAnsi="宋体" w:cs="宋体"/>
          <w:sz w:val="24"/>
        </w:rPr>
      </w:pPr>
      <w:r>
        <w:rPr>
          <w:rFonts w:hint="eastAsia" w:ascii="宋体" w:hAnsi="宋体" w:cs="宋体"/>
          <w:sz w:val="24"/>
        </w:rPr>
        <w:t>2、砂砾石下伏泥盆系凝灰质安山岩，岩石呈灰绿色，安山质结构，块状构造，岩石属硬质岩。岩体总体呈强风化，强风化层厚 3.0~10.0m。弱风化厚度10-20m。据钻孔岩芯揭露，芯多呈短柱状，局部岩芯破碎，采取率偏低，岩芯采取率一般在80%-85%之间，RQD值21~70%。顶板高程688.3~675.8m,起伏高差 12.5m。强风化安山岩透水率12~40Lu，为强透水性。强风化段岩体物理力学参数:天然密度在2.73g/cm左右，承载力标准值Rb=10Mpa，抗剪强度C=2 Mpa,Φ=40°，变形模量Eo=15Gpa。弱风化岩石天然容重:2.77g/cm,承载力标准值 Rb=60Mpa,泊松比=0.18，比重Gs=2.72左右,抗剪强度 C=5Mpa，φ=45°。</w:t>
      </w:r>
    </w:p>
    <w:p>
      <w:pPr>
        <w:spacing w:line="480" w:lineRule="auto"/>
        <w:ind w:firstLine="480" w:firstLineChars="200"/>
        <w:rPr>
          <w:rFonts w:hint="eastAsia" w:ascii="宋体" w:hAnsi="宋体" w:cs="宋体"/>
          <w:sz w:val="24"/>
        </w:rPr>
      </w:pPr>
      <w:r>
        <w:rPr>
          <w:rFonts w:hint="eastAsia" w:ascii="宋体" w:hAnsi="宋体" w:cs="宋体"/>
          <w:sz w:val="24"/>
        </w:rPr>
        <w:t>桩号0+146-0+190段为坝右坝肩。地形坡度在20~25°左右，基岩裸露。坝肩顶部山体高程在692.0m以上，岩性为上石炭系的凝灰质安山岩，强风化厚度2-3m，弱风化层厚度10-12m。岩体节理裂隙发育，岩体被切割成30-60cm大小的岩块，裂面微张或半闭合状，充填锈钙膜，偶见少量石英细脉，裂隙多缓倾，倾角一般为30~50°。局部裂隙发育，采取率低，岩芯呈碎块状。总体来看岩体呈块状结构，局部呈镶嵌碎裂结构。</w:t>
      </w:r>
    </w:p>
    <w:p>
      <w:pPr>
        <w:spacing w:line="480" w:lineRule="auto"/>
        <w:ind w:firstLine="482" w:firstLineChars="200"/>
        <w:rPr>
          <w:rFonts w:hint="eastAsia" w:ascii="宋体"/>
          <w:b/>
          <w:bCs/>
          <w:snapToGrid w:val="0"/>
          <w:kern w:val="0"/>
          <w:sz w:val="24"/>
        </w:rPr>
      </w:pPr>
      <w:r>
        <w:rPr>
          <w:rFonts w:hint="eastAsia" w:ascii="宋体"/>
          <w:b/>
          <w:bCs/>
          <w:snapToGrid w:val="0"/>
          <w:kern w:val="0"/>
          <w:sz w:val="24"/>
        </w:rPr>
        <w:t>(3)广汇煤制气供水工程</w:t>
      </w:r>
    </w:p>
    <w:p>
      <w:pPr>
        <w:spacing w:line="480" w:lineRule="auto"/>
        <w:ind w:firstLine="480" w:firstLineChars="200"/>
        <w:rPr>
          <w:rFonts w:hint="eastAsia" w:ascii="宋体" w:hAnsi="宋体" w:cs="宋体"/>
          <w:sz w:val="24"/>
        </w:rPr>
      </w:pPr>
      <w:r>
        <w:rPr>
          <w:rFonts w:hint="eastAsia" w:ascii="宋体" w:hAnsi="宋体" w:cs="宋体"/>
          <w:sz w:val="24"/>
        </w:rPr>
        <w:t>供水工程自乌伦古河恰库尔图镇哈西翁村建坝取水后以渡槽、座槽等渠系建筑物向西偏南穿越河床左岸的漫滩、I级阶地至一泵站，然后向南以压力管道穿越丘陵及洪积戈壁平原,至8+638后进入基岩低山丘陵区,至58+000进入洪积戈壁平原。</w:t>
      </w:r>
    </w:p>
    <w:p>
      <w:pPr>
        <w:spacing w:line="480" w:lineRule="auto"/>
        <w:ind w:firstLine="480" w:firstLineChars="200"/>
        <w:rPr>
          <w:rFonts w:hint="eastAsia" w:ascii="宋体" w:hAnsi="宋体" w:cs="宋体"/>
          <w:sz w:val="24"/>
        </w:rPr>
      </w:pPr>
      <w:r>
        <w:rPr>
          <w:rFonts w:hint="eastAsia" w:ascii="宋体" w:hAnsi="宋体" w:cs="宋体"/>
          <w:sz w:val="24"/>
        </w:rPr>
        <w:t>库区、坝址工程地质条件：</w:t>
      </w:r>
    </w:p>
    <w:p>
      <w:pPr>
        <w:spacing w:line="480" w:lineRule="auto"/>
        <w:ind w:firstLine="480" w:firstLineChars="200"/>
        <w:rPr>
          <w:rFonts w:hint="eastAsia" w:ascii="宋体" w:hAnsi="宋体" w:cs="宋体"/>
          <w:sz w:val="24"/>
        </w:rPr>
      </w:pPr>
      <w:r>
        <w:rPr>
          <w:rFonts w:hint="eastAsia" w:ascii="宋体" w:hAnsi="宋体" w:cs="宋体"/>
          <w:sz w:val="24"/>
        </w:rPr>
        <w:t>(1)该水库为河槽型水库，库岸由岩质岸坡和砂砾石岸坡组成，仅局部存在库岸再造问题，塌岸方量很小，也不存在水库渗漏问题。</w:t>
      </w:r>
    </w:p>
    <w:p>
      <w:pPr>
        <w:spacing w:line="480" w:lineRule="auto"/>
        <w:ind w:firstLine="480" w:firstLineChars="200"/>
        <w:rPr>
          <w:rFonts w:hint="eastAsia" w:ascii="宋体" w:hAnsi="宋体" w:cs="宋体"/>
          <w:sz w:val="24"/>
        </w:rPr>
      </w:pPr>
      <w:r>
        <w:rPr>
          <w:rFonts w:hint="eastAsia" w:ascii="宋体" w:hAnsi="宋体" w:cs="宋体"/>
          <w:sz w:val="24"/>
        </w:rPr>
        <w:t>(2)坝轴线河床、河漫滩砂砾石层厚度6~8.7m,下伏中石炭统安山岩、Y4花岗岩，无大断裂及活动性断裂构造发育，工程地质条件较为简单。砂砾石坝段位于乌伦古河左岸河漫滩。</w:t>
      </w:r>
    </w:p>
    <w:p>
      <w:pPr>
        <w:spacing w:line="480" w:lineRule="auto"/>
        <w:ind w:firstLine="480" w:firstLineChars="200"/>
        <w:rPr>
          <w:rFonts w:hint="eastAsia" w:ascii="宋体" w:hAnsi="宋体" w:cs="宋体"/>
          <w:sz w:val="24"/>
        </w:rPr>
      </w:pPr>
      <w:r>
        <w:rPr>
          <w:rFonts w:hint="eastAsia" w:ascii="宋体" w:hAnsi="宋体" w:cs="宋体"/>
          <w:sz w:val="24"/>
        </w:rPr>
        <w:t>泵站及输水管线工程地质条件：</w:t>
      </w:r>
    </w:p>
    <w:p>
      <w:pPr>
        <w:spacing w:line="480" w:lineRule="auto"/>
        <w:ind w:firstLine="480" w:firstLineChars="200"/>
        <w:rPr>
          <w:rFonts w:hint="eastAsia" w:ascii="宋体" w:hAnsi="宋体" w:cs="宋体"/>
          <w:sz w:val="24"/>
        </w:rPr>
      </w:pPr>
      <w:r>
        <w:rPr>
          <w:rFonts w:hint="eastAsia" w:ascii="宋体" w:hAnsi="宋体" w:cs="宋体"/>
          <w:sz w:val="24"/>
        </w:rPr>
        <w:t>(1)一泵站处于乌伦古河左岸I级阶地后缘,泵站厂房、前池以细砂为地基，二泵站处于山前洪积倾斜平原，泵站厂房、前池以含砾砂为地基，三泵站、四泵站处于基岩低山丘陵区，需清除表部覆盖层及基岩强风化层，将泵站厂房基础、前池等置于弱风化岩石中。</w:t>
      </w:r>
    </w:p>
    <w:p>
      <w:pPr>
        <w:spacing w:line="480" w:lineRule="auto"/>
        <w:ind w:firstLine="480" w:firstLineChars="200"/>
        <w:rPr>
          <w:rFonts w:hint="eastAsia" w:ascii="宋体" w:hAnsi="宋体" w:cs="宋体"/>
          <w:sz w:val="24"/>
        </w:rPr>
      </w:pPr>
      <w:r>
        <w:rPr>
          <w:rFonts w:hint="eastAsia" w:ascii="宋体" w:hAnsi="宋体" w:cs="宋体"/>
          <w:sz w:val="24"/>
        </w:rPr>
        <w:t>(2)供水管线经四级泵站提水，自一泵站起，供水管线向西南、南穿越洪积戈壁平原、基岩低山丘陵等，止于蓄水池南，管道地基岩土类型主要有pIQ4含砾砂等，其中岩质坚硬，开挖困难。</w:t>
      </w:r>
    </w:p>
    <w:p>
      <w:pPr>
        <w:spacing w:line="480" w:lineRule="auto"/>
        <w:ind w:firstLine="480" w:firstLineChars="200"/>
        <w:rPr>
          <w:rFonts w:hint="eastAsia" w:ascii="宋体" w:hAnsi="宋体" w:cs="宋体"/>
          <w:sz w:val="24"/>
        </w:rPr>
      </w:pPr>
      <w:r>
        <w:rPr>
          <w:rFonts w:hint="eastAsia" w:ascii="宋体" w:hAnsi="宋体" w:cs="宋体"/>
          <w:sz w:val="24"/>
        </w:rPr>
        <w:t>蓄水池工程地质条件：</w:t>
      </w:r>
    </w:p>
    <w:p>
      <w:pPr>
        <w:spacing w:line="480" w:lineRule="auto"/>
        <w:ind w:firstLine="480" w:firstLineChars="200"/>
        <w:rPr>
          <w:rFonts w:hint="eastAsia" w:ascii="宋体" w:hAnsi="宋体" w:cs="宋体"/>
          <w:sz w:val="24"/>
        </w:rPr>
      </w:pPr>
      <w:r>
        <w:rPr>
          <w:rFonts w:hint="eastAsia" w:ascii="宋体" w:hAnsi="宋体" w:cs="宋体"/>
          <w:sz w:val="24"/>
        </w:rPr>
        <w:t>调蓄水池地基为N砂质泥岩，开挖裸露后易风化，岩土体中夹有石膏或透镜体，对混凝土具有腐蚀性。</w:t>
      </w:r>
    </w:p>
    <w:p>
      <w:pPr>
        <w:spacing w:line="480" w:lineRule="auto"/>
        <w:ind w:firstLine="562" w:firstLineChars="200"/>
        <w:rPr>
          <w:rFonts w:hint="eastAsia" w:ascii="黑体" w:eastAsia="黑体"/>
          <w:b/>
          <w:snapToGrid w:val="0"/>
          <w:kern w:val="0"/>
          <w:sz w:val="28"/>
        </w:rPr>
      </w:pPr>
      <w:bookmarkStart w:id="91" w:name="_Toc20211_WPSOffice_Level1"/>
      <w:bookmarkStart w:id="92" w:name="_Toc20439_WPSOffice_Level1"/>
      <w:r>
        <w:rPr>
          <w:rFonts w:hint="eastAsia" w:ascii="黑体" w:eastAsia="黑体"/>
          <w:b/>
          <w:snapToGrid w:val="0"/>
          <w:kern w:val="0"/>
          <w:sz w:val="28"/>
        </w:rPr>
        <w:t>1.2富蕴县经济社会发展状况</w:t>
      </w:r>
      <w:bookmarkEnd w:id="91"/>
      <w:bookmarkEnd w:id="92"/>
    </w:p>
    <w:p>
      <w:pPr>
        <w:spacing w:line="480" w:lineRule="auto"/>
        <w:ind w:firstLine="480" w:firstLineChars="200"/>
        <w:rPr>
          <w:rFonts w:hint="eastAsia" w:ascii="宋体" w:hAnsi="宋体" w:cs="宋体"/>
          <w:sz w:val="24"/>
        </w:rPr>
      </w:pPr>
      <w:bookmarkStart w:id="93" w:name="_Toc8940_WPSOffice_Level2"/>
      <w:bookmarkStart w:id="94" w:name="_Toc27614_WPSOffice_Level2"/>
      <w:r>
        <w:rPr>
          <w:rFonts w:hint="eastAsia" w:ascii="宋体" w:hAnsi="宋体" w:cs="宋体"/>
          <w:sz w:val="24"/>
        </w:rPr>
        <w:t>1)行政区划</w:t>
      </w:r>
      <w:bookmarkEnd w:id="93"/>
      <w:bookmarkEnd w:id="94"/>
    </w:p>
    <w:p>
      <w:pPr>
        <w:spacing w:line="480" w:lineRule="auto"/>
        <w:ind w:firstLine="480" w:firstLineChars="200"/>
        <w:rPr>
          <w:rFonts w:hint="eastAsia" w:ascii="宋体" w:hAnsi="宋体" w:cs="宋体"/>
          <w:sz w:val="24"/>
        </w:rPr>
      </w:pPr>
      <w:r>
        <w:rPr>
          <w:rFonts w:hint="eastAsia" w:ascii="宋体" w:hAnsi="宋体" w:cs="宋体"/>
          <w:sz w:val="24"/>
        </w:rPr>
        <w:t>富蕴县行政上隶属于阿勒泰地区，县辖5乡(吐尔洪乡、库尔特乡、喀拉布勒根乡、铁买克乡、克孜勒希力克乡)、5镇(库额尔齐斯镇、可可托海镇、恰库尔图镇、喀拉通克镇、杜热镇)，11个社区居民委员会，77个行政村。</w:t>
      </w:r>
    </w:p>
    <w:p>
      <w:pPr>
        <w:spacing w:line="480" w:lineRule="auto"/>
        <w:ind w:firstLine="480" w:firstLineChars="200"/>
        <w:rPr>
          <w:rFonts w:hint="eastAsia" w:ascii="宋体" w:hAnsi="宋体" w:cs="宋体"/>
          <w:sz w:val="24"/>
        </w:rPr>
      </w:pPr>
      <w:bookmarkStart w:id="95" w:name="_Toc12720_WPSOffice_Level2"/>
      <w:bookmarkStart w:id="96" w:name="_Toc20515_WPSOffice_Level2"/>
      <w:r>
        <w:rPr>
          <w:rFonts w:hint="eastAsia" w:ascii="宋体" w:hAnsi="宋体" w:cs="宋体"/>
          <w:sz w:val="24"/>
        </w:rPr>
        <w:t>2)人口</w:t>
      </w:r>
      <w:bookmarkEnd w:id="95"/>
      <w:bookmarkEnd w:id="96"/>
    </w:p>
    <w:p>
      <w:pPr>
        <w:spacing w:line="480" w:lineRule="auto"/>
        <w:ind w:firstLine="480" w:firstLineChars="200"/>
        <w:rPr>
          <w:rFonts w:hint="eastAsia" w:ascii="宋体" w:hAnsi="宋体" w:cs="宋体"/>
          <w:sz w:val="24"/>
        </w:rPr>
      </w:pPr>
      <w:r>
        <w:rPr>
          <w:rFonts w:hint="eastAsia" w:ascii="宋体" w:hAnsi="宋体" w:cs="宋体"/>
          <w:sz w:val="24"/>
        </w:rPr>
        <w:t>根据富蕴县2021年统计年鉴，富蕴县全县总人口9.64万人，由汉族、哈萨克族等26个民族组成，其中:汉族2.02万人，占总人口的20.95%;哈萨克族</w:t>
      </w:r>
    </w:p>
    <w:p>
      <w:pPr>
        <w:spacing w:line="480" w:lineRule="auto"/>
        <w:ind w:firstLine="480" w:firstLineChars="200"/>
        <w:rPr>
          <w:rFonts w:hint="eastAsia" w:ascii="宋体" w:hAnsi="宋体" w:cs="宋体"/>
          <w:sz w:val="24"/>
        </w:rPr>
      </w:pPr>
      <w:r>
        <w:rPr>
          <w:rFonts w:hint="eastAsia" w:ascii="宋体" w:hAnsi="宋体" w:cs="宋体"/>
          <w:sz w:val="24"/>
        </w:rPr>
        <w:t>7.13万人，占总人口的73.96%;其他民族0.49万人，占总人口的5.09%。有城镇人口2.95万人，占总人口的30.60%，乡村人口6.69万人，占总人口的69.40%。</w:t>
      </w:r>
    </w:p>
    <w:p>
      <w:pPr>
        <w:spacing w:line="480" w:lineRule="auto"/>
        <w:ind w:firstLine="480" w:firstLineChars="200"/>
        <w:rPr>
          <w:rFonts w:hint="eastAsia" w:ascii="宋体" w:hAnsi="宋体" w:cs="宋体"/>
          <w:sz w:val="24"/>
        </w:rPr>
      </w:pPr>
      <w:bookmarkStart w:id="97" w:name="_Toc6901_WPSOffice_Level2"/>
      <w:bookmarkStart w:id="98" w:name="_Toc21127_WPSOffice_Level2"/>
      <w:r>
        <w:rPr>
          <w:rFonts w:hint="eastAsia" w:ascii="宋体" w:hAnsi="宋体" w:cs="宋体"/>
          <w:sz w:val="24"/>
        </w:rPr>
        <w:t>3)土地</w:t>
      </w:r>
      <w:bookmarkEnd w:id="97"/>
      <w:bookmarkEnd w:id="98"/>
    </w:p>
    <w:p>
      <w:pPr>
        <w:spacing w:line="480" w:lineRule="auto"/>
        <w:ind w:firstLine="480" w:firstLineChars="200"/>
        <w:rPr>
          <w:rFonts w:hint="eastAsia" w:ascii="宋体" w:hAnsi="宋体" w:cs="宋体"/>
          <w:sz w:val="24"/>
        </w:rPr>
      </w:pPr>
      <w:r>
        <w:rPr>
          <w:rFonts w:hint="eastAsia" w:ascii="宋体" w:hAnsi="宋体" w:cs="宋体"/>
          <w:sz w:val="24"/>
        </w:rPr>
        <w:t>富蕴县土地总面积33699.6平方公里，包括农用地4524.095万亩，其中:耕地67.45 万亩，园地59.55万亩，林地357.46万亩，牧草4076.51万亩，其它农用地3.18万亩;建设用地10.59万亩，其中:居民点及工矿用地8.59 万亩，交通用地1.26万亩，水利设施0.74万亩;未利用地410.52万亩，其中:未利用土地 343.46万亩，其它土地67.055万亩。土地垦殖率:0.45%,水面利用率:6%。</w:t>
      </w:r>
    </w:p>
    <w:p>
      <w:pPr>
        <w:spacing w:line="480" w:lineRule="auto"/>
        <w:ind w:firstLine="480" w:firstLineChars="200"/>
        <w:rPr>
          <w:rFonts w:hint="eastAsia" w:ascii="宋体" w:hAnsi="宋体" w:cs="宋体"/>
          <w:sz w:val="24"/>
        </w:rPr>
      </w:pPr>
      <w:bookmarkStart w:id="99" w:name="_Toc21929_WPSOffice_Level2"/>
      <w:bookmarkStart w:id="100" w:name="_Toc23794_WPSOffice_Level2"/>
      <w:r>
        <w:rPr>
          <w:rFonts w:hint="eastAsia" w:ascii="宋体" w:hAnsi="宋体" w:cs="宋体"/>
          <w:sz w:val="24"/>
        </w:rPr>
        <w:t>4)经济</w:t>
      </w:r>
      <w:bookmarkEnd w:id="99"/>
      <w:bookmarkEnd w:id="100"/>
    </w:p>
    <w:p>
      <w:pPr>
        <w:spacing w:line="480" w:lineRule="auto"/>
        <w:ind w:firstLine="480" w:firstLineChars="200"/>
        <w:rPr>
          <w:rFonts w:hint="eastAsia" w:ascii="宋体" w:hAnsi="宋体" w:cs="宋体"/>
          <w:sz w:val="24"/>
        </w:rPr>
      </w:pPr>
      <w:r>
        <w:rPr>
          <w:rFonts w:hint="eastAsia" w:ascii="宋体" w:hAnsi="宋体" w:cs="宋体"/>
          <w:sz w:val="24"/>
        </w:rPr>
        <w:t>根据富蕴县2021年统计年鉴，富蕴县地区生产总值为520966万元，其中，第一产业66680万元，占地区生产总值的12.80%，第二产业287234万元，占地区生产总值的55.13%，第三产业167052万元，占地区生产总值的 32.07%。</w:t>
      </w:r>
    </w:p>
    <w:p>
      <w:pPr>
        <w:spacing w:line="480" w:lineRule="auto"/>
        <w:ind w:firstLine="480" w:firstLineChars="200"/>
        <w:rPr>
          <w:rFonts w:hint="eastAsia" w:ascii="宋体" w:hAnsi="宋体" w:cs="宋体"/>
          <w:sz w:val="24"/>
        </w:rPr>
      </w:pPr>
      <w:r>
        <w:rPr>
          <w:rFonts w:hint="eastAsia" w:ascii="宋体" w:hAnsi="宋体" w:cs="宋体"/>
          <w:sz w:val="24"/>
        </w:rPr>
        <w:t>根据富蕴县2021年统计年鉴，富蕴县农作物总播种面积48.62万亩，主要农作物为粮食、油料等，其中粮食种植面积18.21万亩，总产量98192 吨，油料种植面积9.08 万亩，总产量18009吨，其他农作物21.33万亩，总产量341073吨。2018年年末牲畜存栏65.98万头(只);牲畜最高饲养量100.98万头(只)。2018年农牧民人均纯收入14782元。</w:t>
      </w:r>
    </w:p>
    <w:p>
      <w:pPr>
        <w:spacing w:line="480" w:lineRule="auto"/>
        <w:rPr>
          <w:rFonts w:hint="eastAsia" w:ascii="黑体" w:eastAsia="黑体"/>
          <w:b/>
          <w:snapToGrid w:val="0"/>
          <w:kern w:val="0"/>
          <w:sz w:val="28"/>
        </w:rPr>
      </w:pPr>
      <w:bookmarkStart w:id="101" w:name="_Toc3575_WPSOffice_Level1"/>
      <w:bookmarkStart w:id="102" w:name="_Toc14811_WPSOffice_Level1"/>
      <w:r>
        <w:rPr>
          <w:rFonts w:hint="eastAsia" w:ascii="黑体" w:eastAsia="黑体"/>
          <w:b/>
          <w:snapToGrid w:val="0"/>
          <w:kern w:val="0"/>
          <w:sz w:val="28"/>
        </w:rPr>
        <w:t>1.3水库工程基本情况</w:t>
      </w:r>
      <w:bookmarkEnd w:id="101"/>
      <w:bookmarkEnd w:id="102"/>
    </w:p>
    <w:p>
      <w:pPr>
        <w:spacing w:line="480" w:lineRule="auto"/>
        <w:ind w:firstLine="480" w:firstLineChars="200"/>
        <w:rPr>
          <w:rFonts w:hint="eastAsia" w:ascii="宋体" w:hAnsi="宋体" w:cs="宋体"/>
          <w:sz w:val="24"/>
        </w:rPr>
      </w:pPr>
      <w:r>
        <w:rPr>
          <w:rFonts w:hint="eastAsia" w:ascii="宋体" w:hAnsi="宋体" w:cs="宋体"/>
          <w:sz w:val="24"/>
        </w:rPr>
        <w:t>地区乌伦古河流域水管站目前有4座水库在运行，主要包括峡口水库、萨尔铁列克水库、杜热水库、广汇煤制气供水工程。</w:t>
      </w:r>
    </w:p>
    <w:p>
      <w:pPr>
        <w:spacing w:line="480" w:lineRule="auto"/>
        <w:ind w:firstLine="480" w:firstLineChars="200"/>
        <w:rPr>
          <w:rFonts w:hint="eastAsia" w:ascii="宋体" w:hAnsi="宋体" w:cs="宋体"/>
          <w:sz w:val="24"/>
        </w:rPr>
      </w:pPr>
      <w:r>
        <w:rPr>
          <w:rFonts w:hint="eastAsia" w:ascii="宋体" w:hAnsi="宋体" w:cs="宋体"/>
          <w:sz w:val="24"/>
        </w:rPr>
        <w:t>本次设计共涉及了地区乌伦古河流域水管站的3座小型水库,各座水库的建设情况如下，具体见表 1.3-1。</w:t>
      </w:r>
    </w:p>
    <w:p>
      <w:pPr>
        <w:spacing w:line="480" w:lineRule="auto"/>
        <w:ind w:firstLine="480" w:firstLineChars="200"/>
        <w:rPr>
          <w:rFonts w:hint="eastAsia" w:ascii="宋体" w:hAnsi="宋体" w:cs="宋体"/>
          <w:sz w:val="24"/>
        </w:rPr>
      </w:pPr>
      <w:bookmarkStart w:id="103" w:name="_Toc23509_WPSOffice_Level2"/>
      <w:bookmarkStart w:id="104" w:name="_Toc2047_WPSOffice_Level2"/>
      <w:r>
        <w:rPr>
          <w:rFonts w:hint="eastAsia" w:ascii="宋体" w:hAnsi="宋体" w:cs="宋体"/>
          <w:sz w:val="24"/>
          <w:lang w:val="en-US" w:eastAsia="zh-CN"/>
        </w:rPr>
        <w:t>1.3.1</w:t>
      </w:r>
      <w:r>
        <w:rPr>
          <w:rFonts w:hint="eastAsia" w:ascii="宋体" w:hAnsi="宋体" w:cs="宋体"/>
          <w:sz w:val="24"/>
        </w:rPr>
        <w:t>萨尔铁列克水库</w:t>
      </w:r>
      <w:bookmarkEnd w:id="103"/>
      <w:bookmarkEnd w:id="104"/>
    </w:p>
    <w:p>
      <w:pPr>
        <w:spacing w:line="480" w:lineRule="auto"/>
        <w:ind w:firstLine="480" w:firstLineChars="200"/>
        <w:rPr>
          <w:rFonts w:hint="eastAsia" w:ascii="宋体" w:hAnsi="宋体" w:cs="宋体"/>
          <w:sz w:val="24"/>
        </w:rPr>
      </w:pPr>
      <w:r>
        <w:rPr>
          <w:rFonts w:hint="eastAsia" w:ascii="宋体" w:hAnsi="宋体" w:cs="宋体"/>
          <w:sz w:val="24"/>
          <w:lang w:val="en-US" w:eastAsia="zh-CN"/>
        </w:rPr>
        <w:t>萨尔铁列克水库为山区拦河式水库，总库容325 万㎡，根据《水利水电工程等级划分及洪水标准》(SL252-2017)，工程规模为IV等小(1)型水库，大坝、溢洪道、放水闸主要建筑物级别为4级，临时性建筑物级别为5级。该水库已于2020年5月做了大坝安全鉴定、综合评价一类，</w:t>
      </w:r>
      <w:r>
        <w:rPr>
          <w:rFonts w:hint="eastAsia" w:ascii="宋体" w:hAnsi="宋体" w:cs="宋体"/>
          <w:sz w:val="24"/>
        </w:rPr>
        <w:t>工程存在的主要问题</w:t>
      </w:r>
      <w:r>
        <w:rPr>
          <w:rFonts w:hint="eastAsia" w:ascii="宋体" w:hAnsi="宋体" w:cs="宋体"/>
          <w:sz w:val="24"/>
          <w:lang w:val="en-US" w:eastAsia="zh-CN"/>
        </w:rPr>
        <w:t>三个</w:t>
      </w:r>
      <w:r>
        <w:rPr>
          <w:rFonts w:hint="eastAsia" w:ascii="宋体" w:hAnsi="宋体" w:cs="宋体"/>
          <w:sz w:val="24"/>
        </w:rPr>
        <w:t>：</w:t>
      </w:r>
    </w:p>
    <w:p>
      <w:pPr>
        <w:spacing w:line="48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（1）主、副坝混凝土面板变形破损主坝水位变动区较少混凝土面板存在隆起沉陷现象，副坝局部混凝土面板存在开裂现象。</w:t>
      </w:r>
    </w:p>
    <w:p>
      <w:pPr>
        <w:pStyle w:val="16"/>
        <w:ind w:firstLine="48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（2）泄洪冲沙闸闸墩、边墙砼破损冲沙闸闸墩前部端头表层混凝土脱落，稍有钢筋裸露在外。</w:t>
      </w:r>
    </w:p>
    <w:p>
      <w:pPr>
        <w:pStyle w:val="16"/>
        <w:ind w:firstLine="48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（3）发电引水闸设备老旧发电引水闸因未做除险加固，设备未做更新。启闭设备老旧，闸井房简陋。</w:t>
      </w:r>
    </w:p>
    <w:p>
      <w:pPr>
        <w:pStyle w:val="16"/>
        <w:ind w:firstLine="480"/>
        <w:rPr>
          <w:rFonts w:hint="default" w:ascii="宋体" w:hAnsi="宋体" w:eastAsia="宋体" w:cs="宋体"/>
          <w:b w:val="0"/>
          <w:kern w:val="2"/>
          <w:sz w:val="24"/>
          <w:szCs w:val="24"/>
          <w:lang w:val="en-US" w:eastAsia="zh-CN" w:bidi="ar-SA"/>
        </w:rPr>
      </w:pPr>
      <w:r>
        <w:rPr>
          <w:rFonts w:hint="eastAsia" w:cs="宋体"/>
          <w:b w:val="0"/>
          <w:kern w:val="2"/>
          <w:sz w:val="24"/>
          <w:szCs w:val="24"/>
          <w:lang w:val="en-US" w:eastAsia="zh-CN" w:bidi="ar-SA"/>
        </w:rPr>
        <w:t>以上问题</w:t>
      </w:r>
      <w:r>
        <w:rPr>
          <w:rFonts w:hint="eastAsia" w:ascii="宋体" w:hAnsi="宋体" w:eastAsia="宋体" w:cs="宋体"/>
          <w:b w:val="0"/>
          <w:kern w:val="2"/>
          <w:sz w:val="24"/>
          <w:szCs w:val="24"/>
          <w:lang w:val="en-US" w:eastAsia="zh-CN" w:bidi="ar-SA"/>
        </w:rPr>
        <w:t>（3）</w:t>
      </w:r>
      <w:r>
        <w:rPr>
          <w:rFonts w:hint="eastAsia" w:cs="宋体"/>
          <w:b w:val="0"/>
          <w:kern w:val="2"/>
          <w:sz w:val="24"/>
          <w:szCs w:val="24"/>
          <w:lang w:val="en-US" w:eastAsia="zh-CN" w:bidi="ar-SA"/>
        </w:rPr>
        <w:t>已整改完毕，问题</w:t>
      </w:r>
      <w:r>
        <w:rPr>
          <w:rFonts w:hint="eastAsia" w:ascii="宋体" w:hAnsi="宋体" w:eastAsia="宋体" w:cs="宋体"/>
          <w:b w:val="0"/>
          <w:kern w:val="2"/>
          <w:sz w:val="24"/>
          <w:szCs w:val="24"/>
          <w:lang w:val="en-US" w:eastAsia="zh-CN" w:bidi="ar-SA"/>
        </w:rPr>
        <w:t>（1）</w:t>
      </w:r>
      <w:r>
        <w:rPr>
          <w:rFonts w:hint="eastAsia" w:cs="宋体"/>
          <w:b w:val="0"/>
          <w:kern w:val="2"/>
          <w:sz w:val="24"/>
          <w:szCs w:val="24"/>
          <w:lang w:val="en-US" w:eastAsia="zh-CN" w:bidi="ar-SA"/>
        </w:rPr>
        <w:t>和问题</w:t>
      </w:r>
      <w:r>
        <w:rPr>
          <w:rFonts w:hint="eastAsia" w:ascii="宋体" w:hAnsi="宋体" w:eastAsia="宋体" w:cs="宋体"/>
          <w:b w:val="0"/>
          <w:kern w:val="2"/>
          <w:sz w:val="24"/>
          <w:szCs w:val="24"/>
          <w:lang w:val="en-US" w:eastAsia="zh-CN" w:bidi="ar-SA"/>
        </w:rPr>
        <w:t>（2）</w:t>
      </w:r>
      <w:r>
        <w:rPr>
          <w:rFonts w:hint="eastAsia" w:cs="宋体"/>
          <w:b w:val="0"/>
          <w:kern w:val="2"/>
          <w:sz w:val="24"/>
          <w:szCs w:val="24"/>
          <w:lang w:val="en-US" w:eastAsia="zh-CN" w:bidi="ar-SA"/>
        </w:rPr>
        <w:t>未整改、已列入到2024年小型水库维修养护方案里</w:t>
      </w:r>
      <w:r>
        <w:rPr>
          <w:rFonts w:hint="eastAsia" w:ascii="宋体" w:hAnsi="宋体" w:eastAsia="宋体" w:cs="宋体"/>
          <w:b w:val="0"/>
          <w:kern w:val="2"/>
          <w:sz w:val="24"/>
          <w:szCs w:val="24"/>
          <w:lang w:val="en-US" w:eastAsia="zh-CN" w:bidi="ar-SA"/>
        </w:rPr>
        <w:t>。</w:t>
      </w:r>
    </w:p>
    <w:p>
      <w:pPr>
        <w:spacing w:line="48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萨尔铁列克水库枢纽是以灌溉为主兼顾发电的水利工程，水库通过简单的勘察设计后，于1974年开工兴建，1977年竣工投入运行。2011年进行水库除险加固，除险加固后该水库设计坝顶高程753.50m，总库容325万㎡，兴利库容195万㎡，死库容 28万㎡，正常蓄水位749.80m,死水位746.00m。</w:t>
      </w:r>
    </w:p>
    <w:p>
      <w:pPr>
        <w:spacing w:line="480" w:lineRule="auto"/>
        <w:ind w:firstLine="480" w:firstLineChars="200"/>
        <w:rPr>
          <w:rFonts w:hint="eastAsia" w:ascii="宋体" w:hAnsi="宋体" w:cs="宋体"/>
          <w:sz w:val="24"/>
        </w:rPr>
      </w:pPr>
      <w:r>
        <w:rPr>
          <w:rFonts w:hint="eastAsia" w:ascii="宋体" w:hAnsi="宋体" w:cs="宋体"/>
          <w:sz w:val="24"/>
        </w:rPr>
        <w:t>该水库承担任务主要是保证河道下游1.00万亩(净灌溉面积8500亩)农田灌溉用水要求。</w:t>
      </w:r>
    </w:p>
    <w:p>
      <w:pPr>
        <w:spacing w:line="480" w:lineRule="auto"/>
        <w:ind w:firstLine="480" w:firstLineChars="200"/>
        <w:rPr>
          <w:rFonts w:hint="eastAsia" w:ascii="宋体" w:hAnsi="宋体" w:cs="宋体"/>
          <w:sz w:val="24"/>
        </w:rPr>
      </w:pPr>
      <w:bookmarkStart w:id="105" w:name="_Toc1085_WPSOffice_Level2"/>
      <w:bookmarkStart w:id="106" w:name="_Toc23674_WPSOffice_Level2"/>
      <w:r>
        <w:rPr>
          <w:rFonts w:hint="eastAsia" w:ascii="宋体" w:hAnsi="宋体" w:cs="宋体"/>
          <w:sz w:val="24"/>
          <w:lang w:val="en-US" w:eastAsia="zh-CN"/>
        </w:rPr>
        <w:t>1.3.2</w:t>
      </w:r>
      <w:r>
        <w:rPr>
          <w:rFonts w:hint="eastAsia" w:ascii="宋体" w:hAnsi="宋体" w:cs="宋体"/>
          <w:sz w:val="24"/>
        </w:rPr>
        <w:t>杜热水库</w:t>
      </w:r>
      <w:bookmarkEnd w:id="105"/>
      <w:bookmarkEnd w:id="106"/>
    </w:p>
    <w:p>
      <w:pPr>
        <w:spacing w:line="480" w:lineRule="auto"/>
        <w:ind w:firstLine="480" w:firstLineChars="200"/>
        <w:rPr>
          <w:rFonts w:hint="eastAsia" w:ascii="宋体" w:hAnsi="宋体" w:cs="宋体"/>
          <w:sz w:val="24"/>
          <w:lang w:val="en-US" w:eastAsia="zh-CN"/>
        </w:rPr>
      </w:pPr>
      <w:r>
        <w:rPr>
          <w:rFonts w:hint="eastAsia" w:ascii="宋体" w:hAnsi="宋体" w:cs="宋体"/>
          <w:sz w:val="24"/>
        </w:rPr>
        <w:t>杜热水库为山区拦河式水库，水库总库容380万㎡，根据《水利水电等级划分及洪水标准》(SL252-2017)属IV等小(1)型工程，主要建筑物4级，次要建筑物5级,洪水设计标准为p=5%(20年一遇),校核洪水标准p=1%(100年一遇)</w:t>
      </w:r>
      <w:r>
        <w:rPr>
          <w:rFonts w:hint="eastAsia" w:ascii="宋体" w:hAnsi="宋体" w:cs="宋体"/>
          <w:sz w:val="24"/>
          <w:lang w:eastAsia="zh-CN"/>
        </w:rPr>
        <w:t>，</w:t>
      </w:r>
      <w:r>
        <w:rPr>
          <w:rFonts w:hint="eastAsia" w:ascii="宋体" w:hAnsi="宋体" w:cs="宋体"/>
          <w:sz w:val="24"/>
          <w:lang w:val="en-US" w:eastAsia="zh-CN"/>
        </w:rPr>
        <w:t>2020年5月做了大坝安全鉴定、综合评价一类。工程存在的主要问题：</w:t>
      </w:r>
    </w:p>
    <w:p>
      <w:pPr>
        <w:spacing w:line="48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（1）坝坡砼网格大部分整齐完整，有部分损坏。</w:t>
      </w:r>
    </w:p>
    <w:p>
      <w:pPr>
        <w:spacing w:line="480" w:lineRule="auto"/>
        <w:ind w:firstLine="480" w:firstLineChars="200"/>
        <w:rPr>
          <w:rFonts w:hint="eastAsia" w:ascii="宋体" w:hAnsi="宋体" w:eastAsia="宋体" w:cs="宋体"/>
          <w:sz w:val="24"/>
          <w:lang w:eastAsia="zh-CN"/>
        </w:rPr>
      </w:pPr>
      <w:r>
        <w:rPr>
          <w:rFonts w:hint="eastAsia" w:ascii="宋体" w:hAnsi="宋体" w:cs="宋体"/>
          <w:sz w:val="24"/>
          <w:lang w:val="en-US" w:eastAsia="zh-CN"/>
        </w:rPr>
        <w:t>（2）主坝上游部分混凝土板之间有冻融破坏，但并不影响大坝安全与使用，应进行维修。以上问题已于2023年年底前全部整改完毕。</w:t>
      </w:r>
    </w:p>
    <w:p>
      <w:pPr>
        <w:spacing w:line="480" w:lineRule="auto"/>
        <w:ind w:firstLine="480" w:firstLineChars="200"/>
        <w:rPr>
          <w:rFonts w:hint="eastAsia" w:ascii="宋体" w:hAnsi="宋体" w:cs="宋体"/>
          <w:sz w:val="24"/>
        </w:rPr>
      </w:pPr>
      <w:r>
        <w:rPr>
          <w:rFonts w:hint="eastAsia" w:ascii="宋体" w:hAnsi="宋体" w:cs="宋体"/>
          <w:sz w:val="24"/>
        </w:rPr>
        <w:t>水库是一座灌溉为主的水库，水库始建于1955年，竣工于1959年。2011年进行水库除险加固，除险加固后水库大坝坝顶高程691.7m，校核洪水位689.33m，调洪库容140.00万m，正常蓄水位687.20m，兴利库容 225.00 万㎡，死水位686.00m，死库容 15.00 万m。</w:t>
      </w:r>
    </w:p>
    <w:p>
      <w:pPr>
        <w:spacing w:line="480" w:lineRule="auto"/>
        <w:ind w:firstLine="480" w:firstLineChars="200"/>
        <w:rPr>
          <w:rFonts w:hint="eastAsia" w:ascii="宋体" w:hAnsi="宋体" w:cs="宋体"/>
          <w:sz w:val="24"/>
        </w:rPr>
      </w:pPr>
      <w:r>
        <w:rPr>
          <w:rFonts w:hint="eastAsia" w:ascii="宋体" w:hAnsi="宋体" w:cs="宋体"/>
          <w:sz w:val="24"/>
        </w:rPr>
        <w:t>该水库承担的主要任务是拦蓄乌伦古河河水，调节灌溉期天然河道来水量分配不均匀问题，以满足杜热灌区近10万亩农田、草场灌溉和下游电站供水及防洪的要求。</w:t>
      </w:r>
    </w:p>
    <w:p>
      <w:pPr>
        <w:spacing w:line="480" w:lineRule="auto"/>
        <w:ind w:firstLine="480" w:firstLineChars="200"/>
        <w:rPr>
          <w:rFonts w:hint="eastAsia" w:ascii="宋体" w:hAnsi="宋体" w:cs="宋体"/>
          <w:sz w:val="24"/>
        </w:rPr>
      </w:pPr>
      <w:bookmarkStart w:id="107" w:name="_Toc30386_WPSOffice_Level2"/>
      <w:bookmarkStart w:id="108" w:name="_Toc21759_WPSOffice_Level2"/>
      <w:r>
        <w:rPr>
          <w:rFonts w:hint="eastAsia" w:ascii="宋体" w:hAnsi="宋体" w:cs="宋体"/>
          <w:sz w:val="24"/>
          <w:lang w:val="en-US" w:eastAsia="zh-CN"/>
        </w:rPr>
        <w:t>1.3.3</w:t>
      </w:r>
      <w:r>
        <w:rPr>
          <w:rFonts w:hint="eastAsia" w:ascii="宋体" w:hAnsi="宋体" w:cs="宋体"/>
          <w:sz w:val="24"/>
        </w:rPr>
        <w:t>广汇煤制气供水工程</w:t>
      </w:r>
      <w:bookmarkEnd w:id="107"/>
      <w:bookmarkEnd w:id="108"/>
    </w:p>
    <w:p>
      <w:pPr>
        <w:spacing w:line="480" w:lineRule="auto"/>
        <w:ind w:firstLine="480" w:firstLineChars="200"/>
        <w:rPr>
          <w:rFonts w:hint="eastAsia" w:ascii="宋体" w:hAnsi="宋体" w:cs="宋体"/>
          <w:sz w:val="24"/>
          <w:lang w:val="en-US" w:eastAsia="zh-CN"/>
        </w:rPr>
      </w:pPr>
      <w:r>
        <w:rPr>
          <w:rFonts w:hint="eastAsia" w:ascii="宋体" w:hAnsi="宋体" w:cs="宋体"/>
          <w:sz w:val="24"/>
        </w:rPr>
        <w:t>恰库尔图水库是一座以灌溉为主的水库，该水库为IV等小(1)型工程，主要建筑物 4级，次要建筑物5级，设计洪水标准为20年一遇,校核洪水标准100年一遇</w:t>
      </w:r>
      <w:r>
        <w:rPr>
          <w:rFonts w:hint="eastAsia" w:ascii="宋体" w:hAnsi="宋体" w:cs="宋体"/>
          <w:sz w:val="24"/>
          <w:lang w:eastAsia="zh-CN"/>
        </w:rPr>
        <w:t>，</w:t>
      </w:r>
      <w:r>
        <w:rPr>
          <w:rFonts w:hint="eastAsia" w:ascii="宋体" w:hAnsi="宋体" w:cs="宋体"/>
          <w:sz w:val="24"/>
          <w:lang w:val="en-US" w:eastAsia="zh-CN"/>
        </w:rPr>
        <w:t>2020年9月做了大坝安全鉴定、综合评价一类。工程存在的主要问题：</w:t>
      </w:r>
    </w:p>
    <w:p>
      <w:pPr>
        <w:spacing w:line="48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⑴左岸砂砾石副坝防浪墙局部地方出现表层砼脱落现象，需进行处理；</w:t>
      </w:r>
    </w:p>
    <w:p>
      <w:pPr>
        <w:spacing w:line="480" w:lineRule="auto"/>
        <w:ind w:firstLine="480" w:firstLineChars="200"/>
        <w:rPr>
          <w:rFonts w:hint="eastAsia" w:ascii="宋体" w:hAnsi="宋体" w:cs="宋体"/>
          <w:sz w:val="24"/>
          <w:lang w:eastAsia="zh-CN"/>
        </w:rPr>
      </w:pPr>
      <w:r>
        <w:rPr>
          <w:rFonts w:hint="eastAsia" w:ascii="宋体" w:hAnsi="宋体" w:cs="宋体"/>
          <w:sz w:val="24"/>
          <w:lang w:val="en-US" w:eastAsia="zh-CN"/>
        </w:rPr>
        <w:t>⑵泄冲闸少量漏水，为止水橡皮密封不严所致，需更换止水。已于2023年年底前全部整改完毕</w:t>
      </w:r>
      <w:r>
        <w:rPr>
          <w:rFonts w:hint="eastAsia" w:ascii="宋体" w:hAnsi="宋体" w:cs="宋体"/>
          <w:sz w:val="24"/>
        </w:rPr>
        <w:t>。</w:t>
      </w:r>
    </w:p>
    <w:p>
      <w:pPr>
        <w:spacing w:line="480" w:lineRule="auto"/>
        <w:ind w:firstLine="480" w:firstLineChars="200"/>
        <w:rPr>
          <w:rFonts w:hint="eastAsia" w:ascii="宋体" w:hAnsi="宋体" w:cs="宋体"/>
          <w:sz w:val="24"/>
        </w:rPr>
      </w:pPr>
      <w:r>
        <w:rPr>
          <w:rFonts w:hint="eastAsia" w:ascii="宋体" w:hAnsi="宋体" w:cs="宋体"/>
          <w:sz w:val="24"/>
        </w:rPr>
        <w:t>取水枢纽:位于恰库尔图镇哈西翁村河段，坝址河谷宽阔，呈“U”字型，水深1-3m，水位抬高有限。坝轴线总长624.83m，自左向右依次布置435m砂砾石坝段(坝顶高程844m)、7.93m进水口段、33.5m泄冲闸段、30m溢流坝段(坝顶高程 841m)、39m砼重力坝段(坝顶高程843.5m)，按正常蓄水位841m计，坝前水位抬高 10.5m，回水范围主要在河床中，回水长度8.5km,为河床型水库。</w:t>
      </w:r>
    </w:p>
    <w:p>
      <w:pPr>
        <w:spacing w:line="480" w:lineRule="auto"/>
        <w:ind w:firstLine="480" w:firstLineChars="200"/>
        <w:rPr>
          <w:rFonts w:hint="eastAsia" w:ascii="宋体" w:hAnsi="宋体" w:cs="宋体"/>
          <w:sz w:val="24"/>
        </w:rPr>
      </w:pPr>
      <w:r>
        <w:rPr>
          <w:rFonts w:hint="eastAsia" w:ascii="宋体" w:hAnsi="宋体" w:cs="宋体"/>
          <w:sz w:val="24"/>
        </w:rPr>
        <w:t>该水库主要为广汇集团煤制气项目提供工业及生活用水，同事兼顾项目建设区域内乌伦古河两岸现有1.8万亩农田的灌溉任务。</w:t>
      </w:r>
    </w:p>
    <w:p>
      <w:pPr>
        <w:spacing w:line="480" w:lineRule="auto"/>
        <w:ind w:firstLine="480" w:firstLineChars="200"/>
        <w:rPr>
          <w:rFonts w:hint="eastAsia" w:ascii="宋体" w:hAnsi="宋体" w:cs="宋体"/>
          <w:sz w:val="24"/>
        </w:rPr>
      </w:pPr>
    </w:p>
    <w:p>
      <w:pPr>
        <w:pStyle w:val="4"/>
        <w:rPr>
          <w:rFonts w:hint="eastAsia" w:ascii="宋体" w:hAnsi="宋体" w:cs="宋体"/>
          <w:sz w:val="24"/>
        </w:rPr>
      </w:pPr>
    </w:p>
    <w:p>
      <w:pPr>
        <w:pStyle w:val="4"/>
        <w:ind w:left="0" w:leftChars="0" w:firstLine="0" w:firstLineChars="0"/>
        <w:rPr>
          <w:rFonts w:hint="eastAsia" w:ascii="宋体" w:hAnsi="宋体" w:cs="宋体"/>
          <w:sz w:val="24"/>
        </w:rPr>
      </w:pPr>
    </w:p>
    <w:tbl>
      <w:tblPr>
        <w:tblStyle w:val="8"/>
        <w:tblW w:w="8680" w:type="dxa"/>
        <w:jc w:val="center"/>
        <w:tblInd w:w="0" w:type="dxa"/>
        <w:tblLayout w:type="fixed"/>
        <w:tblCellMar>
          <w:top w:w="0" w:type="dxa"/>
          <w:left w:w="0" w:type="dxa"/>
          <w:bottom w:w="0" w:type="dxa"/>
          <w:right w:w="0" w:type="dxa"/>
        </w:tblCellMar>
      </w:tblPr>
      <w:tblGrid>
        <w:gridCol w:w="379"/>
        <w:gridCol w:w="763"/>
        <w:gridCol w:w="830"/>
        <w:gridCol w:w="793"/>
        <w:gridCol w:w="692"/>
        <w:gridCol w:w="700"/>
        <w:gridCol w:w="684"/>
        <w:gridCol w:w="1020"/>
        <w:gridCol w:w="713"/>
        <w:gridCol w:w="692"/>
        <w:gridCol w:w="700"/>
        <w:gridCol w:w="714"/>
      </w:tblGrid>
      <w:tr>
        <w:tblPrEx>
          <w:tblLayout w:type="fixed"/>
          <w:tblCellMar>
            <w:top w:w="0" w:type="dxa"/>
            <w:left w:w="0" w:type="dxa"/>
            <w:bottom w:w="0" w:type="dxa"/>
            <w:right w:w="0" w:type="dxa"/>
          </w:tblCellMar>
        </w:tblPrEx>
        <w:trPr>
          <w:trHeight w:val="1155" w:hRule="atLeast"/>
          <w:jc w:val="center"/>
        </w:trPr>
        <w:tc>
          <w:tcPr>
            <w:tcW w:w="8680" w:type="dxa"/>
            <w:gridSpan w:val="12"/>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表1.3-1                            水库基本情况</w:t>
            </w:r>
          </w:p>
        </w:tc>
      </w:tr>
      <w:tr>
        <w:tblPrEx>
          <w:tblLayout w:type="fixed"/>
          <w:tblCellMar>
            <w:top w:w="0" w:type="dxa"/>
            <w:left w:w="0" w:type="dxa"/>
            <w:bottom w:w="0" w:type="dxa"/>
            <w:right w:w="0" w:type="dxa"/>
          </w:tblCellMar>
        </w:tblPrEx>
        <w:trPr>
          <w:trHeight w:val="615" w:hRule="atLeast"/>
          <w:jc w:val="center"/>
        </w:trPr>
        <w:tc>
          <w:tcPr>
            <w:tcW w:w="3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7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水库名称</w:t>
            </w:r>
          </w:p>
        </w:tc>
        <w:tc>
          <w:tcPr>
            <w:tcW w:w="8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所在水系</w:t>
            </w:r>
          </w:p>
        </w:tc>
        <w:tc>
          <w:tcPr>
            <w:tcW w:w="7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水库等级</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总库容(万m)</w:t>
            </w: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兴利库容(万)</w:t>
            </w:r>
          </w:p>
        </w:tc>
        <w:tc>
          <w:tcPr>
            <w:tcW w:w="6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大坝型式</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最大坝高(m)</w:t>
            </w:r>
          </w:p>
        </w:tc>
        <w:tc>
          <w:tcPr>
            <w:tcW w:w="7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主坝长(m)</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副坝长(m)</w:t>
            </w: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水库修建时间</w:t>
            </w:r>
          </w:p>
        </w:tc>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除险加固时间</w:t>
            </w:r>
          </w:p>
        </w:tc>
      </w:tr>
      <w:tr>
        <w:tblPrEx>
          <w:tblLayout w:type="fixed"/>
          <w:tblCellMar>
            <w:top w:w="0" w:type="dxa"/>
            <w:left w:w="0" w:type="dxa"/>
            <w:bottom w:w="0" w:type="dxa"/>
            <w:right w:w="0" w:type="dxa"/>
          </w:tblCellMar>
        </w:tblPrEx>
        <w:trPr>
          <w:trHeight w:val="911" w:hRule="atLeast"/>
          <w:jc w:val="center"/>
        </w:trPr>
        <w:tc>
          <w:tcPr>
            <w:tcW w:w="3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w:t>
            </w:r>
          </w:p>
        </w:tc>
        <w:tc>
          <w:tcPr>
            <w:tcW w:w="7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 萨尔铁列克水库 </w:t>
            </w:r>
          </w:p>
        </w:tc>
        <w:tc>
          <w:tcPr>
            <w:tcW w:w="8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乌伦古河</w:t>
            </w:r>
          </w:p>
        </w:tc>
        <w:tc>
          <w:tcPr>
            <w:tcW w:w="7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小(1)型</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325</w:t>
            </w: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195</w:t>
            </w:r>
          </w:p>
        </w:tc>
        <w:tc>
          <w:tcPr>
            <w:tcW w:w="6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土工膜斜墙坝</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15.67</w:t>
            </w:r>
          </w:p>
        </w:tc>
        <w:tc>
          <w:tcPr>
            <w:tcW w:w="7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133</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380</w:t>
            </w: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1974</w:t>
            </w:r>
          </w:p>
        </w:tc>
        <w:tc>
          <w:tcPr>
            <w:tcW w:w="7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2011</w:t>
            </w:r>
          </w:p>
        </w:tc>
      </w:tr>
      <w:tr>
        <w:tblPrEx>
          <w:tblLayout w:type="fixed"/>
          <w:tblCellMar>
            <w:top w:w="0" w:type="dxa"/>
            <w:left w:w="0" w:type="dxa"/>
            <w:bottom w:w="0" w:type="dxa"/>
            <w:right w:w="0" w:type="dxa"/>
          </w:tblCellMar>
        </w:tblPrEx>
        <w:trPr>
          <w:trHeight w:val="650" w:hRule="atLeast"/>
          <w:jc w:val="center"/>
        </w:trPr>
        <w:tc>
          <w:tcPr>
            <w:tcW w:w="3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w:t>
            </w:r>
          </w:p>
        </w:tc>
        <w:tc>
          <w:tcPr>
            <w:tcW w:w="7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 杜热水库</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p>
        </w:tc>
        <w:tc>
          <w:tcPr>
            <w:tcW w:w="7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小(1)型</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380</w:t>
            </w: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225</w:t>
            </w:r>
          </w:p>
        </w:tc>
        <w:tc>
          <w:tcPr>
            <w:tcW w:w="6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土工膜斜墙坝</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15.8/12.3</w:t>
            </w:r>
          </w:p>
        </w:tc>
        <w:tc>
          <w:tcPr>
            <w:tcW w:w="7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160</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000000"/>
                <w:sz w:val="22"/>
                <w:szCs w:val="22"/>
              </w:rPr>
            </w:pP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1955</w:t>
            </w:r>
          </w:p>
        </w:tc>
        <w:tc>
          <w:tcPr>
            <w:tcW w:w="7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2011</w:t>
            </w:r>
          </w:p>
        </w:tc>
      </w:tr>
      <w:tr>
        <w:tblPrEx>
          <w:tblLayout w:type="fixed"/>
          <w:tblCellMar>
            <w:top w:w="0" w:type="dxa"/>
            <w:left w:w="0" w:type="dxa"/>
            <w:bottom w:w="0" w:type="dxa"/>
            <w:right w:w="0" w:type="dxa"/>
          </w:tblCellMar>
        </w:tblPrEx>
        <w:trPr>
          <w:trHeight w:val="1076" w:hRule="atLeast"/>
          <w:jc w:val="center"/>
        </w:trPr>
        <w:tc>
          <w:tcPr>
            <w:tcW w:w="3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w:t>
            </w:r>
          </w:p>
        </w:tc>
        <w:tc>
          <w:tcPr>
            <w:tcW w:w="7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广汇煤制气供水工程</w:t>
            </w:r>
          </w:p>
        </w:tc>
        <w:tc>
          <w:tcPr>
            <w:tcW w:w="8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p>
        </w:tc>
        <w:tc>
          <w:tcPr>
            <w:tcW w:w="7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小(1)型</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724</w:t>
            </w: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200</w:t>
            </w:r>
          </w:p>
        </w:tc>
        <w:tc>
          <w:tcPr>
            <w:tcW w:w="6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土工膜斜墙坝</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13</w:t>
            </w:r>
          </w:p>
        </w:tc>
        <w:tc>
          <w:tcPr>
            <w:tcW w:w="7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624.83</w:t>
            </w:r>
          </w:p>
        </w:tc>
        <w:tc>
          <w:tcPr>
            <w:tcW w:w="6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000000"/>
                <w:sz w:val="22"/>
                <w:szCs w:val="22"/>
              </w:rPr>
            </w:pPr>
          </w:p>
        </w:tc>
        <w:tc>
          <w:tcPr>
            <w:tcW w:w="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righ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2010</w:t>
            </w:r>
          </w:p>
        </w:tc>
        <w:tc>
          <w:tcPr>
            <w:tcW w:w="7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color w:val="000000"/>
                <w:sz w:val="22"/>
                <w:szCs w:val="22"/>
              </w:rPr>
            </w:pPr>
          </w:p>
        </w:tc>
      </w:tr>
    </w:tbl>
    <w:p>
      <w:pPr>
        <w:spacing w:line="480" w:lineRule="auto"/>
        <w:ind w:firstLine="480" w:firstLineChars="200"/>
        <w:rPr>
          <w:rFonts w:hint="eastAsia" w:ascii="宋体" w:hAnsi="宋体" w:cs="宋体"/>
          <w:sz w:val="24"/>
        </w:rPr>
      </w:pPr>
      <w:r>
        <w:rPr>
          <w:rFonts w:hint="eastAsia" w:ascii="宋体" w:hAnsi="宋体" w:cs="宋体"/>
          <w:sz w:val="24"/>
        </w:rPr>
        <w:t>萨尔铁列克水库、杜热水库除险加固后运行了7年</w:t>
      </w:r>
    </w:p>
    <w:p>
      <w:pPr>
        <w:spacing w:line="480" w:lineRule="auto"/>
        <w:ind w:firstLine="562" w:firstLineChars="200"/>
        <w:rPr>
          <w:rFonts w:hint="eastAsia" w:ascii="黑体" w:eastAsia="黑体"/>
          <w:b/>
          <w:snapToGrid w:val="0"/>
          <w:kern w:val="0"/>
          <w:sz w:val="28"/>
          <w:highlight w:val="none"/>
        </w:rPr>
      </w:pPr>
      <w:bookmarkStart w:id="109" w:name="_Toc22583_WPSOffice_Level1"/>
      <w:bookmarkStart w:id="110" w:name="_Toc4225_WPSOffice_Level1"/>
      <w:r>
        <w:rPr>
          <w:rFonts w:hint="eastAsia" w:ascii="黑体" w:eastAsia="黑体"/>
          <w:b/>
          <w:snapToGrid w:val="0"/>
          <w:kern w:val="0"/>
          <w:sz w:val="28"/>
          <w:highlight w:val="none"/>
        </w:rPr>
        <w:t>1.4投资概算</w:t>
      </w:r>
      <w:bookmarkEnd w:id="109"/>
      <w:bookmarkEnd w:id="110"/>
    </w:p>
    <w:p>
      <w:pPr>
        <w:spacing w:line="480" w:lineRule="auto"/>
        <w:ind w:firstLine="480" w:firstLineChars="200"/>
        <w:rPr>
          <w:rFonts w:hint="eastAsia" w:ascii="等线 Light" w:hAnsi="等线 Light"/>
          <w:b/>
          <w:bCs/>
          <w:snapToGrid w:val="0"/>
          <w:color w:val="0000FF"/>
          <w:kern w:val="0"/>
          <w:sz w:val="32"/>
          <w:szCs w:val="32"/>
        </w:rPr>
      </w:pPr>
      <w:bookmarkStart w:id="111" w:name="_Toc6649_WPSOffice_Level1"/>
      <w:r>
        <w:rPr>
          <w:rFonts w:hint="eastAsia" w:ascii="宋体" w:hAnsi="宋体" w:cs="宋体"/>
          <w:color w:val="0000FF"/>
          <w:sz w:val="24"/>
        </w:rPr>
        <w:t>本维修养护工程总投资</w:t>
      </w:r>
      <w:r>
        <w:rPr>
          <w:rFonts w:hint="eastAsia" w:ascii="宋体" w:hAnsi="宋体" w:cs="宋体"/>
          <w:color w:val="0000FF"/>
          <w:sz w:val="24"/>
          <w:lang w:val="en-US" w:eastAsia="zh-CN"/>
        </w:rPr>
        <w:t>38.21</w:t>
      </w:r>
      <w:r>
        <w:rPr>
          <w:rFonts w:hint="eastAsia" w:ascii="宋体" w:hAnsi="宋体" w:cs="宋体"/>
          <w:color w:val="0000FF"/>
          <w:sz w:val="24"/>
        </w:rPr>
        <w:t>万元，其中18万元为中央资金，</w:t>
      </w:r>
      <w:r>
        <w:rPr>
          <w:rFonts w:hint="eastAsia" w:ascii="宋体" w:hAnsi="宋体" w:cs="宋体"/>
          <w:color w:val="0000FF"/>
          <w:sz w:val="24"/>
          <w:lang w:val="en-US" w:eastAsia="zh-CN"/>
        </w:rPr>
        <w:t>20.21</w:t>
      </w:r>
      <w:r>
        <w:rPr>
          <w:rFonts w:hint="eastAsia" w:ascii="宋体" w:hAnsi="宋体" w:cs="宋体"/>
          <w:color w:val="0000FF"/>
          <w:sz w:val="24"/>
        </w:rPr>
        <w:t>万元为地方配套。</w:t>
      </w:r>
    </w:p>
    <w:p>
      <w:pPr>
        <w:jc w:val="center"/>
        <w:rPr>
          <w:rFonts w:hint="eastAsia" w:ascii="等线 Light" w:hAnsi="等线 Light"/>
          <w:b/>
          <w:bCs/>
          <w:snapToGrid w:val="0"/>
          <w:kern w:val="0"/>
          <w:sz w:val="32"/>
          <w:szCs w:val="32"/>
        </w:rPr>
      </w:pPr>
    </w:p>
    <w:p>
      <w:pPr>
        <w:jc w:val="both"/>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bookmarkStart w:id="112" w:name="_Toc21801_WPSOffice_Level1"/>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r>
        <w:rPr>
          <w:rFonts w:hint="eastAsia" w:ascii="等线 Light" w:hAnsi="等线 Light"/>
          <w:b/>
          <w:bCs/>
          <w:snapToGrid w:val="0"/>
          <w:kern w:val="0"/>
          <w:sz w:val="32"/>
          <w:szCs w:val="32"/>
        </w:rPr>
        <w:t>2水库现状及存在的问题</w:t>
      </w:r>
      <w:bookmarkEnd w:id="111"/>
      <w:bookmarkEnd w:id="112"/>
    </w:p>
    <w:p>
      <w:pPr>
        <w:spacing w:line="480" w:lineRule="auto"/>
        <w:ind w:firstLine="562" w:firstLineChars="200"/>
        <w:rPr>
          <w:rFonts w:hint="eastAsia" w:ascii="黑体" w:eastAsia="黑体"/>
          <w:b/>
          <w:snapToGrid w:val="0"/>
          <w:kern w:val="0"/>
          <w:sz w:val="28"/>
        </w:rPr>
      </w:pPr>
      <w:bookmarkStart w:id="113" w:name="_Toc2059_WPSOffice_Level1"/>
      <w:bookmarkStart w:id="114" w:name="_Toc21827_WPSOffice_Level1"/>
      <w:r>
        <w:rPr>
          <w:rFonts w:hint="eastAsia" w:ascii="黑体" w:eastAsia="黑体"/>
          <w:b/>
          <w:snapToGrid w:val="0"/>
          <w:kern w:val="0"/>
          <w:sz w:val="28"/>
        </w:rPr>
        <w:t>2.1水库现状</w:t>
      </w:r>
      <w:bookmarkEnd w:id="113"/>
      <w:bookmarkEnd w:id="114"/>
    </w:p>
    <w:p>
      <w:pPr>
        <w:spacing w:line="480" w:lineRule="auto"/>
        <w:ind w:firstLine="482" w:firstLineChars="200"/>
        <w:rPr>
          <w:rFonts w:hint="eastAsia" w:ascii="宋体"/>
          <w:b/>
          <w:bCs/>
          <w:snapToGrid w:val="0"/>
          <w:kern w:val="0"/>
          <w:sz w:val="24"/>
        </w:rPr>
      </w:pPr>
      <w:bookmarkStart w:id="115" w:name="_Toc8983_WPSOffice_Level2"/>
      <w:bookmarkStart w:id="116" w:name="_Toc7637_WPSOffice_Level2"/>
      <w:r>
        <w:rPr>
          <w:rFonts w:hint="eastAsia" w:ascii="宋体"/>
          <w:b/>
          <w:bCs/>
          <w:snapToGrid w:val="0"/>
          <w:kern w:val="0"/>
          <w:sz w:val="24"/>
        </w:rPr>
        <w:t>2.1.1萨尔铁列克水库</w:t>
      </w:r>
      <w:bookmarkEnd w:id="115"/>
      <w:bookmarkEnd w:id="116"/>
    </w:p>
    <w:p>
      <w:pPr>
        <w:spacing w:line="480" w:lineRule="auto"/>
        <w:ind w:firstLine="480" w:firstLineChars="200"/>
        <w:rPr>
          <w:rFonts w:hint="eastAsia" w:ascii="宋体" w:hAnsi="宋体" w:cs="宋体"/>
          <w:sz w:val="24"/>
        </w:rPr>
      </w:pPr>
      <w:bookmarkStart w:id="117" w:name="_Toc8301_WPSOffice_Level3"/>
      <w:bookmarkStart w:id="118" w:name="_Toc21528_WPSOffice_Level3"/>
      <w:r>
        <w:rPr>
          <w:rFonts w:hint="eastAsia" w:ascii="宋体" w:hAnsi="宋体" w:cs="宋体"/>
          <w:sz w:val="24"/>
        </w:rPr>
        <w:t>(1)水库大坝</w:t>
      </w:r>
      <w:bookmarkEnd w:id="117"/>
      <w:bookmarkEnd w:id="118"/>
    </w:p>
    <w:p>
      <w:pPr>
        <w:spacing w:line="480" w:lineRule="auto"/>
        <w:ind w:firstLine="480" w:firstLineChars="200"/>
        <w:rPr>
          <w:rFonts w:hint="eastAsia" w:ascii="宋体" w:hAnsi="宋体" w:cs="宋体"/>
          <w:sz w:val="24"/>
        </w:rPr>
      </w:pPr>
      <w:r>
        <w:rPr>
          <w:rFonts w:hint="eastAsia" w:ascii="宋体" w:hAnsi="宋体" w:cs="宋体"/>
          <w:sz w:val="24"/>
        </w:rPr>
        <w:t>萨尔铁列克水库大坝为土工膜斜墙坝，坝顶高程为753.50m，最大坝高16.20m，主坝长度为144.00m，坝顶宽度为4.0m，上游坝坡为1:2.5，在高程746.00m设2.0m宽的马道，上游坝坡设</w:t>
      </w:r>
      <w:r>
        <w:rPr>
          <w:rFonts w:hint="eastAsia" w:ascii="宋体" w:hAnsi="宋体" w:cs="宋体"/>
          <w:color w:val="FF0000"/>
          <w:sz w:val="24"/>
          <w:lang w:val="en-US" w:eastAsia="zh-CN"/>
        </w:rPr>
        <w:t>15</w:t>
      </w:r>
      <w:r>
        <w:rPr>
          <w:rFonts w:hint="eastAsia" w:ascii="宋体" w:hAnsi="宋体" w:cs="宋体"/>
          <w:color w:val="FF0000"/>
          <w:sz w:val="24"/>
        </w:rPr>
        <w:t>cm</w:t>
      </w:r>
      <w:r>
        <w:rPr>
          <w:rFonts w:hint="eastAsia" w:ascii="宋体" w:hAnsi="宋体" w:cs="宋体"/>
          <w:sz w:val="24"/>
        </w:rPr>
        <w:t>厚的砼护坡，护坡下设60cm 砂砾石垫层，下部设复合土工膜防渗。下游坝坡为1:2.0，下游坝坡设砼网格护坡。在大坝死水位附近设置工作平台，开挖坝基截渗槽，再铺土工膜防渗。在截渗槽底浇注混凝土，将土工膜斜铺至基岩与浇筑于基岩槽内的砼连接。截渗槽开挖距离坝脚2.0m，开挖边坡为1:1.5，开挖深度为完全清除强风化层。</w:t>
      </w:r>
    </w:p>
    <w:p>
      <w:pPr>
        <w:spacing w:line="480" w:lineRule="auto"/>
        <w:ind w:firstLine="480" w:firstLineChars="200"/>
        <w:rPr>
          <w:rFonts w:hint="eastAsia" w:ascii="宋体" w:hAnsi="宋体" w:cs="宋体"/>
          <w:sz w:val="24"/>
        </w:rPr>
      </w:pPr>
      <w:r>
        <w:rPr>
          <w:rFonts w:hint="eastAsia" w:ascii="宋体" w:hAnsi="宋体" w:cs="宋体"/>
          <w:sz w:val="24"/>
        </w:rPr>
        <w:t>副坝一坝长158.40m，坝顶宽度4.0m，上游坝坡1:2.5，上游坝坡设</w:t>
      </w:r>
      <w:r>
        <w:rPr>
          <w:rFonts w:hint="eastAsia" w:ascii="宋体" w:hAnsi="宋体" w:cs="宋体"/>
          <w:color w:val="0000FF"/>
          <w:sz w:val="24"/>
          <w:lang w:val="en-US" w:eastAsia="zh-CN"/>
        </w:rPr>
        <w:t>15</w:t>
      </w:r>
      <w:r>
        <w:rPr>
          <w:rFonts w:hint="eastAsia" w:ascii="宋体" w:hAnsi="宋体" w:cs="宋体"/>
          <w:color w:val="0000FF"/>
          <w:sz w:val="24"/>
        </w:rPr>
        <w:t>cm</w:t>
      </w:r>
      <w:r>
        <w:rPr>
          <w:rFonts w:hint="eastAsia" w:ascii="宋体" w:hAnsi="宋体" w:cs="宋体"/>
          <w:sz w:val="24"/>
        </w:rPr>
        <w:t>厚的砼护坡，护坡下设60cm砂砾石垫层，下部设复合土工膜防渗。下游坝坡为1:2.0，下游坝坡设砼网格护坡。</w:t>
      </w:r>
    </w:p>
    <w:p>
      <w:pPr>
        <w:spacing w:line="480" w:lineRule="auto"/>
        <w:ind w:firstLine="480" w:firstLineChars="200"/>
        <w:rPr>
          <w:rFonts w:hint="eastAsia" w:ascii="宋体" w:hAnsi="宋体" w:cs="宋体"/>
          <w:sz w:val="24"/>
        </w:rPr>
      </w:pPr>
      <w:r>
        <w:rPr>
          <w:rFonts w:hint="eastAsia" w:ascii="宋体" w:hAnsi="宋体" w:cs="宋体"/>
          <w:sz w:val="24"/>
        </w:rPr>
        <w:t>副坝二坝长256.30m，坝顶宽度4.0m，上游坝坡1:2.5，上游坝坡设</w:t>
      </w:r>
      <w:r>
        <w:rPr>
          <w:rFonts w:hint="eastAsia" w:ascii="宋体" w:hAnsi="宋体" w:cs="宋体"/>
          <w:sz w:val="24"/>
          <w:lang w:val="en-US" w:eastAsia="zh-CN"/>
        </w:rPr>
        <w:t>15</w:t>
      </w:r>
      <w:r>
        <w:rPr>
          <w:rFonts w:hint="eastAsia" w:ascii="宋体" w:hAnsi="宋体" w:cs="宋体"/>
          <w:sz w:val="24"/>
        </w:rPr>
        <w:t>cm厚的砼护坡，护坡下设60cm砂砾石垫层，下部设复合土工膜防渗。下游坝坡为1:2.0，下游坝坡设砼网格护坡。</w:t>
      </w:r>
    </w:p>
    <w:p>
      <w:pPr>
        <w:spacing w:line="480" w:lineRule="auto"/>
        <w:ind w:firstLine="480" w:firstLineChars="200"/>
        <w:rPr>
          <w:rFonts w:hint="eastAsia" w:ascii="宋体" w:hAnsi="宋体" w:cs="宋体"/>
          <w:sz w:val="24"/>
        </w:rPr>
      </w:pPr>
      <w:bookmarkStart w:id="119" w:name="_Toc25814_WPSOffice_Level3"/>
      <w:bookmarkStart w:id="120" w:name="_Toc7918_WPSOffice_Level3"/>
      <w:r>
        <w:rPr>
          <w:rFonts w:hint="eastAsia" w:ascii="宋体" w:hAnsi="宋体" w:cs="宋体"/>
          <w:sz w:val="24"/>
        </w:rPr>
        <w:t>(2)水库泄水系统</w:t>
      </w:r>
      <w:bookmarkEnd w:id="119"/>
      <w:bookmarkEnd w:id="120"/>
    </w:p>
    <w:p>
      <w:pPr>
        <w:spacing w:line="480" w:lineRule="auto"/>
        <w:ind w:firstLine="480" w:firstLineChars="200"/>
        <w:rPr>
          <w:rFonts w:hint="eastAsia" w:ascii="宋体" w:hAnsi="宋体" w:cs="宋体"/>
          <w:sz w:val="24"/>
        </w:rPr>
      </w:pPr>
      <w:r>
        <w:rPr>
          <w:rFonts w:hint="eastAsia" w:ascii="宋体" w:hAnsi="宋体" w:cs="宋体"/>
          <w:sz w:val="24"/>
        </w:rPr>
        <w:t>泄洪冲沙闸闸室控制段长15m。泄洪冲沙闸共设置3孔，每孔净宽10m。中墩厚度为1.5m。为了便于交通和控制，在墩顶设置交通桥。闸室前设置5m水平铺盖，采用20cm厚混凝土。闸室后接一段1:3的陡坡，陡坡长 22m。陡坡后接消力池。根据水力计算结果，消力池长度取30m,消力池底部设置梅花型排水孔。其后接海漫段。海曼段后现有的冲坑由抛石混凝土回填。</w:t>
      </w:r>
    </w:p>
    <w:p>
      <w:pPr>
        <w:spacing w:line="480" w:lineRule="auto"/>
        <w:ind w:firstLine="480" w:firstLineChars="200"/>
        <w:rPr>
          <w:rFonts w:hint="eastAsia" w:ascii="宋体" w:hAnsi="宋体" w:cs="宋体"/>
          <w:sz w:val="24"/>
        </w:rPr>
      </w:pPr>
      <w:r>
        <w:rPr>
          <w:rFonts w:hint="eastAsia" w:ascii="宋体" w:hAnsi="宋体" w:cs="宋体"/>
          <w:sz w:val="24"/>
        </w:rPr>
        <w:t>泄洪冲沙闸净宽为30m，设置3孔。正常蓄水位为749.80m，经调洪计算，在设计洪水(P=3.3%)情况下，水库最高水位为750.35m，泄洪冲沙闸下泄流量468m/s;在校核洪水(P=0.33%)情况下，水库最高水位为752.15m，泄洪冲沙闸下泄流量780m/s。</w:t>
      </w:r>
    </w:p>
    <w:p>
      <w:pPr>
        <w:spacing w:line="480" w:lineRule="auto"/>
        <w:ind w:firstLine="480" w:firstLineChars="200"/>
        <w:rPr>
          <w:rFonts w:hint="eastAsia" w:ascii="宋体" w:hAnsi="宋体" w:cs="宋体"/>
          <w:sz w:val="24"/>
        </w:rPr>
      </w:pPr>
      <w:bookmarkStart w:id="121" w:name="_Toc32512_WPSOffice_Level3"/>
      <w:bookmarkStart w:id="122" w:name="_Toc2249_WPSOffice_Level3"/>
      <w:r>
        <w:rPr>
          <w:rFonts w:hint="eastAsia" w:ascii="宋体" w:hAnsi="宋体" w:cs="宋体"/>
          <w:sz w:val="24"/>
        </w:rPr>
        <w:t>(3)水库放水系统</w:t>
      </w:r>
      <w:bookmarkEnd w:id="121"/>
      <w:bookmarkEnd w:id="122"/>
    </w:p>
    <w:p>
      <w:pPr>
        <w:spacing w:line="480" w:lineRule="auto"/>
        <w:ind w:firstLine="480" w:firstLineChars="200"/>
        <w:rPr>
          <w:rFonts w:hint="eastAsia" w:ascii="宋体" w:hAnsi="宋体" w:cs="宋体"/>
          <w:sz w:val="24"/>
        </w:rPr>
      </w:pPr>
      <w:r>
        <w:rPr>
          <w:rFonts w:hint="eastAsia" w:ascii="宋体" w:hAnsi="宋体" w:cs="宋体"/>
          <w:sz w:val="24"/>
        </w:rPr>
        <w:t>放水闸位于副坝坝轴线0+120桩号处，胸墙式带桥进水闸，闸底板高程为</w:t>
      </w:r>
    </w:p>
    <w:p>
      <w:pPr>
        <w:spacing w:line="480" w:lineRule="auto"/>
        <w:ind w:firstLine="480" w:firstLineChars="200"/>
        <w:rPr>
          <w:rFonts w:hint="eastAsia" w:ascii="宋体" w:hAnsi="宋体" w:cs="宋体"/>
          <w:sz w:val="24"/>
        </w:rPr>
      </w:pPr>
      <w:r>
        <w:rPr>
          <w:rFonts w:hint="eastAsia" w:ascii="宋体" w:hAnsi="宋体" w:cs="宋体"/>
          <w:sz w:val="24"/>
        </w:rPr>
        <w:t>748.95m，孔口为宽x高=1.5x1.0m，放水涵洞设计流量为0.67m/s,放水涵洞加大流量为0.86m/s。</w:t>
      </w:r>
    </w:p>
    <w:p>
      <w:pPr>
        <w:spacing w:line="480" w:lineRule="auto"/>
        <w:ind w:firstLine="482" w:firstLineChars="200"/>
        <w:rPr>
          <w:rFonts w:hint="eastAsia" w:ascii="宋体"/>
          <w:b/>
          <w:bCs/>
          <w:snapToGrid w:val="0"/>
          <w:kern w:val="0"/>
          <w:sz w:val="24"/>
        </w:rPr>
      </w:pPr>
      <w:bookmarkStart w:id="123" w:name="_Toc5662_WPSOffice_Level2"/>
      <w:bookmarkStart w:id="124" w:name="_Toc16570_WPSOffice_Level2"/>
      <w:r>
        <w:rPr>
          <w:rFonts w:hint="eastAsia" w:ascii="宋体"/>
          <w:b/>
          <w:bCs/>
          <w:snapToGrid w:val="0"/>
          <w:kern w:val="0"/>
          <w:sz w:val="24"/>
        </w:rPr>
        <w:t>2.2.4水库金属结构设备</w:t>
      </w:r>
      <w:bookmarkEnd w:id="123"/>
      <w:bookmarkEnd w:id="124"/>
    </w:p>
    <w:p>
      <w:pPr>
        <w:spacing w:line="480" w:lineRule="auto"/>
        <w:ind w:firstLine="480" w:firstLineChars="200"/>
        <w:rPr>
          <w:rFonts w:hint="eastAsia" w:ascii="宋体" w:hAnsi="宋体" w:cs="宋体"/>
          <w:sz w:val="24"/>
        </w:rPr>
      </w:pPr>
      <w:r>
        <w:rPr>
          <w:rFonts w:hint="eastAsia" w:ascii="宋体" w:hAnsi="宋体" w:cs="宋体"/>
          <w:sz w:val="24"/>
        </w:rPr>
        <w:t>富蕴县萨尔铁列克水库主要金属结构为泄洪冲砂闸及放水闸泄洪冲砂闸工作闸门为弧形门，闸门采用斜支臂双主横梁式焊接结构，弧门半径R=7.0m,支铰高度4.85m,主梁与支臂支承跨度5.64m,两端悬臂长2.2m,支臂倾角15.571°。采用 QPH2X160KN卷扬式弧门启闭机操作。</w:t>
      </w:r>
    </w:p>
    <w:p>
      <w:pPr>
        <w:spacing w:line="480" w:lineRule="auto"/>
        <w:ind w:firstLine="480" w:firstLineChars="200"/>
        <w:rPr>
          <w:rFonts w:hint="eastAsia" w:ascii="宋体" w:hAnsi="宋体" w:cs="宋体"/>
          <w:sz w:val="24"/>
        </w:rPr>
      </w:pPr>
      <w:r>
        <w:rPr>
          <w:rFonts w:hint="eastAsia" w:ascii="宋体" w:hAnsi="宋体" w:cs="宋体"/>
          <w:sz w:val="24"/>
        </w:rPr>
        <w:t>泄洪冲砂闸设三孔闸槽共用一扇检修闸门，闸门为露顶式平板定轮钢闸门，门叶材料选用Q235B，焊接结构件，孔口尺寸为宽x高=10x3(m)，设计水头为</w:t>
      </w:r>
    </w:p>
    <w:p>
      <w:pPr>
        <w:spacing w:line="480" w:lineRule="auto"/>
        <w:rPr>
          <w:rFonts w:hint="eastAsia" w:ascii="宋体" w:hAnsi="宋体" w:cs="宋体"/>
          <w:sz w:val="24"/>
        </w:rPr>
      </w:pPr>
      <w:r>
        <w:rPr>
          <w:rFonts w:hint="eastAsia" w:ascii="宋体" w:hAnsi="宋体" w:cs="宋体"/>
          <w:sz w:val="24"/>
        </w:rPr>
        <w:t>2.7m。闸门为双吊点，吊点距为6m。闸门自重10.2t，预埋件重量3.8t。</w:t>
      </w:r>
    </w:p>
    <w:p>
      <w:pPr>
        <w:spacing w:line="480" w:lineRule="auto"/>
        <w:ind w:firstLine="482" w:firstLineChars="200"/>
        <w:rPr>
          <w:rFonts w:hint="eastAsia" w:ascii="宋体"/>
          <w:b/>
          <w:bCs/>
          <w:snapToGrid w:val="0"/>
          <w:kern w:val="0"/>
          <w:sz w:val="24"/>
        </w:rPr>
      </w:pPr>
      <w:bookmarkStart w:id="125" w:name="_Toc20355_WPSOffice_Level2"/>
      <w:bookmarkStart w:id="126" w:name="_Toc14252_WPSOffice_Level2"/>
      <w:r>
        <w:rPr>
          <w:rFonts w:hint="eastAsia" w:ascii="宋体"/>
          <w:b/>
          <w:bCs/>
          <w:snapToGrid w:val="0"/>
          <w:kern w:val="0"/>
          <w:sz w:val="24"/>
        </w:rPr>
        <w:t>2.1.2 杜热水库</w:t>
      </w:r>
      <w:bookmarkEnd w:id="125"/>
      <w:bookmarkEnd w:id="126"/>
    </w:p>
    <w:p>
      <w:pPr>
        <w:spacing w:line="480" w:lineRule="auto"/>
        <w:ind w:firstLine="480" w:firstLineChars="200"/>
        <w:rPr>
          <w:rFonts w:hint="eastAsia" w:ascii="宋体" w:hAnsi="宋体" w:cs="宋体"/>
          <w:sz w:val="24"/>
        </w:rPr>
      </w:pPr>
      <w:bookmarkStart w:id="127" w:name="_Toc14499_WPSOffice_Level3"/>
      <w:bookmarkStart w:id="128" w:name="_Toc22614_WPSOffice_Level3"/>
      <w:r>
        <w:rPr>
          <w:rFonts w:hint="eastAsia" w:ascii="宋体" w:hAnsi="宋体" w:cs="宋体"/>
          <w:sz w:val="24"/>
        </w:rPr>
        <w:t>(1)水库大坝</w:t>
      </w:r>
      <w:bookmarkEnd w:id="127"/>
      <w:bookmarkEnd w:id="128"/>
    </w:p>
    <w:p>
      <w:pPr>
        <w:spacing w:line="480" w:lineRule="auto"/>
        <w:ind w:firstLine="480" w:firstLineChars="200"/>
        <w:rPr>
          <w:rFonts w:hint="eastAsia" w:ascii="宋体" w:hAnsi="宋体" w:cs="宋体"/>
          <w:sz w:val="24"/>
        </w:rPr>
      </w:pPr>
      <w:r>
        <w:rPr>
          <w:rFonts w:hint="eastAsia" w:ascii="宋体" w:hAnsi="宋体" w:cs="宋体"/>
          <w:sz w:val="24"/>
        </w:rPr>
        <w:t>杜热水库大坝为土工膜斜墙防渗坝,坝顶高程为691.70m,设计坝顶宽5.0m，长度为160m。上游坝坡为1:2.5，护坡采用15.00cm厚现浇砼面板，现浇砼面板规格为3.00x3.00m，板与板之间设置2.5cm的伸缩缝，缝间采用高压闭孔板填缝，面板下铺设50.00cm的砂砾石垫层,再铺20.00cm厚的中粗砂垫层，在中粗砂垫层下铺设土工膜，并在膜下设50cm厚的砂砾石层作为排水层，土工膜采用两布一膜</w:t>
      </w:r>
      <w:r>
        <w:rPr>
          <w:rFonts w:hint="eastAsia" w:ascii="宋体" w:hAnsi="宋体" w:cs="宋体"/>
          <w:color w:val="0000FF"/>
          <w:sz w:val="24"/>
        </w:rPr>
        <w:t>(型号</w:t>
      </w:r>
      <w:r>
        <w:rPr>
          <w:rFonts w:hint="eastAsia" w:ascii="宋体" w:hAnsi="宋体" w:cs="宋体"/>
          <w:color w:val="0000FF"/>
          <w:sz w:val="24"/>
          <w:lang w:val="en-US" w:eastAsia="zh-CN"/>
        </w:rPr>
        <w:t>200g/5mm/200g</w:t>
      </w:r>
      <w:r>
        <w:rPr>
          <w:rFonts w:hint="eastAsia" w:ascii="宋体" w:hAnsi="宋体" w:cs="宋体"/>
          <w:color w:val="0000FF"/>
          <w:sz w:val="24"/>
        </w:rPr>
        <w:t>)</w:t>
      </w:r>
      <w:r>
        <w:rPr>
          <w:rFonts w:hint="eastAsia" w:ascii="宋体" w:hAnsi="宋体" w:cs="宋体"/>
          <w:sz w:val="24"/>
        </w:rPr>
        <w:t>，其渗透系数小于1.0x10-11cm/s,复合土工膜的材料力学特性应满足规范要求。</w:t>
      </w:r>
    </w:p>
    <w:p>
      <w:pPr>
        <w:spacing w:line="480" w:lineRule="auto"/>
        <w:ind w:firstLine="480" w:firstLineChars="200"/>
        <w:rPr>
          <w:rFonts w:hint="eastAsia" w:ascii="宋体" w:hAnsi="宋体" w:cs="宋体"/>
          <w:sz w:val="24"/>
        </w:rPr>
      </w:pPr>
      <w:bookmarkStart w:id="129" w:name="_Toc30151_WPSOffice_Level3"/>
      <w:bookmarkStart w:id="130" w:name="_Toc21319_WPSOffice_Level3"/>
      <w:r>
        <w:rPr>
          <w:rFonts w:hint="eastAsia" w:ascii="宋体" w:hAnsi="宋体" w:cs="宋体"/>
          <w:sz w:val="24"/>
        </w:rPr>
        <w:t>(2)北岸放水闸</w:t>
      </w:r>
      <w:bookmarkEnd w:id="129"/>
      <w:bookmarkEnd w:id="130"/>
    </w:p>
    <w:p>
      <w:pPr>
        <w:spacing w:line="480" w:lineRule="auto"/>
        <w:ind w:firstLine="480" w:firstLineChars="200"/>
        <w:rPr>
          <w:rFonts w:hint="eastAsia" w:ascii="宋体" w:hAnsi="宋体" w:cs="宋体"/>
          <w:sz w:val="24"/>
        </w:rPr>
      </w:pPr>
      <w:r>
        <w:rPr>
          <w:rFonts w:hint="eastAsia" w:ascii="宋体" w:hAnsi="宋体" w:cs="宋体"/>
          <w:sz w:val="24"/>
        </w:rPr>
        <w:t>北岸放水闸位于游主坝右岸(主坝桩号0+182.5)处，北岸灌溉放水闸由进口段、控制段、出口消能段组成，进口底板高程为686.00m，底板直接坐落于基岩上，闸井结构为钢筋砼结构，闸井底板厚度为0.5m,两侧边墙厚度为1.0m。闸室段长6.0m,闸孔净尺寸bxh=2.5x1.6m,并增设了检修闸门，北岸放水闸设计流量为5.41m/s。</w:t>
      </w:r>
    </w:p>
    <w:p>
      <w:pPr>
        <w:spacing w:line="480" w:lineRule="auto"/>
        <w:ind w:firstLine="480" w:firstLineChars="200"/>
        <w:rPr>
          <w:rFonts w:hint="eastAsia" w:ascii="宋体" w:hAnsi="宋体" w:cs="宋体"/>
          <w:sz w:val="24"/>
        </w:rPr>
      </w:pPr>
      <w:bookmarkStart w:id="131" w:name="_Toc27123_WPSOffice_Level3"/>
      <w:bookmarkStart w:id="132" w:name="_Toc17641_WPSOffice_Level3"/>
      <w:r>
        <w:rPr>
          <w:rFonts w:hint="eastAsia" w:ascii="宋体" w:hAnsi="宋体" w:cs="宋体"/>
          <w:sz w:val="24"/>
        </w:rPr>
        <w:t>(3)南岸放水闸</w:t>
      </w:r>
      <w:bookmarkEnd w:id="131"/>
      <w:bookmarkEnd w:id="132"/>
    </w:p>
    <w:p>
      <w:pPr>
        <w:spacing w:line="480" w:lineRule="auto"/>
        <w:ind w:firstLine="480" w:firstLineChars="200"/>
        <w:rPr>
          <w:rFonts w:hint="eastAsia" w:ascii="宋体" w:hAnsi="宋体" w:cs="宋体"/>
          <w:sz w:val="24"/>
        </w:rPr>
      </w:pPr>
      <w:r>
        <w:rPr>
          <w:rFonts w:hint="eastAsia" w:ascii="宋体" w:hAnsi="宋体" w:cs="宋体"/>
          <w:sz w:val="24"/>
        </w:rPr>
        <w:t>南岸放水闸是在原有的闸址上游500m处泄洪冲砂闸南岸重新修建的，放水闸由进口段、控制段、出口消能段组成，进口底板高程为686.00m,底板直接坐落于基岩上,闸井结构为钢筋砼结构,闸井底板厚度为0.5m,两侧边墙厚度为1.0m。闸室段长6.0m,闸孔净尺寸bxh=2.8x1.6m，并增设了检修闸门，南岸放水闸设计流量为6.03 m/s。</w:t>
      </w:r>
    </w:p>
    <w:p>
      <w:pPr>
        <w:spacing w:line="480" w:lineRule="auto"/>
        <w:ind w:firstLine="480" w:firstLineChars="200"/>
        <w:rPr>
          <w:rFonts w:hint="eastAsia" w:ascii="宋体" w:hAnsi="宋体" w:cs="宋体"/>
          <w:sz w:val="24"/>
        </w:rPr>
      </w:pPr>
      <w:bookmarkStart w:id="133" w:name="_Toc8341_WPSOffice_Level3"/>
      <w:bookmarkStart w:id="134" w:name="_Toc1936_WPSOffice_Level3"/>
      <w:r>
        <w:rPr>
          <w:rFonts w:hint="eastAsia" w:ascii="宋体" w:hAnsi="宋体" w:cs="宋体"/>
          <w:sz w:val="24"/>
        </w:rPr>
        <w:t>(4)水库金属结构设备</w:t>
      </w:r>
      <w:bookmarkEnd w:id="133"/>
      <w:bookmarkEnd w:id="134"/>
    </w:p>
    <w:p>
      <w:pPr>
        <w:spacing w:line="480" w:lineRule="auto"/>
        <w:ind w:firstLine="480" w:firstLineChars="200"/>
        <w:rPr>
          <w:rFonts w:hint="eastAsia" w:ascii="宋体" w:hAnsi="宋体" w:cs="宋体"/>
          <w:sz w:val="24"/>
        </w:rPr>
      </w:pPr>
      <w:r>
        <w:rPr>
          <w:rFonts w:hint="eastAsia" w:ascii="宋体" w:hAnsi="宋体" w:cs="宋体"/>
          <w:sz w:val="24"/>
        </w:rPr>
        <w:t>杜热水库金属结构主要是新建泄洪冲砂闸的工作闸门、检修闸门和启闭设备;南、北岸放水闸的工作闸门、检修闸门和启闭设备。</w:t>
      </w:r>
    </w:p>
    <w:p>
      <w:pPr>
        <w:spacing w:line="480" w:lineRule="auto"/>
        <w:ind w:firstLine="480" w:firstLineChars="200"/>
        <w:rPr>
          <w:rFonts w:hint="eastAsia" w:ascii="宋体" w:hAnsi="宋体" w:cs="宋体"/>
          <w:sz w:val="24"/>
        </w:rPr>
      </w:pPr>
      <w:r>
        <w:rPr>
          <w:rFonts w:hint="eastAsia" w:ascii="宋体" w:hAnsi="宋体" w:cs="宋体"/>
          <w:sz w:val="24"/>
        </w:rPr>
        <w:t>1)泄洪冲砂闸</w:t>
      </w:r>
    </w:p>
    <w:p>
      <w:pPr>
        <w:spacing w:line="480" w:lineRule="auto"/>
        <w:ind w:firstLine="480" w:firstLineChars="200"/>
        <w:rPr>
          <w:rFonts w:hint="eastAsia" w:ascii="宋体" w:hAnsi="宋体" w:cs="宋体"/>
          <w:sz w:val="24"/>
        </w:rPr>
      </w:pPr>
      <w:r>
        <w:rPr>
          <w:rFonts w:hint="eastAsia" w:ascii="宋体" w:hAnsi="宋体" w:cs="宋体"/>
          <w:sz w:val="24"/>
        </w:rPr>
        <w:t>工作闸门:泄洪冲砂闸为三孔，闸门型式为弧形闸门，启闭型式为双吊点。边孔孔口尺寸为12.0x4.0m，设计水头为3.2m。启闭机均选用三台型号 QPH2x160-14m 弧形卷扬式启闭机。</w:t>
      </w:r>
    </w:p>
    <w:p>
      <w:pPr>
        <w:spacing w:line="480" w:lineRule="auto"/>
        <w:ind w:firstLine="480" w:firstLineChars="200"/>
        <w:rPr>
          <w:rFonts w:hint="eastAsia" w:ascii="宋体" w:hAnsi="宋体" w:cs="宋体"/>
          <w:sz w:val="24"/>
        </w:rPr>
      </w:pPr>
      <w:r>
        <w:rPr>
          <w:rFonts w:hint="eastAsia" w:ascii="宋体" w:hAnsi="宋体" w:cs="宋体"/>
          <w:sz w:val="24"/>
        </w:rPr>
        <w:t>检修闸门:在中孔泄洪冲砂闸前设检修闸一扇，启闭型式为双吊点。孔口尺寸为12.0x3.0m，设计水头为2.7m，为平板钢闸门，启闭机选用1台型号为 QPQ2x100-14m平板卷扬式启闭机。</w:t>
      </w:r>
    </w:p>
    <w:p>
      <w:pPr>
        <w:spacing w:line="480" w:lineRule="auto"/>
        <w:ind w:firstLine="480" w:firstLineChars="200"/>
        <w:rPr>
          <w:rFonts w:hint="eastAsia" w:ascii="宋体" w:hAnsi="宋体" w:cs="宋体"/>
          <w:sz w:val="24"/>
        </w:rPr>
      </w:pPr>
      <w:r>
        <w:rPr>
          <w:rFonts w:hint="eastAsia" w:ascii="宋体" w:hAnsi="宋体" w:cs="宋体"/>
          <w:sz w:val="24"/>
        </w:rPr>
        <w:t>2)北岸放水闸</w:t>
      </w:r>
    </w:p>
    <w:p>
      <w:pPr>
        <w:spacing w:line="480" w:lineRule="auto"/>
        <w:ind w:firstLine="480" w:firstLineChars="200"/>
        <w:rPr>
          <w:rFonts w:hint="eastAsia" w:ascii="宋体" w:hAnsi="宋体" w:cs="宋体"/>
          <w:sz w:val="24"/>
        </w:rPr>
      </w:pPr>
      <w:r>
        <w:rPr>
          <w:rFonts w:hint="eastAsia" w:ascii="宋体" w:hAnsi="宋体" w:cs="宋体"/>
          <w:sz w:val="24"/>
        </w:rPr>
        <w:t>工作闸门:孔口尺寸为2.5x1.6m，共一孔，设计水头3.32m，设一扇潜孔式平板钢闸门，启闭型式为单吊点。启闭设备选用QL-10--SD手电两用螺杆式启闭机启闭。闸门为三主梁结构，采用下游封水，靠自重和水拄压力下门，闸门在动水中启闭。</w:t>
      </w:r>
    </w:p>
    <w:p>
      <w:pPr>
        <w:spacing w:line="480" w:lineRule="auto"/>
        <w:ind w:firstLine="480" w:firstLineChars="200"/>
        <w:rPr>
          <w:rFonts w:hint="eastAsia" w:ascii="宋体" w:hAnsi="宋体" w:cs="宋体"/>
          <w:sz w:val="24"/>
        </w:rPr>
      </w:pPr>
      <w:r>
        <w:rPr>
          <w:rFonts w:hint="eastAsia" w:ascii="宋体" w:hAnsi="宋体" w:cs="宋体"/>
          <w:sz w:val="24"/>
        </w:rPr>
        <w:t>检修闸门:孔口尺寸为2.5x1.6m，共一孔，设计水头3.32m，设一扇潜孔式平板钢闸门，启闭型式为单吊点。启闭设备选用QL-10--SD手电两用螺杆式启闭机启闭。闸门为三主梁结构，采用下游封水，靠自重和水拄压力下门，闸门在动水中启闭。</w:t>
      </w:r>
    </w:p>
    <w:p>
      <w:pPr>
        <w:spacing w:line="480" w:lineRule="auto"/>
        <w:ind w:firstLine="480" w:firstLineChars="200"/>
        <w:rPr>
          <w:rFonts w:hint="eastAsia" w:ascii="宋体" w:hAnsi="宋体" w:cs="宋体"/>
          <w:sz w:val="24"/>
        </w:rPr>
      </w:pPr>
      <w:r>
        <w:rPr>
          <w:rFonts w:hint="eastAsia" w:ascii="宋体" w:hAnsi="宋体" w:cs="宋体"/>
          <w:sz w:val="24"/>
        </w:rPr>
        <w:t>3)南岸放水闸</w:t>
      </w:r>
    </w:p>
    <w:p>
      <w:pPr>
        <w:spacing w:line="480" w:lineRule="auto"/>
        <w:ind w:firstLine="480" w:firstLineChars="200"/>
        <w:rPr>
          <w:rFonts w:hint="eastAsia" w:ascii="宋体" w:hAnsi="宋体" w:cs="宋体"/>
          <w:sz w:val="24"/>
        </w:rPr>
      </w:pPr>
      <w:r>
        <w:rPr>
          <w:rFonts w:hint="eastAsia" w:ascii="宋体" w:hAnsi="宋体" w:cs="宋体"/>
          <w:sz w:val="24"/>
        </w:rPr>
        <w:t>工作闸门:孔口尺寸为2.8x1.6m，共一孔，设计水头3.32m,设一扇潜孔式平板钢闸门，启闭型式为单吊点。启闭设备选用QL-10-SD手电两用螺杆式启闭机启闭。闸门为三主梁结构，采用下游封水，靠自重和水拄压力下门,闸门在动水中启闭。</w:t>
      </w:r>
    </w:p>
    <w:p>
      <w:pPr>
        <w:spacing w:line="480" w:lineRule="auto"/>
        <w:ind w:firstLine="480" w:firstLineChars="200"/>
        <w:rPr>
          <w:rFonts w:hint="eastAsia" w:ascii="宋体" w:hAnsi="宋体" w:cs="宋体"/>
          <w:sz w:val="24"/>
        </w:rPr>
      </w:pPr>
      <w:r>
        <w:rPr>
          <w:rFonts w:hint="eastAsia" w:ascii="宋体" w:hAnsi="宋体" w:cs="宋体"/>
          <w:sz w:val="24"/>
        </w:rPr>
        <w:t>检修闸门:孔口尺寸为2.8x1.6m，共一孔，设计水头3.32m,设一扇潜孔式平板钢闸门，启闭型式为单吊点。启闭设备选用QL-10-SD手电两用螺杆式启闭机启闭。闸门为三主梁结构，采用下游封水，靠自重和水拄压力下门，闸门在动水中启闭。</w:t>
      </w:r>
    </w:p>
    <w:p>
      <w:pPr>
        <w:spacing w:line="480" w:lineRule="auto"/>
        <w:rPr>
          <w:rFonts w:hint="eastAsia" w:ascii="宋体"/>
          <w:b/>
          <w:bCs/>
          <w:snapToGrid w:val="0"/>
          <w:kern w:val="0"/>
          <w:sz w:val="24"/>
        </w:rPr>
      </w:pPr>
      <w:bookmarkStart w:id="135" w:name="_Toc2441_WPSOffice_Level2"/>
      <w:bookmarkStart w:id="136" w:name="_Toc13328_WPSOffice_Level2"/>
      <w:r>
        <w:rPr>
          <w:rFonts w:hint="eastAsia" w:ascii="宋体"/>
          <w:b/>
          <w:bCs/>
          <w:snapToGrid w:val="0"/>
          <w:kern w:val="0"/>
          <w:sz w:val="24"/>
        </w:rPr>
        <w:t>2.1.3广汇煤制气供水工程</w:t>
      </w:r>
      <w:bookmarkEnd w:id="135"/>
      <w:bookmarkEnd w:id="136"/>
    </w:p>
    <w:p>
      <w:pPr>
        <w:spacing w:line="480" w:lineRule="auto"/>
        <w:ind w:firstLine="480" w:firstLineChars="200"/>
        <w:rPr>
          <w:rFonts w:hint="eastAsia" w:ascii="宋体" w:hAnsi="宋体" w:cs="宋体"/>
          <w:sz w:val="24"/>
        </w:rPr>
      </w:pPr>
      <w:r>
        <w:rPr>
          <w:rFonts w:hint="eastAsia" w:ascii="宋体" w:hAnsi="宋体" w:cs="宋体"/>
          <w:sz w:val="24"/>
        </w:rPr>
        <w:t>取水枢纽:位于恰库尔图镇哈西翁村河段，坝址河谷宽阔，呈“U”字型，水深1-3m,水位抬高有限。坝轴线总长624.83m,自左向右依次布置435m砂砾石坝段(坝顶高程844m)、7.93m进水口段、33.5m泄冲闸段、30m溢流坝段(坝顶高程841m)、39m砼重力坝段(坝顶高程843.5m),按正常蓄水位841m计,坝前水位抬高10.5m</w:t>
      </w:r>
      <w:r>
        <w:rPr>
          <w:rFonts w:hint="eastAsia" w:ascii="宋体" w:hAnsi="宋体" w:cs="宋体"/>
          <w:sz w:val="24"/>
          <w:lang w:val="en-US" w:eastAsia="zh-CN"/>
        </w:rPr>
        <w:t xml:space="preserve"> </w:t>
      </w:r>
      <w:r>
        <w:rPr>
          <w:rFonts w:hint="eastAsia" w:ascii="宋体" w:hAnsi="宋体" w:cs="宋体"/>
          <w:sz w:val="24"/>
        </w:rPr>
        <w:t>,回水范围主要在河床中，回水长度8.5km,为河床型水库。</w:t>
      </w:r>
    </w:p>
    <w:p>
      <w:pPr>
        <w:pStyle w:val="2"/>
        <w:adjustRightInd w:val="0"/>
        <w:snapToGrid w:val="0"/>
        <w:spacing w:before="0" w:after="0" w:line="360" w:lineRule="auto"/>
        <w:rPr>
          <w:rFonts w:hint="eastAsia" w:ascii="黑体" w:hAnsi="Times New Roman" w:eastAsia="黑体"/>
          <w:bCs w:val="0"/>
          <w:snapToGrid w:val="0"/>
          <w:kern w:val="0"/>
          <w:sz w:val="28"/>
          <w:szCs w:val="24"/>
        </w:rPr>
      </w:pPr>
      <w:bookmarkStart w:id="137" w:name="_Toc7569_WPSOffice_Level1"/>
      <w:bookmarkStart w:id="138" w:name="_Toc22434_WPSOffice_Level1"/>
      <w:r>
        <w:rPr>
          <w:rFonts w:hint="eastAsia" w:ascii="黑体" w:hAnsi="Times New Roman" w:eastAsia="黑体"/>
          <w:bCs w:val="0"/>
          <w:snapToGrid w:val="0"/>
          <w:kern w:val="0"/>
          <w:sz w:val="28"/>
          <w:szCs w:val="24"/>
        </w:rPr>
        <w:t>2.2水库存在的问题</w:t>
      </w:r>
      <w:bookmarkEnd w:id="137"/>
      <w:bookmarkEnd w:id="138"/>
    </w:p>
    <w:p>
      <w:pPr>
        <w:spacing w:line="480" w:lineRule="auto"/>
        <w:ind w:firstLine="482" w:firstLineChars="200"/>
        <w:rPr>
          <w:rFonts w:hint="eastAsia" w:ascii="宋体"/>
          <w:b/>
          <w:bCs/>
          <w:snapToGrid w:val="0"/>
          <w:kern w:val="0"/>
          <w:sz w:val="24"/>
        </w:rPr>
      </w:pPr>
      <w:bookmarkStart w:id="139" w:name="_Toc1018_WPSOffice_Level2"/>
      <w:bookmarkStart w:id="140" w:name="_Toc28389_WPSOffice_Level2"/>
      <w:r>
        <w:rPr>
          <w:rFonts w:hint="eastAsia" w:ascii="宋体"/>
          <w:b/>
          <w:bCs/>
          <w:snapToGrid w:val="0"/>
          <w:kern w:val="0"/>
          <w:sz w:val="24"/>
        </w:rPr>
        <w:t>2.2.1萨尔铁列克水库</w:t>
      </w:r>
      <w:bookmarkEnd w:id="139"/>
      <w:bookmarkEnd w:id="140"/>
    </w:p>
    <w:p>
      <w:pPr>
        <w:spacing w:line="480" w:lineRule="auto"/>
        <w:ind w:firstLine="480" w:firstLineChars="200"/>
        <w:jc w:val="both"/>
        <w:rPr>
          <w:rFonts w:hint="eastAsia" w:ascii="宋体" w:hAnsi="宋体" w:cs="宋体"/>
          <w:sz w:val="24"/>
        </w:rPr>
      </w:pPr>
      <w:r>
        <w:rPr>
          <w:rFonts w:hint="eastAsia" w:ascii="宋体" w:hAnsi="宋体" w:cs="宋体"/>
          <w:sz w:val="24"/>
          <w:lang w:eastAsia="zh-CN"/>
        </w:rPr>
        <w:t>泄洪冲沙闸下游段两边</w:t>
      </w:r>
      <w:r>
        <w:rPr>
          <w:rFonts w:hint="eastAsia" w:ascii="宋体" w:hAnsi="宋体" w:cs="宋体"/>
          <w:sz w:val="24"/>
        </w:rPr>
        <w:t>需新增栏杆；现状迎水面护坡面板下沉</w:t>
      </w:r>
      <w:r>
        <w:rPr>
          <w:rFonts w:hint="eastAsia" w:ascii="宋体" w:hAnsi="宋体" w:cs="宋体"/>
          <w:sz w:val="24"/>
          <w:lang w:val="en-US" w:eastAsia="zh-CN"/>
        </w:rPr>
        <w:t>断裂(桩号</w:t>
      </w:r>
      <w:r>
        <w:rPr>
          <w:rFonts w:hint="eastAsia" w:ascii="宋体" w:hAnsi="宋体" w:cs="宋体"/>
          <w:sz w:val="24"/>
        </w:rPr>
        <w:t>0+315到0+422</w:t>
      </w:r>
      <w:r>
        <w:rPr>
          <w:rFonts w:hint="eastAsia" w:ascii="宋体" w:hAnsi="宋体" w:cs="宋体"/>
          <w:sz w:val="24"/>
          <w:lang w:eastAsia="zh-CN"/>
        </w:rPr>
        <w:t>之间</w:t>
      </w:r>
      <w:r>
        <w:rPr>
          <w:rFonts w:hint="eastAsia" w:ascii="宋体" w:hAnsi="宋体" w:cs="宋体"/>
          <w:sz w:val="24"/>
          <w:lang w:val="en-US" w:eastAsia="zh-CN"/>
        </w:rPr>
        <w:t>)、面板发生断裂、凸起原因是下面垫层发生不均匀沉降，发生冻胀造成的，所以面板更换的同时对下部砂砾石垫层进行补充碾压；</w:t>
      </w:r>
      <w:r>
        <w:rPr>
          <w:rFonts w:hint="eastAsia" w:ascii="宋体" w:hAnsi="宋体" w:cs="宋体"/>
          <w:sz w:val="24"/>
          <w:lang w:eastAsia="zh-CN"/>
        </w:rPr>
        <w:t>泄洪冲沙闸边墙</w:t>
      </w:r>
      <w:r>
        <w:rPr>
          <w:rFonts w:hint="eastAsia" w:ascii="宋体"/>
          <w:b w:val="0"/>
          <w:bCs w:val="0"/>
          <w:snapToGrid/>
          <w:color w:val="auto"/>
          <w:kern w:val="2"/>
          <w:sz w:val="24"/>
          <w:szCs w:val="24"/>
          <w:lang w:val="en-US" w:eastAsia="zh-CN" w:bidi="ar-SA"/>
        </w:rPr>
        <w:t>和消力池底板混凝土空蚀磨</w:t>
      </w:r>
      <w:r>
        <w:rPr>
          <w:rFonts w:hint="eastAsia" w:ascii="宋体" w:hAnsi="宋体" w:cs="宋体"/>
          <w:sz w:val="24"/>
          <w:lang w:val="en-US" w:eastAsia="zh-CN"/>
        </w:rPr>
        <w:t>、部分漏筋</w:t>
      </w:r>
      <w:r>
        <w:rPr>
          <w:rFonts w:hint="eastAsia" w:ascii="宋体" w:hAnsi="宋体" w:cs="宋体"/>
          <w:sz w:val="24"/>
          <w:lang w:eastAsia="zh-CN"/>
        </w:rPr>
        <w:t>；</w:t>
      </w:r>
      <w:r>
        <w:rPr>
          <w:rFonts w:hint="eastAsia" w:ascii="宋体" w:hAnsi="宋体" w:cs="宋体"/>
          <w:sz w:val="24"/>
        </w:rPr>
        <w:t>3个弧形工作闸门门板锈蚀；三个工作闸和检修闸电动机、轴承需要维修养护；室内配电柜故障急需更换；需要新建油品间。</w:t>
      </w:r>
    </w:p>
    <w:p>
      <w:pPr>
        <w:spacing w:line="480" w:lineRule="auto"/>
        <w:jc w:val="center"/>
        <w:rPr>
          <w:rFonts w:hint="eastAsia" w:ascii="宋体" w:hAnsi="宋体" w:cs="宋体"/>
          <w:sz w:val="24"/>
        </w:rPr>
      </w:pPr>
      <w:r>
        <w:rPr>
          <w:rFonts w:hint="eastAsia" w:ascii="宋体" w:hAnsi="宋体" w:cs="宋体"/>
          <w:sz w:val="24"/>
        </w:rPr>
        <w:drawing>
          <wp:inline distT="0" distB="0" distL="114300" distR="114300">
            <wp:extent cx="5264785" cy="3531235"/>
            <wp:effectExtent l="0" t="0" r="5715" b="12065"/>
            <wp:docPr id="2" name="图片 1" descr="ade9f2e0725ec25c23cb284c7b7c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de9f2e0725ec25c23cb284c7b7cae0"/>
                    <pic:cNvPicPr>
                      <a:picLocks noChangeAspect="1"/>
                    </pic:cNvPicPr>
                  </pic:nvPicPr>
                  <pic:blipFill>
                    <a:blip r:embed="rId9"/>
                    <a:stretch>
                      <a:fillRect/>
                    </a:stretch>
                  </pic:blipFill>
                  <pic:spPr>
                    <a:xfrm>
                      <a:off x="0" y="0"/>
                      <a:ext cx="5264785" cy="3531235"/>
                    </a:xfrm>
                    <a:prstGeom prst="rect">
                      <a:avLst/>
                    </a:prstGeom>
                    <a:noFill/>
                    <a:ln>
                      <a:noFill/>
                    </a:ln>
                  </pic:spPr>
                </pic:pic>
              </a:graphicData>
            </a:graphic>
          </wp:inline>
        </w:drawing>
      </w:r>
      <w:r>
        <w:rPr>
          <w:rFonts w:hint="eastAsia" w:ascii="宋体" w:hAnsi="宋体" w:cs="宋体"/>
          <w:sz w:val="24"/>
        </w:rPr>
        <w:t>水库溢洪道两边需新增10</w:t>
      </w:r>
      <w:r>
        <w:rPr>
          <w:rFonts w:hint="eastAsia" w:ascii="宋体" w:hAnsi="宋体" w:cs="宋体"/>
          <w:sz w:val="24"/>
          <w:lang w:val="en-US" w:eastAsia="zh-CN"/>
        </w:rPr>
        <w:t>5</w:t>
      </w:r>
      <w:r>
        <w:rPr>
          <w:rFonts w:hint="eastAsia" w:ascii="宋体" w:hAnsi="宋体" w:cs="宋体"/>
          <w:sz w:val="24"/>
        </w:rPr>
        <w:t>m长的栏</w:t>
      </w:r>
    </w:p>
    <w:p>
      <w:pPr>
        <w:pStyle w:val="4"/>
        <w:ind w:left="0" w:leftChars="0" w:firstLine="0" w:firstLineChars="0"/>
        <w:jc w:val="both"/>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64785" cy="3947160"/>
            <wp:effectExtent l="0" t="0" r="5715" b="2540"/>
            <wp:docPr id="9" name="图片 9" descr="73c4ef5924e5165b8068d8d97adb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3c4ef5924e5165b8068d8d97adb0db"/>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pPr>
        <w:pStyle w:val="4"/>
        <w:ind w:left="0" w:leftChars="0" w:firstLine="0" w:firstLineChars="0"/>
        <w:jc w:val="center"/>
        <w:rPr>
          <w:rFonts w:hint="default" w:ascii="宋体" w:hAnsi="宋体" w:eastAsia="宋体" w:cs="宋体"/>
          <w:sz w:val="24"/>
          <w:lang w:val="en-US" w:eastAsia="zh-CN"/>
        </w:rPr>
      </w:pPr>
      <w:r>
        <w:rPr>
          <w:rFonts w:hint="eastAsia" w:ascii="宋体"/>
          <w:b w:val="0"/>
          <w:bCs w:val="0"/>
          <w:snapToGrid/>
          <w:color w:val="auto"/>
          <w:kern w:val="2"/>
          <w:sz w:val="24"/>
          <w:szCs w:val="24"/>
          <w:lang w:val="en-US" w:eastAsia="zh-CN" w:bidi="ar-SA"/>
        </w:rPr>
        <w:t>溢洪道和消力池底板混凝土空蚀磨，部分漏筋</w:t>
      </w:r>
    </w:p>
    <w:p>
      <w:pPr>
        <w:spacing w:line="480" w:lineRule="auto"/>
        <w:jc w:val="center"/>
        <w:rPr>
          <w:rFonts w:hint="eastAsia" w:eastAsia="宋体"/>
          <w:lang w:eastAsia="zh-CN"/>
        </w:rPr>
      </w:pPr>
      <w:r>
        <w:rPr>
          <w:rFonts w:hint="eastAsia" w:eastAsia="宋体"/>
          <w:lang w:eastAsia="zh-CN"/>
        </w:rPr>
        <w:drawing>
          <wp:inline distT="0" distB="0" distL="114300" distR="114300">
            <wp:extent cx="5264785" cy="3757295"/>
            <wp:effectExtent l="0" t="0" r="12065" b="14605"/>
            <wp:docPr id="10" name="图片 10" descr="f493b5f0c22ca3ae0e13dd253542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93b5f0c22ca3ae0e13dd253542cb5"/>
                    <pic:cNvPicPr>
                      <a:picLocks noChangeAspect="1"/>
                    </pic:cNvPicPr>
                  </pic:nvPicPr>
                  <pic:blipFill>
                    <a:blip r:embed="rId11"/>
                    <a:stretch>
                      <a:fillRect/>
                    </a:stretch>
                  </pic:blipFill>
                  <pic:spPr>
                    <a:xfrm>
                      <a:off x="0" y="0"/>
                      <a:ext cx="5264785" cy="3757295"/>
                    </a:xfrm>
                    <a:prstGeom prst="rect">
                      <a:avLst/>
                    </a:prstGeom>
                  </pic:spPr>
                </pic:pic>
              </a:graphicData>
            </a:graphic>
          </wp:inline>
        </w:drawing>
      </w:r>
    </w:p>
    <w:p>
      <w:pPr>
        <w:spacing w:line="480" w:lineRule="auto"/>
        <w:jc w:val="center"/>
        <w:rPr>
          <w:rFonts w:hint="default" w:ascii="宋体" w:hAnsi="宋体" w:eastAsia="宋体" w:cs="宋体"/>
          <w:sz w:val="24"/>
          <w:lang w:val="en-US" w:eastAsia="zh-CN"/>
        </w:rPr>
      </w:pPr>
      <w:bookmarkStart w:id="141" w:name="_Toc25085_WPSOffice_Level3"/>
      <w:r>
        <w:rPr>
          <w:rFonts w:hint="eastAsia" w:ascii="宋体" w:hAnsi="宋体" w:cs="宋体"/>
          <w:sz w:val="24"/>
        </w:rPr>
        <w:t>现状迎水面护坡面板下沉</w:t>
      </w:r>
      <w:bookmarkEnd w:id="141"/>
      <w:r>
        <w:rPr>
          <w:rFonts w:hint="eastAsia" w:ascii="宋体" w:hAnsi="宋体" w:cs="宋体"/>
          <w:sz w:val="24"/>
          <w:lang w:eastAsia="zh-CN"/>
        </w:rPr>
        <w:t>、</w:t>
      </w:r>
      <w:r>
        <w:rPr>
          <w:rFonts w:hint="eastAsia" w:ascii="宋体" w:hAnsi="宋体" w:cs="宋体"/>
          <w:sz w:val="24"/>
          <w:lang w:val="en-US" w:eastAsia="zh-CN"/>
        </w:rPr>
        <w:t>断裂</w:t>
      </w:r>
    </w:p>
    <w:p>
      <w:pPr>
        <w:spacing w:line="480" w:lineRule="auto"/>
        <w:jc w:val="center"/>
        <w:rPr>
          <w:rFonts w:hint="eastAsia"/>
        </w:rPr>
      </w:pPr>
      <w:r>
        <w:rPr>
          <w:rFonts w:hint="eastAsia"/>
        </w:rPr>
        <w:drawing>
          <wp:inline distT="0" distB="0" distL="114300" distR="114300">
            <wp:extent cx="3547110" cy="5147310"/>
            <wp:effectExtent l="0" t="0" r="15240" b="15240"/>
            <wp:docPr id="4" name="图片 3" descr="b9b03d459805cc1d0b4bfff75d5b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b9b03d459805cc1d0b4bfff75d5bdc2"/>
                    <pic:cNvPicPr>
                      <a:picLocks noChangeAspect="1"/>
                    </pic:cNvPicPr>
                  </pic:nvPicPr>
                  <pic:blipFill>
                    <a:blip r:embed="rId12"/>
                    <a:stretch>
                      <a:fillRect/>
                    </a:stretch>
                  </pic:blipFill>
                  <pic:spPr>
                    <a:xfrm rot="5400000">
                      <a:off x="0" y="0"/>
                      <a:ext cx="3547110" cy="5147310"/>
                    </a:xfrm>
                    <a:prstGeom prst="rect">
                      <a:avLst/>
                    </a:prstGeom>
                    <a:noFill/>
                    <a:ln>
                      <a:noFill/>
                    </a:ln>
                  </pic:spPr>
                </pic:pic>
              </a:graphicData>
            </a:graphic>
          </wp:inline>
        </w:drawing>
      </w:r>
      <w:r>
        <w:rPr>
          <w:rFonts w:hint="eastAsia" w:ascii="宋体" w:hAnsi="宋体" w:cs="宋体"/>
          <w:sz w:val="24"/>
          <w:lang w:eastAsia="zh-CN"/>
        </w:rPr>
        <w:t>三</w:t>
      </w:r>
      <w:r>
        <w:rPr>
          <w:rFonts w:hint="eastAsia" w:ascii="宋体" w:hAnsi="宋体" w:cs="宋体"/>
          <w:sz w:val="24"/>
        </w:rPr>
        <w:t>个工作闸门门板锈蚀</w:t>
      </w:r>
    </w:p>
    <w:p>
      <w:pPr>
        <w:pStyle w:val="2"/>
        <w:jc w:val="center"/>
        <w:rPr>
          <w:rFonts w:hint="eastAsia" w:eastAsia="宋体"/>
          <w:lang w:eastAsia="zh-CN"/>
        </w:rPr>
      </w:pPr>
      <w:r>
        <w:rPr>
          <w:rFonts w:hint="eastAsia"/>
        </w:rPr>
        <w:drawing>
          <wp:inline distT="0" distB="0" distL="114300" distR="114300">
            <wp:extent cx="5203825" cy="3613785"/>
            <wp:effectExtent l="0" t="0" r="15875" b="5715"/>
            <wp:docPr id="3" name="图片 4" descr="e54c1ebef5a074ffc32dc95c571e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54c1ebef5a074ffc32dc95c571ef11"/>
                    <pic:cNvPicPr>
                      <a:picLocks noChangeAspect="1"/>
                    </pic:cNvPicPr>
                  </pic:nvPicPr>
                  <pic:blipFill>
                    <a:blip r:embed="rId13"/>
                    <a:stretch>
                      <a:fillRect/>
                    </a:stretch>
                  </pic:blipFill>
                  <pic:spPr>
                    <a:xfrm>
                      <a:off x="0" y="0"/>
                      <a:ext cx="5203825" cy="3613785"/>
                    </a:xfrm>
                    <a:prstGeom prst="rect">
                      <a:avLst/>
                    </a:prstGeom>
                    <a:noFill/>
                    <a:ln>
                      <a:noFill/>
                    </a:ln>
                  </pic:spPr>
                </pic:pic>
              </a:graphicData>
            </a:graphic>
          </wp:inline>
        </w:drawing>
      </w:r>
      <w:r>
        <w:rPr>
          <w:rFonts w:hint="eastAsia" w:eastAsia="宋体"/>
          <w:lang w:eastAsia="zh-CN"/>
        </w:rPr>
        <w:drawing>
          <wp:inline distT="0" distB="0" distL="114300" distR="114300">
            <wp:extent cx="5168900" cy="4180205"/>
            <wp:effectExtent l="0" t="0" r="12700" b="10795"/>
            <wp:docPr id="5" name="图片 5" descr="7dd82d8114b2640a86c4ef345c31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d82d8114b2640a86c4ef345c3126a"/>
                    <pic:cNvPicPr>
                      <a:picLocks noChangeAspect="1"/>
                    </pic:cNvPicPr>
                  </pic:nvPicPr>
                  <pic:blipFill>
                    <a:blip r:embed="rId14"/>
                    <a:stretch>
                      <a:fillRect/>
                    </a:stretch>
                  </pic:blipFill>
                  <pic:spPr>
                    <a:xfrm>
                      <a:off x="0" y="0"/>
                      <a:ext cx="5168900" cy="4180205"/>
                    </a:xfrm>
                    <a:prstGeom prst="rect">
                      <a:avLst/>
                    </a:prstGeom>
                  </pic:spPr>
                </pic:pic>
              </a:graphicData>
            </a:graphic>
          </wp:inline>
        </w:drawing>
      </w:r>
    </w:p>
    <w:p>
      <w:pPr>
        <w:ind w:firstLine="960" w:firstLineChars="400"/>
        <w:jc w:val="center"/>
        <w:rPr>
          <w:rFonts w:hint="eastAsia" w:ascii="宋体"/>
          <w:b/>
          <w:bCs/>
          <w:snapToGrid w:val="0"/>
          <w:kern w:val="0"/>
          <w:sz w:val="24"/>
        </w:rPr>
      </w:pPr>
      <w:bookmarkStart w:id="142" w:name="_Toc14414_WPSOffice_Level3"/>
      <w:bookmarkStart w:id="143" w:name="_Toc9296_WPSOffice_Level3"/>
      <w:r>
        <w:rPr>
          <w:rFonts w:hint="eastAsia" w:ascii="宋体" w:hAnsi="宋体" w:cs="宋体"/>
          <w:sz w:val="24"/>
        </w:rPr>
        <w:t>启闭机房配电柜故障</w:t>
      </w:r>
      <w:bookmarkEnd w:id="142"/>
      <w:bookmarkEnd w:id="143"/>
      <w:r>
        <w:rPr>
          <w:rFonts w:hint="eastAsia" w:ascii="宋体" w:hAnsi="宋体" w:cs="宋体"/>
          <w:sz w:val="24"/>
          <w:lang w:val="en-US" w:eastAsia="zh-CN"/>
        </w:rPr>
        <w:t>,老跳闸</w:t>
      </w:r>
      <w:bookmarkStart w:id="144" w:name="_Toc1311_WPSOffice_Level2"/>
      <w:bookmarkStart w:id="145" w:name="_Toc20230_WPSOffice_Level2"/>
    </w:p>
    <w:p>
      <w:pPr>
        <w:spacing w:line="480" w:lineRule="auto"/>
        <w:rPr>
          <w:rFonts w:hint="eastAsia" w:ascii="宋体"/>
          <w:b/>
          <w:bCs/>
          <w:snapToGrid w:val="0"/>
          <w:kern w:val="0"/>
          <w:sz w:val="24"/>
        </w:rPr>
      </w:pPr>
      <w:r>
        <w:rPr>
          <w:rFonts w:hint="eastAsia" w:ascii="宋体"/>
          <w:b/>
          <w:bCs/>
          <w:snapToGrid w:val="0"/>
          <w:kern w:val="0"/>
          <w:sz w:val="24"/>
        </w:rPr>
        <w:t>2.2.2杜热水库</w:t>
      </w:r>
      <w:bookmarkEnd w:id="144"/>
      <w:bookmarkEnd w:id="145"/>
    </w:p>
    <w:p>
      <w:pPr>
        <w:spacing w:line="480" w:lineRule="auto"/>
        <w:ind w:firstLine="480" w:firstLineChars="200"/>
        <w:rPr>
          <w:rFonts w:hint="eastAsia" w:ascii="宋体" w:hAnsi="宋体" w:cs="宋体"/>
          <w:color w:val="0000FF"/>
          <w:sz w:val="24"/>
        </w:rPr>
      </w:pPr>
      <w:r>
        <w:rPr>
          <w:rFonts w:hint="eastAsia" w:ascii="宋体" w:hAnsi="宋体" w:cs="宋体"/>
          <w:sz w:val="24"/>
          <w:lang w:val="en-US" w:eastAsia="zh-CN"/>
        </w:rPr>
        <w:t>杜热水库现状彩钢备用电源房已破旧、雨水和风沙侵入、不符合要求，需拔掉现状备用电源房、原地新建备用电源房（砖墙体彩钢屋顶）、需新建</w:t>
      </w:r>
      <w:r>
        <w:rPr>
          <w:rFonts w:hint="eastAsia" w:ascii="宋体" w:hAnsi="宋体" w:cs="宋体"/>
          <w:sz w:val="24"/>
        </w:rPr>
        <w:t>油品间</w:t>
      </w:r>
      <w:r>
        <w:rPr>
          <w:rFonts w:hint="eastAsia" w:ascii="宋体" w:hAnsi="宋体" w:cs="宋体"/>
          <w:sz w:val="24"/>
          <w:lang w:val="en-US" w:eastAsia="zh-CN"/>
        </w:rPr>
        <w:t>（砖墙体彩钢屋顶）</w:t>
      </w:r>
      <w:r>
        <w:rPr>
          <w:rFonts w:hint="eastAsia" w:ascii="宋体" w:hAnsi="宋体" w:cs="宋体"/>
          <w:sz w:val="24"/>
        </w:rPr>
        <w:t>；三个工作闸和检修闸电动机、轴承需要维修养护；3个</w:t>
      </w:r>
      <w:r>
        <w:rPr>
          <w:rFonts w:hint="eastAsia" w:ascii="宋体" w:hAnsi="宋体" w:cs="宋体"/>
          <w:sz w:val="24"/>
          <w:lang w:eastAsia="zh-CN"/>
        </w:rPr>
        <w:t>闸门门</w:t>
      </w:r>
      <w:r>
        <w:rPr>
          <w:rFonts w:hint="eastAsia" w:ascii="宋体" w:hAnsi="宋体" w:cs="宋体"/>
          <w:sz w:val="24"/>
        </w:rPr>
        <w:t>板锈蚀</w:t>
      </w:r>
      <w:r>
        <w:rPr>
          <w:rFonts w:hint="eastAsia" w:ascii="宋体" w:hAnsi="宋体" w:cs="宋体"/>
          <w:sz w:val="24"/>
          <w:lang w:eastAsia="zh-CN"/>
        </w:rPr>
        <w:t>；南干渠水闸</w:t>
      </w:r>
      <w:r>
        <w:rPr>
          <w:rFonts w:hint="eastAsia" w:ascii="宋体" w:hAnsi="宋体" w:cs="宋体"/>
          <w:sz w:val="24"/>
          <w:lang w:val="en-US" w:eastAsia="zh-CN"/>
        </w:rPr>
        <w:t>启闭机损坏</w:t>
      </w:r>
      <w:r>
        <w:rPr>
          <w:rFonts w:hint="eastAsia" w:ascii="宋体" w:hAnsi="宋体" w:cs="宋体"/>
          <w:sz w:val="24"/>
        </w:rPr>
        <w:t>。</w:t>
      </w:r>
    </w:p>
    <w:p>
      <w:pPr>
        <w:pStyle w:val="4"/>
        <w:ind w:left="0" w:leftChars="0" w:firstLine="0" w:firstLineChars="0"/>
        <w:jc w:val="both"/>
        <w:rPr>
          <w:rFonts w:hint="eastAsia"/>
          <w:lang w:val="en-US" w:eastAsia="zh-CN"/>
        </w:rPr>
      </w:pPr>
      <w:r>
        <w:rPr>
          <w:rFonts w:hint="eastAsia"/>
          <w:lang w:val="en-US" w:eastAsia="zh-CN"/>
        </w:rPr>
        <w:drawing>
          <wp:inline distT="0" distB="0" distL="114300" distR="114300">
            <wp:extent cx="5264785" cy="3670935"/>
            <wp:effectExtent l="0" t="0" r="12065" b="5715"/>
            <wp:docPr id="6" name="图片 6" descr="c2627633f16f6789546b74610cfc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2627633f16f6789546b74610cfc209"/>
                    <pic:cNvPicPr>
                      <a:picLocks noChangeAspect="1"/>
                    </pic:cNvPicPr>
                  </pic:nvPicPr>
                  <pic:blipFill>
                    <a:blip r:embed="rId15"/>
                    <a:stretch>
                      <a:fillRect/>
                    </a:stretch>
                  </pic:blipFill>
                  <pic:spPr>
                    <a:xfrm>
                      <a:off x="0" y="0"/>
                      <a:ext cx="5264785" cy="3670935"/>
                    </a:xfrm>
                    <a:prstGeom prst="rect">
                      <a:avLst/>
                    </a:prstGeom>
                  </pic:spPr>
                </pic:pic>
              </a:graphicData>
            </a:graphic>
          </wp:inline>
        </w:drawing>
      </w:r>
    </w:p>
    <w:p>
      <w:pPr>
        <w:pStyle w:val="4"/>
        <w:ind w:left="0" w:leftChars="0" w:firstLine="0" w:firstLineChars="0"/>
        <w:jc w:val="center"/>
        <w:rPr>
          <w:rFonts w:hint="eastAsia"/>
        </w:rPr>
      </w:pPr>
      <w:r>
        <w:rPr>
          <w:rFonts w:hint="eastAsia"/>
          <w:lang w:val="en-US" w:eastAsia="zh-CN"/>
        </w:rPr>
        <w:t>杜热水库南干渠水</w:t>
      </w:r>
      <w:r>
        <w:rPr>
          <w:rFonts w:hint="eastAsia" w:ascii="Arial" w:hAnsi="Arial" w:eastAsia="宋体" w:cs="Arial"/>
          <w:b w:val="0"/>
          <w:i w:val="0"/>
          <w:caps w:val="0"/>
          <w:color w:val="333333"/>
          <w:spacing w:val="0"/>
          <w:sz w:val="24"/>
          <w:szCs w:val="24"/>
          <w:shd w:val="clear" w:fill="FFFFFF"/>
          <w:lang w:val="en-US" w:eastAsia="zh-CN"/>
        </w:rPr>
        <w:t>闸</w:t>
      </w:r>
      <w:r>
        <w:rPr>
          <w:rFonts w:ascii="Arial" w:hAnsi="Arial" w:eastAsia="宋体" w:cs="Arial"/>
          <w:b w:val="0"/>
          <w:i w:val="0"/>
          <w:caps w:val="0"/>
          <w:color w:val="333333"/>
          <w:spacing w:val="0"/>
          <w:sz w:val="24"/>
          <w:szCs w:val="24"/>
          <w:shd w:val="clear" w:fill="FFFFFF"/>
        </w:rPr>
        <w:t>螺杆启闭机机器内部零部件损坏无法正常工作</w:t>
      </w:r>
    </w:p>
    <w:p>
      <w:pPr>
        <w:spacing w:line="480" w:lineRule="auto"/>
        <w:ind w:firstLine="482" w:firstLineChars="200"/>
        <w:rPr>
          <w:rFonts w:hint="eastAsia" w:ascii="宋体"/>
          <w:b/>
          <w:bCs/>
          <w:snapToGrid w:val="0"/>
          <w:kern w:val="0"/>
          <w:sz w:val="24"/>
        </w:rPr>
      </w:pPr>
      <w:bookmarkStart w:id="146" w:name="_Toc22637_WPSOffice_Level2"/>
      <w:bookmarkStart w:id="147" w:name="_Toc12879_WPSOffice_Level2"/>
      <w:r>
        <w:rPr>
          <w:rFonts w:hint="eastAsia" w:ascii="宋体"/>
          <w:b/>
          <w:bCs/>
          <w:snapToGrid w:val="0"/>
          <w:kern w:val="0"/>
          <w:sz w:val="24"/>
        </w:rPr>
        <w:t>2.2.3广汇煤制气供水工程</w:t>
      </w:r>
      <w:bookmarkEnd w:id="146"/>
      <w:bookmarkEnd w:id="147"/>
    </w:p>
    <w:p>
      <w:pPr>
        <w:ind w:firstLine="480" w:firstLineChars="200"/>
        <w:jc w:val="left"/>
        <w:rPr>
          <w:rFonts w:hint="eastAsia" w:ascii="等线 Light" w:hAnsi="等线 Light"/>
          <w:b/>
          <w:bCs/>
          <w:snapToGrid w:val="0"/>
          <w:kern w:val="0"/>
          <w:sz w:val="32"/>
          <w:szCs w:val="32"/>
        </w:rPr>
      </w:pPr>
      <w:r>
        <w:rPr>
          <w:rFonts w:hint="eastAsia" w:ascii="宋体" w:hAnsi="宋体" w:cs="宋体"/>
          <w:sz w:val="24"/>
        </w:rPr>
        <w:t>3</w:t>
      </w:r>
      <w:r>
        <w:rPr>
          <w:rFonts w:hint="eastAsia" w:ascii="宋体" w:hAnsi="宋体" w:cs="宋体"/>
          <w:sz w:val="24"/>
          <w:lang w:eastAsia="zh-CN"/>
        </w:rPr>
        <w:t>个闸门门</w:t>
      </w:r>
      <w:r>
        <w:rPr>
          <w:rFonts w:hint="eastAsia" w:ascii="宋体" w:hAnsi="宋体" w:cs="宋体"/>
          <w:sz w:val="24"/>
        </w:rPr>
        <w:t>板锈蚀；3个启闭机</w:t>
      </w:r>
      <w:r>
        <w:rPr>
          <w:rFonts w:hint="eastAsia" w:ascii="宋体" w:hAnsi="宋体" w:cs="宋体"/>
          <w:sz w:val="24"/>
          <w:lang w:eastAsia="zh-CN"/>
        </w:rPr>
        <w:t>需</w:t>
      </w:r>
      <w:r>
        <w:rPr>
          <w:rFonts w:hint="eastAsia" w:ascii="宋体" w:hAnsi="宋体" w:cs="宋体"/>
          <w:sz w:val="24"/>
        </w:rPr>
        <w:t>更换液压油。</w:t>
      </w:r>
    </w:p>
    <w:p>
      <w:pPr>
        <w:pStyle w:val="2"/>
        <w:rPr>
          <w:rFonts w:hint="eastAsia"/>
        </w:rPr>
      </w:pPr>
    </w:p>
    <w:p>
      <w:pPr>
        <w:pStyle w:val="2"/>
        <w:rPr>
          <w:rFonts w:hint="eastAsia"/>
        </w:rPr>
      </w:pPr>
    </w:p>
    <w:p>
      <w:pPr>
        <w:jc w:val="both"/>
        <w:rPr>
          <w:rFonts w:hint="eastAsia" w:ascii="等线 Light" w:hAnsi="等线 Light"/>
          <w:b/>
          <w:bCs/>
          <w:snapToGrid w:val="0"/>
          <w:kern w:val="0"/>
          <w:sz w:val="32"/>
          <w:szCs w:val="32"/>
        </w:rPr>
      </w:pPr>
    </w:p>
    <w:p>
      <w:pPr>
        <w:jc w:val="both"/>
        <w:rPr>
          <w:rFonts w:hint="eastAsia" w:ascii="等线 Light" w:hAnsi="等线 Light"/>
          <w:b/>
          <w:bCs/>
          <w:snapToGrid w:val="0"/>
          <w:kern w:val="0"/>
          <w:sz w:val="32"/>
          <w:szCs w:val="32"/>
        </w:rPr>
      </w:pPr>
    </w:p>
    <w:p>
      <w:pPr>
        <w:jc w:val="center"/>
        <w:rPr>
          <w:rFonts w:hint="eastAsia" w:ascii="等线 Light" w:hAnsi="等线 Light"/>
          <w:b/>
          <w:bCs/>
          <w:snapToGrid w:val="0"/>
          <w:kern w:val="0"/>
          <w:sz w:val="32"/>
          <w:szCs w:val="32"/>
        </w:rPr>
      </w:pPr>
      <w:r>
        <w:rPr>
          <w:rFonts w:hint="eastAsia" w:ascii="等线 Light" w:hAnsi="等线 Light"/>
          <w:b/>
          <w:bCs/>
          <w:snapToGrid w:val="0"/>
          <w:kern w:val="0"/>
          <w:sz w:val="32"/>
          <w:szCs w:val="32"/>
        </w:rPr>
        <w:t>3 维修养护实施方案设计</w:t>
      </w:r>
    </w:p>
    <w:p>
      <w:pPr>
        <w:spacing w:line="480" w:lineRule="auto"/>
        <w:ind w:firstLine="562" w:firstLineChars="200"/>
        <w:rPr>
          <w:rFonts w:hint="eastAsia" w:ascii="黑体" w:eastAsia="黑体"/>
          <w:b/>
          <w:snapToGrid w:val="0"/>
          <w:kern w:val="0"/>
          <w:sz w:val="28"/>
        </w:rPr>
      </w:pPr>
      <w:bookmarkStart w:id="148" w:name="_Toc9989_WPSOffice_Level1"/>
      <w:bookmarkStart w:id="149" w:name="_Toc8273_WPSOffice_Level1"/>
      <w:r>
        <w:rPr>
          <w:rFonts w:hint="eastAsia" w:ascii="黑体" w:eastAsia="黑体"/>
          <w:b/>
          <w:snapToGrid w:val="0"/>
          <w:kern w:val="0"/>
          <w:sz w:val="28"/>
        </w:rPr>
        <w:t>3.1编制指导思想</w:t>
      </w:r>
      <w:bookmarkEnd w:id="148"/>
      <w:bookmarkEnd w:id="149"/>
    </w:p>
    <w:p>
      <w:pPr>
        <w:spacing w:line="480" w:lineRule="auto"/>
        <w:ind w:firstLine="480" w:firstLineChars="200"/>
        <w:rPr>
          <w:rFonts w:hint="eastAsia" w:ascii="宋体" w:hAnsi="宋体" w:cs="宋体"/>
          <w:sz w:val="24"/>
        </w:rPr>
      </w:pPr>
      <w:r>
        <w:rPr>
          <w:rFonts w:hint="eastAsia" w:ascii="宋体" w:hAnsi="宋体" w:cs="宋体"/>
          <w:sz w:val="24"/>
        </w:rPr>
        <w:t>编制本案立足于工程现状，按照维修养护经费的使用范围，以工程检查和测量的分析成果等技术资料为基础，以相关批复文件、技术标准、规章和规范性文件为依据，参照《水利工程维修养护定额标准》，结合实际，科学、合理、系统地编制本报告。</w:t>
      </w:r>
    </w:p>
    <w:p>
      <w:pPr>
        <w:spacing w:line="480" w:lineRule="auto"/>
        <w:ind w:firstLine="562" w:firstLineChars="200"/>
        <w:rPr>
          <w:rFonts w:hint="eastAsia" w:ascii="黑体" w:eastAsia="黑体"/>
          <w:b/>
          <w:snapToGrid w:val="0"/>
          <w:kern w:val="0"/>
          <w:sz w:val="28"/>
        </w:rPr>
      </w:pPr>
      <w:bookmarkStart w:id="150" w:name="_Toc28294_WPSOffice_Level1"/>
      <w:bookmarkStart w:id="151" w:name="_Toc23121_WPSOffice_Level1"/>
      <w:r>
        <w:rPr>
          <w:rFonts w:hint="eastAsia" w:ascii="黑体" w:eastAsia="黑体"/>
          <w:b/>
          <w:snapToGrid w:val="0"/>
          <w:kern w:val="0"/>
          <w:sz w:val="28"/>
        </w:rPr>
        <w:t>3.2编制原则</w:t>
      </w:r>
      <w:bookmarkEnd w:id="150"/>
      <w:bookmarkEnd w:id="151"/>
    </w:p>
    <w:p>
      <w:pPr>
        <w:spacing w:line="480" w:lineRule="auto"/>
        <w:ind w:firstLine="480" w:firstLineChars="200"/>
        <w:rPr>
          <w:rFonts w:hint="eastAsia" w:ascii="宋体" w:hAnsi="宋体" w:cs="宋体"/>
          <w:sz w:val="24"/>
        </w:rPr>
      </w:pPr>
      <w:r>
        <w:rPr>
          <w:rFonts w:hint="eastAsia" w:ascii="宋体" w:hAnsi="宋体" w:cs="宋体"/>
          <w:sz w:val="24"/>
        </w:rPr>
        <w:t>编制遵循“统筹兼顾、合理安排、严格标准、确保安全”的原则，以保证工程的正常维修养护和安全运行。</w:t>
      </w:r>
    </w:p>
    <w:p>
      <w:pPr>
        <w:spacing w:line="480" w:lineRule="auto"/>
        <w:ind w:firstLine="562" w:firstLineChars="200"/>
        <w:rPr>
          <w:rFonts w:hint="eastAsia" w:ascii="黑体" w:eastAsia="黑体"/>
          <w:b/>
          <w:snapToGrid w:val="0"/>
          <w:kern w:val="0"/>
          <w:sz w:val="28"/>
        </w:rPr>
      </w:pPr>
      <w:bookmarkStart w:id="152" w:name="_Toc6085_WPSOffice_Level1"/>
      <w:bookmarkStart w:id="153" w:name="_Toc32126_WPSOffice_Level1"/>
      <w:r>
        <w:rPr>
          <w:rFonts w:hint="eastAsia" w:ascii="黑体" w:eastAsia="黑体"/>
          <w:b/>
          <w:snapToGrid w:val="0"/>
          <w:kern w:val="0"/>
          <w:sz w:val="28"/>
        </w:rPr>
        <w:t>3.3编制依据</w:t>
      </w:r>
      <w:bookmarkEnd w:id="152"/>
      <w:bookmarkEnd w:id="153"/>
    </w:p>
    <w:p>
      <w:pPr>
        <w:spacing w:line="480" w:lineRule="auto"/>
        <w:ind w:firstLine="480" w:firstLineChars="200"/>
        <w:rPr>
          <w:rFonts w:hint="eastAsia" w:ascii="宋体" w:hAnsi="宋体" w:cs="宋体"/>
          <w:sz w:val="24"/>
        </w:rPr>
      </w:pPr>
      <w:bookmarkStart w:id="154" w:name="_Toc2736_WPSOffice_Level2"/>
      <w:bookmarkStart w:id="155" w:name="_Toc19936_WPSOffice_Level2"/>
      <w:r>
        <w:rPr>
          <w:rFonts w:hint="eastAsia" w:ascii="宋体" w:hAnsi="宋体" w:cs="宋体"/>
          <w:sz w:val="24"/>
        </w:rPr>
        <w:t>1.强制性条文</w:t>
      </w:r>
      <w:bookmarkEnd w:id="154"/>
      <w:bookmarkEnd w:id="155"/>
    </w:p>
    <w:p>
      <w:pPr>
        <w:spacing w:line="480" w:lineRule="auto"/>
        <w:ind w:firstLine="480" w:firstLineChars="200"/>
        <w:rPr>
          <w:rFonts w:hint="eastAsia" w:ascii="宋体" w:hAnsi="宋体" w:cs="宋体"/>
          <w:sz w:val="24"/>
        </w:rPr>
      </w:pPr>
      <w:bookmarkStart w:id="156" w:name="_Toc26282_WPSOffice_Level3"/>
      <w:bookmarkStart w:id="157" w:name="_Toc23593_WPSOffice_Level3"/>
      <w:r>
        <w:rPr>
          <w:rFonts w:hint="eastAsia" w:ascii="宋体" w:hAnsi="宋体" w:cs="宋体"/>
          <w:sz w:val="24"/>
        </w:rPr>
        <w:t>1)《水利工程建设标准强制性条文》(2020年版)。</w:t>
      </w:r>
      <w:bookmarkEnd w:id="156"/>
      <w:bookmarkEnd w:id="157"/>
    </w:p>
    <w:p>
      <w:pPr>
        <w:spacing w:line="480" w:lineRule="auto"/>
        <w:ind w:firstLine="480" w:firstLineChars="200"/>
        <w:rPr>
          <w:rFonts w:hint="eastAsia" w:ascii="宋体" w:hAnsi="宋体" w:cs="宋体"/>
          <w:sz w:val="24"/>
        </w:rPr>
      </w:pPr>
      <w:bookmarkStart w:id="158" w:name="_Toc5992_WPSOffice_Level2"/>
      <w:bookmarkStart w:id="159" w:name="_Toc18053_WPSOffice_Level2"/>
      <w:r>
        <w:rPr>
          <w:rFonts w:hint="eastAsia" w:ascii="宋体" w:hAnsi="宋体" w:cs="宋体"/>
          <w:sz w:val="24"/>
        </w:rPr>
        <w:t>2.相关文件及资料</w:t>
      </w:r>
      <w:bookmarkEnd w:id="158"/>
      <w:bookmarkEnd w:id="159"/>
    </w:p>
    <w:p>
      <w:pPr>
        <w:spacing w:line="480" w:lineRule="auto"/>
        <w:ind w:firstLine="480" w:firstLineChars="200"/>
        <w:rPr>
          <w:rFonts w:hint="eastAsia" w:ascii="宋体" w:hAnsi="宋体" w:cs="宋体"/>
          <w:sz w:val="24"/>
        </w:rPr>
      </w:pPr>
      <w:r>
        <w:rPr>
          <w:rFonts w:hint="eastAsia" w:ascii="宋体" w:hAnsi="宋体" w:cs="宋体"/>
          <w:sz w:val="24"/>
        </w:rPr>
        <w:t>1)《关于落实小型水库管护经费的通知》(新水办[2020]266号);</w:t>
      </w:r>
    </w:p>
    <w:p>
      <w:pPr>
        <w:spacing w:line="480" w:lineRule="auto"/>
        <w:ind w:firstLine="480" w:firstLineChars="200"/>
        <w:rPr>
          <w:rFonts w:hint="eastAsia" w:ascii="宋体" w:hAnsi="宋体" w:cs="宋体"/>
          <w:sz w:val="24"/>
        </w:rPr>
      </w:pPr>
      <w:r>
        <w:rPr>
          <w:rFonts w:hint="eastAsia" w:ascii="宋体" w:hAnsi="宋体" w:cs="宋体"/>
          <w:sz w:val="24"/>
        </w:rPr>
        <w:t>2)关于印发《新疆维吾尔自治区水库规范化运行管理规则》的通知(新水规[2021]2号);</w:t>
      </w:r>
    </w:p>
    <w:p>
      <w:pPr>
        <w:spacing w:line="480" w:lineRule="auto"/>
        <w:ind w:firstLine="480" w:firstLineChars="200"/>
        <w:rPr>
          <w:rFonts w:hint="eastAsia" w:ascii="宋体" w:hAnsi="宋体" w:cs="宋体"/>
          <w:sz w:val="24"/>
        </w:rPr>
      </w:pPr>
      <w:r>
        <w:rPr>
          <w:rFonts w:hint="eastAsia" w:ascii="宋体" w:hAnsi="宋体" w:cs="宋体"/>
          <w:sz w:val="24"/>
        </w:rPr>
        <w:t>3)关于印发《自治区水库安全运行严格责任管理十条措施》的通知(新政办发[2021]45号);</w:t>
      </w:r>
    </w:p>
    <w:p>
      <w:pPr>
        <w:spacing w:line="480" w:lineRule="auto"/>
        <w:ind w:firstLine="480" w:firstLineChars="200"/>
        <w:rPr>
          <w:rFonts w:hint="eastAsia" w:ascii="宋体" w:hAnsi="宋体" w:cs="宋体"/>
          <w:sz w:val="24"/>
        </w:rPr>
      </w:pPr>
      <w:r>
        <w:rPr>
          <w:rFonts w:hint="eastAsia" w:ascii="宋体" w:hAnsi="宋体" w:cs="宋体"/>
          <w:sz w:val="24"/>
        </w:rPr>
        <w:t>4)关于《做好 2023 年度小型水库维修养护中央水利发展资金和管理工作》的通知;</w:t>
      </w:r>
    </w:p>
    <w:p>
      <w:pPr>
        <w:spacing w:line="480" w:lineRule="auto"/>
        <w:ind w:firstLine="480" w:firstLineChars="200"/>
        <w:rPr>
          <w:rFonts w:hint="eastAsia" w:ascii="宋体" w:hAnsi="宋体" w:cs="宋体"/>
          <w:sz w:val="24"/>
        </w:rPr>
      </w:pPr>
      <w:r>
        <w:rPr>
          <w:rFonts w:hint="eastAsia" w:ascii="宋体" w:hAnsi="宋体" w:cs="宋体"/>
          <w:sz w:val="24"/>
        </w:rPr>
        <w:t>5)《水利发展资金管理办法》(财农(2019) 54号);</w:t>
      </w:r>
    </w:p>
    <w:p>
      <w:pPr>
        <w:spacing w:line="480" w:lineRule="auto"/>
        <w:ind w:firstLine="480" w:firstLineChars="200"/>
        <w:rPr>
          <w:rFonts w:hint="eastAsia" w:ascii="宋体" w:hAnsi="宋体" w:cs="宋体"/>
          <w:sz w:val="24"/>
        </w:rPr>
      </w:pPr>
      <w:bookmarkStart w:id="160" w:name="_Toc4814_WPSOffice_Level2"/>
      <w:bookmarkStart w:id="161" w:name="_Toc2317_WPSOffice_Level2"/>
      <w:r>
        <w:rPr>
          <w:rFonts w:hint="eastAsia" w:ascii="宋体" w:hAnsi="宋体" w:cs="宋体"/>
          <w:sz w:val="24"/>
        </w:rPr>
        <w:t>3.规程规范及标准</w:t>
      </w:r>
      <w:bookmarkEnd w:id="160"/>
      <w:bookmarkEnd w:id="161"/>
    </w:p>
    <w:p>
      <w:pPr>
        <w:spacing w:line="480" w:lineRule="auto"/>
        <w:ind w:firstLine="480" w:firstLineChars="200"/>
        <w:rPr>
          <w:rFonts w:hint="eastAsia" w:eastAsia="宋体"/>
          <w:lang w:val="en-US" w:eastAsia="zh-CN"/>
        </w:rPr>
      </w:pPr>
      <w:r>
        <w:rPr>
          <w:rFonts w:hint="eastAsia" w:ascii="宋体" w:hAnsi="宋体" w:cs="宋体"/>
          <w:sz w:val="24"/>
        </w:rPr>
        <w:t>1)《水利水电工程等级划分及洪水标准》(SL252-2017);2)《碾压式土石坝设计规范》SL274-2020;3)《水利工程维修养护定额标准》(试点);</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水利水电工程围堰设计规范</w:t>
      </w:r>
      <w:r>
        <w:rPr>
          <w:rFonts w:hint="eastAsia" w:ascii="宋体" w:hAnsi="宋体" w:cs="宋体"/>
          <w:sz w:val="24"/>
        </w:rPr>
        <w:t>》SL645-2013</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水工钢闸门和启闭机安全运行规程</w:t>
      </w:r>
      <w:r>
        <w:rPr>
          <w:rFonts w:hint="eastAsia" w:ascii="宋体" w:hAnsi="宋体" w:cs="宋体"/>
          <w:sz w:val="24"/>
        </w:rPr>
        <w:t>》SL/T722-2020</w:t>
      </w: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水电水利工程金属结构设备防腐蚀技术规程</w:t>
      </w:r>
      <w:r>
        <w:rPr>
          <w:rFonts w:hint="eastAsia" w:ascii="宋体" w:hAnsi="宋体" w:cs="宋体"/>
          <w:sz w:val="24"/>
        </w:rPr>
        <w:t>》DL/T5358—2006</w:t>
      </w:r>
      <w:r>
        <w:rPr>
          <w:rFonts w:hint="eastAsia" w:ascii="宋体" w:hAnsi="宋体" w:cs="宋体"/>
          <w:sz w:val="24"/>
          <w:lang w:eastAsia="zh-CN"/>
        </w:rPr>
        <w:t>等</w:t>
      </w:r>
      <w:r>
        <w:rPr>
          <w:rFonts w:hint="eastAsia" w:ascii="宋体" w:hAnsi="宋体" w:cs="宋体"/>
          <w:sz w:val="24"/>
        </w:rPr>
        <w:t>。</w:t>
      </w:r>
    </w:p>
    <w:p>
      <w:pPr>
        <w:spacing w:line="480" w:lineRule="auto"/>
        <w:ind w:firstLine="562" w:firstLineChars="200"/>
        <w:rPr>
          <w:rFonts w:hint="eastAsia" w:ascii="黑体" w:eastAsia="黑体"/>
          <w:b/>
          <w:snapToGrid w:val="0"/>
          <w:kern w:val="0"/>
          <w:sz w:val="28"/>
        </w:rPr>
      </w:pPr>
      <w:bookmarkStart w:id="162" w:name="_Toc2292_WPSOffice_Level1"/>
      <w:bookmarkStart w:id="163" w:name="_Toc21704_WPSOffice_Level1"/>
      <w:r>
        <w:rPr>
          <w:rFonts w:hint="eastAsia" w:ascii="黑体" w:eastAsia="黑体"/>
          <w:b/>
          <w:snapToGrid w:val="0"/>
          <w:kern w:val="0"/>
          <w:sz w:val="28"/>
        </w:rPr>
        <w:t>3.4编制目的</w:t>
      </w:r>
      <w:bookmarkEnd w:id="162"/>
      <w:bookmarkEnd w:id="163"/>
    </w:p>
    <w:p>
      <w:pPr>
        <w:spacing w:line="480" w:lineRule="auto"/>
        <w:ind w:firstLine="480" w:firstLineChars="200"/>
        <w:rPr>
          <w:rFonts w:hint="eastAsia" w:ascii="宋体" w:hAnsi="宋体" w:cs="宋体"/>
          <w:sz w:val="24"/>
        </w:rPr>
      </w:pPr>
      <w:r>
        <w:rPr>
          <w:rFonts w:hint="eastAsia" w:ascii="宋体" w:hAnsi="宋体" w:cs="宋体"/>
          <w:sz w:val="24"/>
        </w:rPr>
        <w:t>本次设计通过对3座水库进行维修养护，使水库正常运行，确保下游灌区灌溉用水需求，从而达到节水增产的目的，并改善生态环境。工程区经济持续稳定的发展，有利于提高项目区内农牧民的生活水平，有利于全市社会经济的发展，为</w:t>
      </w:r>
      <w:r>
        <w:rPr>
          <w:rFonts w:hint="eastAsia" w:ascii="宋体" w:hAnsi="宋体" w:cs="宋体"/>
          <w:sz w:val="24"/>
          <w:lang w:val="en-US" w:eastAsia="zh-CN"/>
        </w:rPr>
        <w:t>富蕴</w:t>
      </w:r>
      <w:r>
        <w:rPr>
          <w:rFonts w:hint="eastAsia" w:ascii="宋体" w:hAnsi="宋体" w:cs="宋体"/>
          <w:sz w:val="24"/>
        </w:rPr>
        <w:t>县人民创造良好的生活环境，保证工程的安全运行。</w:t>
      </w:r>
    </w:p>
    <w:p>
      <w:pPr>
        <w:spacing w:line="480" w:lineRule="auto"/>
        <w:ind w:firstLine="562" w:firstLineChars="200"/>
        <w:rPr>
          <w:rFonts w:hint="eastAsia" w:ascii="黑体" w:eastAsia="黑体"/>
          <w:b/>
          <w:snapToGrid w:val="0"/>
          <w:kern w:val="0"/>
          <w:sz w:val="28"/>
        </w:rPr>
      </w:pPr>
      <w:bookmarkStart w:id="164" w:name="_Toc32644_WPSOffice_Level1"/>
      <w:bookmarkStart w:id="165" w:name="_Toc10599_WPSOffice_Level1"/>
      <w:r>
        <w:rPr>
          <w:rFonts w:hint="eastAsia" w:ascii="黑体" w:eastAsia="黑体"/>
          <w:b/>
          <w:snapToGrid w:val="0"/>
          <w:kern w:val="0"/>
          <w:sz w:val="28"/>
        </w:rPr>
        <w:t>3.5设计标准</w:t>
      </w:r>
      <w:bookmarkEnd w:id="164"/>
      <w:bookmarkEnd w:id="165"/>
    </w:p>
    <w:p>
      <w:pPr>
        <w:spacing w:line="480" w:lineRule="auto"/>
        <w:ind w:firstLine="480" w:firstLineChars="200"/>
        <w:rPr>
          <w:rFonts w:hint="eastAsia" w:ascii="宋体" w:hAnsi="宋体" w:cs="宋体"/>
          <w:sz w:val="24"/>
        </w:rPr>
      </w:pPr>
      <w:r>
        <w:rPr>
          <w:rFonts w:hint="eastAsia" w:ascii="宋体" w:hAnsi="宋体" w:cs="宋体"/>
          <w:sz w:val="24"/>
        </w:rPr>
        <w:t>根据国家水利部和国家财政部联合发布的《水利工程维修养护定额标准(试行)》规定，本次水库维修养护等级均为小型。</w:t>
      </w:r>
    </w:p>
    <w:p>
      <w:pPr>
        <w:spacing w:line="480" w:lineRule="auto"/>
        <w:ind w:firstLine="562" w:firstLineChars="200"/>
        <w:rPr>
          <w:rFonts w:hint="eastAsia" w:ascii="黑体" w:eastAsia="黑体"/>
          <w:b/>
          <w:snapToGrid w:val="0"/>
          <w:kern w:val="0"/>
          <w:sz w:val="28"/>
        </w:rPr>
      </w:pPr>
      <w:bookmarkStart w:id="166" w:name="_Toc15814_WPSOffice_Level1"/>
      <w:bookmarkStart w:id="167" w:name="_Toc19334_WPSOffice_Level1"/>
      <w:r>
        <w:rPr>
          <w:rFonts w:hint="eastAsia" w:ascii="黑体" w:eastAsia="黑体"/>
          <w:b/>
          <w:snapToGrid w:val="0"/>
          <w:kern w:val="0"/>
          <w:sz w:val="28"/>
        </w:rPr>
        <w:t>3.6工程设计</w:t>
      </w:r>
      <w:bookmarkEnd w:id="166"/>
      <w:bookmarkEnd w:id="167"/>
    </w:p>
    <w:p>
      <w:pPr>
        <w:spacing w:line="480" w:lineRule="auto"/>
        <w:ind w:firstLine="480" w:firstLineChars="200"/>
        <w:rPr>
          <w:rFonts w:hint="eastAsia" w:ascii="宋体" w:hAnsi="宋体" w:cs="宋体"/>
          <w:sz w:val="24"/>
        </w:rPr>
      </w:pPr>
      <w:r>
        <w:rPr>
          <w:rFonts w:hint="eastAsia" w:ascii="宋体" w:hAnsi="宋体" w:cs="宋体"/>
          <w:sz w:val="24"/>
        </w:rPr>
        <w:t>根据现场踏勘及与各座水库的管理人员进行沟通，根据各水库现状存在的问题，本次设计主要内容如下:</w:t>
      </w:r>
    </w:p>
    <w:p>
      <w:pPr>
        <w:spacing w:line="480" w:lineRule="auto"/>
        <w:ind w:firstLine="482" w:firstLineChars="200"/>
        <w:rPr>
          <w:rFonts w:hint="eastAsia" w:ascii="宋体"/>
          <w:b/>
          <w:bCs/>
          <w:snapToGrid w:val="0"/>
          <w:kern w:val="0"/>
          <w:sz w:val="24"/>
        </w:rPr>
      </w:pPr>
      <w:bookmarkStart w:id="168" w:name="_Toc22100_WPSOffice_Level2"/>
      <w:bookmarkStart w:id="169" w:name="_Toc28405_WPSOffice_Level2"/>
      <w:r>
        <w:rPr>
          <w:rFonts w:hint="eastAsia" w:ascii="宋体"/>
          <w:b/>
          <w:bCs/>
          <w:snapToGrid w:val="0"/>
          <w:kern w:val="0"/>
          <w:sz w:val="24"/>
        </w:rPr>
        <w:t>3.6.1萨尔铁列克水库</w:t>
      </w:r>
      <w:bookmarkEnd w:id="168"/>
      <w:bookmarkEnd w:id="169"/>
    </w:p>
    <w:p>
      <w:pPr>
        <w:spacing w:line="480" w:lineRule="auto"/>
        <w:ind w:firstLine="480" w:firstLineChars="200"/>
        <w:rPr>
          <w:rFonts w:hint="eastAsia" w:ascii="宋体" w:hAnsi="宋体" w:cs="宋体"/>
          <w:sz w:val="24"/>
        </w:rPr>
      </w:pPr>
      <w:r>
        <w:rPr>
          <w:rFonts w:hint="eastAsia" w:ascii="宋体" w:hAnsi="宋体" w:cs="宋体"/>
          <w:sz w:val="24"/>
        </w:rPr>
        <w:t>（1）主体工程维修养护主要包括:拆除水库迎水面护坡30（4m×4m）块面板、</w:t>
      </w:r>
      <w:r>
        <w:rPr>
          <w:rFonts w:hint="eastAsia" w:ascii="宋体" w:hAnsi="宋体" w:cs="宋体"/>
          <w:sz w:val="24"/>
          <w:lang w:val="en-US" w:eastAsia="zh-CN"/>
        </w:rPr>
        <w:t>搭接模版、对下部砂砾石垫层进行补充碾压（是因为面板下面垫层是否好无法看到、冲毁部分和量也无法估、所以补充砂砾石垫层厚度拿平均5厘米、碾压系数≥0.75，</w:t>
      </w:r>
      <w:r>
        <w:rPr>
          <w:rFonts w:hint="eastAsia" w:ascii="宋体" w:hAnsi="宋体" w:cs="宋体"/>
          <w:color w:val="FF0000"/>
          <w:sz w:val="24"/>
          <w:lang w:val="en-US" w:eastAsia="zh-CN"/>
        </w:rPr>
        <w:t>运输运距60㎞</w:t>
      </w:r>
      <w:r>
        <w:rPr>
          <w:rFonts w:hint="eastAsia" w:ascii="宋体" w:hAnsi="宋体" w:cs="宋体"/>
          <w:sz w:val="24"/>
          <w:lang w:eastAsia="zh-CN"/>
        </w:rPr>
        <w:t>）、然后</w:t>
      </w:r>
      <w:r>
        <w:rPr>
          <w:rFonts w:hint="eastAsia" w:ascii="宋体" w:hAnsi="宋体" w:cs="宋体"/>
          <w:sz w:val="24"/>
        </w:rPr>
        <w:t>重新</w:t>
      </w:r>
      <w:r>
        <w:rPr>
          <w:rFonts w:hint="eastAsia" w:ascii="宋体" w:hAnsi="宋体" w:cs="宋体"/>
          <w:sz w:val="24"/>
          <w:lang w:val="en-US" w:eastAsia="zh-CN"/>
        </w:rPr>
        <w:t>浇筑混凝土</w:t>
      </w:r>
      <w:r>
        <w:rPr>
          <w:rFonts w:hint="eastAsia" w:ascii="宋体" w:hAnsi="宋体" w:cs="宋体"/>
          <w:sz w:val="24"/>
        </w:rPr>
        <w:t>（C30F300W6</w:t>
      </w:r>
      <w:r>
        <w:rPr>
          <w:rFonts w:hint="eastAsia" w:ascii="宋体" w:hAnsi="宋体" w:cs="宋体"/>
          <w:sz w:val="24"/>
          <w:lang w:eastAsia="zh-CN"/>
        </w:rPr>
        <w:t>，</w:t>
      </w:r>
      <w:r>
        <w:rPr>
          <w:rFonts w:hint="eastAsia" w:ascii="宋体" w:hAnsi="宋体" w:cs="宋体"/>
          <w:sz w:val="24"/>
          <w:lang w:val="en-US" w:eastAsia="zh-CN"/>
        </w:rPr>
        <w:t>二级配</w:t>
      </w:r>
      <w:r>
        <w:rPr>
          <w:rFonts w:hint="eastAsia" w:ascii="宋体" w:hAnsi="宋体" w:cs="宋体"/>
          <w:sz w:val="24"/>
        </w:rPr>
        <w:t xml:space="preserve"> ）、伸缩缝处理采用聚乙烯高压闭孔板填缝</w:t>
      </w:r>
      <w:r>
        <w:rPr>
          <w:rFonts w:hint="eastAsia" w:ascii="宋体" w:hAnsi="宋体" w:cs="宋体"/>
          <w:sz w:val="24"/>
          <w:lang w:eastAsia="zh-CN"/>
        </w:rPr>
        <w:t>（砼面板厚</w:t>
      </w:r>
      <w:r>
        <w:rPr>
          <w:rFonts w:hint="eastAsia" w:ascii="宋体" w:hAnsi="宋体" w:cs="宋体"/>
          <w:sz w:val="24"/>
          <w:lang w:val="en-US" w:eastAsia="zh-CN"/>
        </w:rPr>
        <w:t>15㎝，</w:t>
      </w:r>
      <w:r>
        <w:rPr>
          <w:rFonts w:hint="eastAsia" w:ascii="宋体" w:hAnsi="宋体" w:cs="宋体"/>
          <w:sz w:val="24"/>
        </w:rPr>
        <w:t>高压闭孔板</w:t>
      </w:r>
      <w:r>
        <w:rPr>
          <w:rFonts w:hint="eastAsia" w:ascii="宋体" w:hAnsi="宋体" w:cs="宋体"/>
          <w:sz w:val="24"/>
          <w:lang w:eastAsia="zh-CN"/>
        </w:rPr>
        <w:t>厚</w:t>
      </w:r>
      <w:r>
        <w:rPr>
          <w:rFonts w:hint="eastAsia" w:ascii="宋体" w:hAnsi="宋体" w:cs="宋体"/>
          <w:sz w:val="24"/>
          <w:lang w:val="en-US" w:eastAsia="zh-CN"/>
        </w:rPr>
        <w:t>10㎝，</w:t>
      </w:r>
      <w:r>
        <w:rPr>
          <w:rFonts w:hint="eastAsia" w:ascii="宋体" w:hAnsi="宋体" w:eastAsia="宋体" w:cs="宋体"/>
          <w:i w:val="0"/>
          <w:iCs w:val="0"/>
          <w:color w:val="000000"/>
          <w:kern w:val="0"/>
          <w:sz w:val="24"/>
          <w:szCs w:val="24"/>
          <w:u w:val="none"/>
          <w:lang w:val="en-US" w:eastAsia="zh-CN" w:bidi="ar"/>
        </w:rPr>
        <w:t>聚氨酯厚5</w:t>
      </w:r>
      <w:r>
        <w:rPr>
          <w:rFonts w:hint="eastAsia" w:ascii="宋体" w:hAnsi="宋体" w:cs="宋体"/>
          <w:sz w:val="24"/>
          <w:lang w:val="en-US" w:eastAsia="zh-CN"/>
        </w:rPr>
        <w:t>㎝</w:t>
      </w:r>
      <w:r>
        <w:rPr>
          <w:rFonts w:hint="eastAsia" w:ascii="宋体" w:hAnsi="宋体" w:cs="宋体"/>
          <w:sz w:val="24"/>
          <w:lang w:eastAsia="zh-CN"/>
        </w:rPr>
        <w:t>）</w:t>
      </w:r>
      <w:r>
        <w:rPr>
          <w:rFonts w:hint="eastAsia" w:ascii="宋体" w:hAnsi="宋体" w:cs="宋体"/>
          <w:sz w:val="24"/>
        </w:rPr>
        <w:t>；</w:t>
      </w:r>
      <w:r>
        <w:rPr>
          <w:rFonts w:hint="eastAsia" w:ascii="宋体" w:hAnsi="宋体" w:cs="宋体"/>
          <w:sz w:val="24"/>
          <w:lang w:eastAsia="zh-CN"/>
        </w:rPr>
        <w:t>泄洪冲沙闸边墙</w:t>
      </w:r>
      <w:r>
        <w:rPr>
          <w:rFonts w:hint="eastAsia" w:ascii="宋体"/>
          <w:b w:val="0"/>
          <w:bCs w:val="0"/>
          <w:snapToGrid/>
          <w:color w:val="auto"/>
          <w:kern w:val="2"/>
          <w:sz w:val="24"/>
          <w:szCs w:val="24"/>
          <w:lang w:val="en-US" w:eastAsia="zh-CN" w:bidi="ar-SA"/>
        </w:rPr>
        <w:t>和消力池</w:t>
      </w:r>
      <w:r>
        <w:rPr>
          <w:rFonts w:hint="eastAsia" w:ascii="宋体" w:hAnsi="宋体" w:cs="宋体"/>
          <w:sz w:val="24"/>
          <w:lang w:val="en-US" w:eastAsia="zh-CN"/>
        </w:rPr>
        <w:t>底板把已破坏的混凝土全部凿除（面积39</w:t>
      </w:r>
      <w:r>
        <w:rPr>
          <w:rFonts w:hint="eastAsia" w:ascii="宋体" w:hAnsi="宋体" w:cs="宋体"/>
          <w:sz w:val="24"/>
        </w:rPr>
        <w:t>m×</w:t>
      </w:r>
      <w:r>
        <w:rPr>
          <w:rFonts w:hint="eastAsia" w:ascii="宋体" w:hAnsi="宋体" w:cs="宋体"/>
          <w:sz w:val="24"/>
          <w:lang w:val="en-US" w:eastAsia="zh-CN"/>
        </w:rPr>
        <w:t>30</w:t>
      </w:r>
      <w:r>
        <w:rPr>
          <w:rFonts w:hint="eastAsia" w:ascii="宋体" w:hAnsi="宋体" w:cs="宋体"/>
          <w:sz w:val="24"/>
        </w:rPr>
        <w:t>m</w:t>
      </w:r>
      <w:r>
        <w:rPr>
          <w:rFonts w:hint="eastAsia" w:ascii="宋体" w:hAnsi="宋体" w:cs="宋体"/>
          <w:sz w:val="24"/>
          <w:lang w:val="en-US" w:eastAsia="zh-CN"/>
        </w:rPr>
        <w:t>）、平均厚度为5㎝，对露出新鲜的混凝土进行凿毛（面积39</w:t>
      </w:r>
      <w:r>
        <w:rPr>
          <w:rFonts w:hint="eastAsia" w:ascii="宋体" w:hAnsi="宋体" w:cs="宋体"/>
          <w:sz w:val="24"/>
        </w:rPr>
        <w:t>m×</w:t>
      </w:r>
      <w:r>
        <w:rPr>
          <w:rFonts w:hint="eastAsia" w:ascii="宋体" w:hAnsi="宋体" w:cs="宋体"/>
          <w:sz w:val="24"/>
          <w:lang w:val="en-US" w:eastAsia="zh-CN"/>
        </w:rPr>
        <w:t>30</w:t>
      </w:r>
      <w:r>
        <w:rPr>
          <w:rFonts w:hint="eastAsia" w:ascii="宋体" w:hAnsi="宋体" w:cs="宋体"/>
          <w:sz w:val="24"/>
        </w:rPr>
        <w:t>m</w:t>
      </w:r>
      <w:r>
        <w:rPr>
          <w:rFonts w:hint="eastAsia" w:ascii="宋体" w:hAnsi="宋体" w:cs="宋体"/>
          <w:sz w:val="24"/>
          <w:lang w:val="en-US" w:eastAsia="zh-CN"/>
        </w:rPr>
        <w:t>）、厚度为2㎝、然后重新浇筑混凝土</w:t>
      </w:r>
      <w:r>
        <w:rPr>
          <w:rFonts w:hint="eastAsia" w:ascii="宋体" w:hAnsi="宋体" w:cs="宋体"/>
          <w:sz w:val="24"/>
        </w:rPr>
        <w:t>（C30F300W6</w:t>
      </w:r>
      <w:r>
        <w:rPr>
          <w:rFonts w:hint="eastAsia" w:ascii="宋体" w:hAnsi="宋体" w:cs="宋体"/>
          <w:sz w:val="24"/>
          <w:lang w:eastAsia="zh-CN"/>
        </w:rPr>
        <w:t>，</w:t>
      </w:r>
      <w:r>
        <w:rPr>
          <w:rFonts w:hint="eastAsia" w:ascii="宋体" w:hAnsi="宋体" w:cs="宋体"/>
          <w:sz w:val="24"/>
          <w:lang w:val="en-US" w:eastAsia="zh-CN"/>
        </w:rPr>
        <w:t>二级配</w:t>
      </w:r>
      <w:r>
        <w:rPr>
          <w:rFonts w:hint="eastAsia" w:ascii="宋体" w:hAnsi="宋体" w:cs="宋体"/>
          <w:sz w:val="24"/>
        </w:rPr>
        <w:t xml:space="preserve"> ）</w:t>
      </w:r>
      <w:r>
        <w:rPr>
          <w:rFonts w:hint="eastAsia" w:ascii="宋体" w:hAnsi="宋体" w:cs="宋体"/>
          <w:sz w:val="24"/>
          <w:lang w:val="en-US" w:eastAsia="zh-CN"/>
        </w:rPr>
        <w:t>；水</w:t>
      </w:r>
      <w:r>
        <w:rPr>
          <w:rFonts w:hint="eastAsia" w:ascii="宋体" w:hAnsi="宋体" w:cs="宋体"/>
          <w:sz w:val="24"/>
        </w:rPr>
        <w:t>库</w:t>
      </w:r>
      <w:r>
        <w:rPr>
          <w:rFonts w:hint="eastAsia" w:ascii="宋体" w:hAnsi="宋体" w:cs="宋体"/>
          <w:sz w:val="24"/>
          <w:lang w:eastAsia="zh-CN"/>
        </w:rPr>
        <w:t>泄洪冲沙闸下游段</w:t>
      </w:r>
      <w:r>
        <w:rPr>
          <w:rFonts w:hint="eastAsia" w:ascii="宋体" w:hAnsi="宋体" w:cs="宋体"/>
          <w:sz w:val="24"/>
        </w:rPr>
        <w:t>两边新增10</w:t>
      </w:r>
      <w:r>
        <w:rPr>
          <w:rFonts w:hint="eastAsia" w:ascii="宋体" w:hAnsi="宋体" w:cs="宋体"/>
          <w:sz w:val="24"/>
          <w:lang w:val="en-US" w:eastAsia="zh-CN"/>
        </w:rPr>
        <w:t>5</w:t>
      </w:r>
      <w:r>
        <w:rPr>
          <w:rFonts w:hint="eastAsia" w:ascii="宋体" w:hAnsi="宋体" w:cs="宋体"/>
          <w:sz w:val="24"/>
        </w:rPr>
        <w:t>m长的栏杆</w:t>
      </w:r>
      <w:r>
        <w:rPr>
          <w:rFonts w:hint="eastAsia" w:ascii="宋体" w:hAnsi="宋体" w:cs="宋体"/>
          <w:sz w:val="24"/>
          <w:lang w:eastAsia="zh-CN"/>
        </w:rPr>
        <w:t>（含基础）</w:t>
      </w:r>
      <w:r>
        <w:rPr>
          <w:rFonts w:hint="eastAsia" w:ascii="宋体" w:hAnsi="宋体" w:cs="宋体"/>
          <w:sz w:val="24"/>
        </w:rPr>
        <w:t>、刷漆；对3个弧形工作闸门进行除锈</w:t>
      </w:r>
      <w:r>
        <w:rPr>
          <w:rFonts w:hint="eastAsia" w:ascii="宋体" w:hAnsi="宋体" w:cs="宋体"/>
          <w:sz w:val="24"/>
          <w:lang w:eastAsia="zh-CN"/>
        </w:rPr>
        <w:t>尺寸为</w:t>
      </w:r>
      <w:r>
        <w:rPr>
          <w:rFonts w:hint="eastAsia" w:ascii="宋体" w:hAnsi="宋体" w:cs="宋体"/>
          <w:sz w:val="24"/>
          <w:lang w:val="en-US" w:eastAsia="zh-CN"/>
        </w:rPr>
        <w:t>10m*4.3m</w:t>
      </w:r>
      <w:r>
        <w:rPr>
          <w:rFonts w:hint="eastAsia" w:ascii="宋体" w:hAnsi="宋体" w:cs="宋体"/>
          <w:sz w:val="24"/>
        </w:rPr>
        <w:t>、</w:t>
      </w:r>
      <w:r>
        <w:rPr>
          <w:rFonts w:hint="eastAsia" w:ascii="宋体" w:hAnsi="宋体" w:cs="宋体"/>
          <w:sz w:val="24"/>
          <w:lang w:eastAsia="zh-CN"/>
        </w:rPr>
        <w:t>合计</w:t>
      </w:r>
      <w:r>
        <w:rPr>
          <w:rFonts w:hint="eastAsia" w:ascii="宋体" w:hAnsi="宋体" w:cs="宋体"/>
          <w:sz w:val="24"/>
          <w:lang w:val="en-US" w:eastAsia="zh-CN"/>
        </w:rPr>
        <w:t>130㎡</w:t>
      </w:r>
      <w:r>
        <w:rPr>
          <w:rFonts w:hint="eastAsia" w:ascii="宋体" w:hAnsi="宋体" w:cs="宋体"/>
          <w:sz w:val="24"/>
          <w:lang w:eastAsia="zh-CN"/>
        </w:rPr>
        <w:t>、</w:t>
      </w:r>
      <w:r>
        <w:rPr>
          <w:rFonts w:hint="eastAsia" w:ascii="宋体" w:hAnsi="宋体" w:cs="宋体"/>
          <w:sz w:val="24"/>
        </w:rPr>
        <w:t>刷防锈漆；</w:t>
      </w:r>
    </w:p>
    <w:p>
      <w:pPr>
        <w:spacing w:line="48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(2)机电设备需要养护主要包括:更换室内配电柜1台（万能式断路器DW15-630A）；</w:t>
      </w:r>
    </w:p>
    <w:p>
      <w:pPr>
        <w:spacing w:line="480" w:lineRule="auto"/>
        <w:ind w:firstLine="480" w:firstLineChars="2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金属结构设备维修</w:t>
      </w:r>
      <w:r>
        <w:rPr>
          <w:rFonts w:hint="eastAsia" w:ascii="宋体" w:hAnsi="宋体" w:cs="宋体"/>
          <w:sz w:val="24"/>
          <w:lang w:val="en-US" w:eastAsia="zh-CN"/>
        </w:rPr>
        <w:t>:</w:t>
      </w:r>
      <w:r>
        <w:rPr>
          <w:rFonts w:hint="eastAsia" w:ascii="宋体" w:hAnsi="宋体" w:cs="宋体"/>
          <w:sz w:val="24"/>
        </w:rPr>
        <w:t>对3个工作闸和检修闸电动机、轴承进行维修养护</w:t>
      </w:r>
    </w:p>
    <w:p>
      <w:pPr>
        <w:spacing w:line="480" w:lineRule="auto"/>
        <w:ind w:firstLine="480" w:firstLineChars="200"/>
        <w:rPr>
          <w:rFonts w:hint="eastAsia" w:ascii="宋体" w:hAnsi="宋体" w:cs="宋体"/>
          <w:sz w:val="24"/>
          <w:lang w:eastAsia="zh-CN"/>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)物料动力消耗包括机油消耗、黄油消耗；</w:t>
      </w:r>
    </w:p>
    <w:p>
      <w:pPr>
        <w:spacing w:line="480" w:lineRule="auto"/>
        <w:ind w:firstLine="480" w:firstLineChars="200"/>
        <w:rPr>
          <w:rFonts w:hint="eastAsia"/>
          <w:color w:val="FF0000"/>
        </w:rPr>
      </w:pPr>
      <w:r>
        <w:rPr>
          <w:rFonts w:hint="eastAsia" w:ascii="宋体" w:hAnsi="宋体" w:cs="宋体"/>
          <w:color w:val="FF0000"/>
          <w:sz w:val="24"/>
          <w:lang w:val="en-US" w:eastAsia="zh-CN"/>
        </w:rPr>
        <w:t>(5)在爬梯下面挨着备用电源房</w:t>
      </w:r>
      <w:r>
        <w:rPr>
          <w:rFonts w:hint="eastAsia" w:ascii="宋体" w:hAnsi="宋体" w:cs="宋体"/>
          <w:color w:val="FF0000"/>
          <w:sz w:val="24"/>
        </w:rPr>
        <w:t>新建油品间</w:t>
      </w:r>
      <w:r>
        <w:rPr>
          <w:rFonts w:hint="eastAsia" w:ascii="宋体" w:hAnsi="宋体" w:cs="宋体"/>
          <w:color w:val="FF0000"/>
          <w:sz w:val="24"/>
          <w:lang w:val="en-US" w:eastAsia="zh-CN"/>
        </w:rPr>
        <w:t>（彩钢房：长2.1</w:t>
      </w:r>
      <w:r>
        <w:rPr>
          <w:rFonts w:hint="eastAsia" w:ascii="宋体" w:hAnsi="宋体" w:cs="宋体"/>
          <w:color w:val="FF0000"/>
          <w:sz w:val="24"/>
        </w:rPr>
        <w:t>m</w:t>
      </w:r>
      <w:r>
        <w:rPr>
          <w:rFonts w:hint="eastAsia" w:ascii="宋体" w:hAnsi="宋体" w:cs="宋体"/>
          <w:color w:val="FF0000"/>
          <w:sz w:val="24"/>
          <w:lang w:val="en-US" w:eastAsia="zh-CN"/>
        </w:rPr>
        <w:t>-宽2.48</w:t>
      </w:r>
      <w:r>
        <w:rPr>
          <w:rFonts w:hint="eastAsia" w:ascii="宋体" w:hAnsi="宋体" w:cs="宋体"/>
          <w:color w:val="FF0000"/>
          <w:sz w:val="24"/>
        </w:rPr>
        <w:t>m</w:t>
      </w:r>
      <w:r>
        <w:rPr>
          <w:rFonts w:hint="eastAsia" w:ascii="宋体" w:hAnsi="宋体" w:cs="宋体"/>
          <w:color w:val="FF0000"/>
          <w:sz w:val="24"/>
          <w:lang w:val="en-US" w:eastAsia="zh-CN"/>
        </w:rPr>
        <w:t>-高（右边2.38</w:t>
      </w:r>
      <w:r>
        <w:rPr>
          <w:rFonts w:hint="eastAsia" w:ascii="宋体" w:hAnsi="宋体" w:cs="宋体"/>
          <w:color w:val="FF0000"/>
          <w:sz w:val="24"/>
        </w:rPr>
        <w:t>m</w:t>
      </w:r>
      <w:r>
        <w:rPr>
          <w:rFonts w:hint="eastAsia" w:ascii="宋体" w:hAnsi="宋体" w:cs="宋体"/>
          <w:color w:val="FF0000"/>
          <w:sz w:val="24"/>
          <w:lang w:val="en-US" w:eastAsia="zh-CN"/>
        </w:rPr>
        <w:t>、左边1</w:t>
      </w:r>
      <w:r>
        <w:rPr>
          <w:rFonts w:hint="eastAsia" w:ascii="宋体" w:hAnsi="宋体" w:cs="宋体"/>
          <w:color w:val="FF0000"/>
          <w:sz w:val="24"/>
        </w:rPr>
        <w:t>m</w:t>
      </w:r>
      <w:r>
        <w:rPr>
          <w:rFonts w:hint="eastAsia" w:ascii="宋体" w:hAnsi="宋体" w:cs="宋体"/>
          <w:color w:val="FF0000"/>
          <w:sz w:val="24"/>
          <w:lang w:val="en-US" w:eastAsia="zh-CN"/>
        </w:rPr>
        <w:t>，含门）建筑面积5.2㎡</w:t>
      </w:r>
      <w:r>
        <w:rPr>
          <w:rFonts w:hint="eastAsia" w:ascii="宋体" w:hAnsi="宋体" w:cs="宋体"/>
          <w:color w:val="FF0000"/>
          <w:sz w:val="24"/>
        </w:rPr>
        <w:t>。</w:t>
      </w:r>
    </w:p>
    <w:p>
      <w:pPr>
        <w:spacing w:line="480" w:lineRule="auto"/>
        <w:ind w:firstLine="482" w:firstLineChars="200"/>
        <w:rPr>
          <w:rFonts w:hint="eastAsia" w:ascii="宋体"/>
          <w:b/>
          <w:bCs/>
          <w:snapToGrid w:val="0"/>
          <w:kern w:val="0"/>
          <w:sz w:val="24"/>
        </w:rPr>
      </w:pPr>
      <w:bookmarkStart w:id="170" w:name="_Toc9884_WPSOffice_Level2"/>
      <w:bookmarkStart w:id="171" w:name="_Toc27321_WPSOffice_Level2"/>
      <w:r>
        <w:rPr>
          <w:rFonts w:hint="eastAsia" w:ascii="宋体"/>
          <w:b/>
          <w:bCs/>
          <w:snapToGrid w:val="0"/>
          <w:kern w:val="0"/>
          <w:sz w:val="24"/>
        </w:rPr>
        <w:t>3.6.2 杜热水库</w:t>
      </w:r>
      <w:bookmarkEnd w:id="170"/>
      <w:bookmarkEnd w:id="171"/>
    </w:p>
    <w:p>
      <w:pPr>
        <w:spacing w:line="480" w:lineRule="auto"/>
        <w:ind w:firstLine="480" w:firstLineChars="200"/>
        <w:rPr>
          <w:rFonts w:hint="eastAsia" w:ascii="宋体" w:hAnsi="宋体" w:cs="宋体"/>
          <w:sz w:val="24"/>
        </w:rPr>
      </w:pPr>
      <w:r>
        <w:rPr>
          <w:rFonts w:hint="eastAsia" w:ascii="宋体" w:hAnsi="宋体" w:cs="宋体"/>
          <w:sz w:val="24"/>
        </w:rPr>
        <w:t>(1)金属结构设备维修:对3个工作闸门门板进行除锈、刷防锈漆</w:t>
      </w:r>
      <w:r>
        <w:rPr>
          <w:rFonts w:hint="eastAsia" w:ascii="宋体" w:hAnsi="宋体" w:cs="宋体"/>
          <w:sz w:val="24"/>
          <w:lang w:eastAsia="zh-CN"/>
        </w:rPr>
        <w:t>尺寸为</w:t>
      </w:r>
      <w:r>
        <w:rPr>
          <w:rFonts w:hint="eastAsia" w:ascii="宋体" w:hAnsi="宋体" w:cs="宋体"/>
          <w:sz w:val="24"/>
          <w:lang w:val="en-US" w:eastAsia="zh-CN"/>
        </w:rPr>
        <w:t>12m*3.5m、合计126㎡</w:t>
      </w:r>
      <w:r>
        <w:rPr>
          <w:rFonts w:hint="eastAsia" w:ascii="宋体" w:hAnsi="宋体" w:cs="宋体"/>
          <w:sz w:val="24"/>
        </w:rPr>
        <w:t>；对3个工作闸和检修闸电动机、轴承进行维修养护；</w:t>
      </w:r>
    </w:p>
    <w:p>
      <w:pPr>
        <w:spacing w:line="480" w:lineRule="auto"/>
        <w:ind w:firstLine="480" w:firstLineChars="200"/>
        <w:rPr>
          <w:rFonts w:hint="eastAsia" w:ascii="宋体" w:hAnsi="宋体" w:cs="宋体"/>
          <w:sz w:val="24"/>
        </w:rPr>
      </w:pPr>
      <w:r>
        <w:rPr>
          <w:rFonts w:hint="eastAsia" w:ascii="宋体" w:hAnsi="宋体" w:cs="宋体"/>
          <w:sz w:val="24"/>
        </w:rPr>
        <w:t>(2)物料动力消耗包括机油消耗、黄油消耗；</w:t>
      </w:r>
    </w:p>
    <w:p>
      <w:pPr>
        <w:spacing w:line="480" w:lineRule="auto"/>
        <w:ind w:firstLine="480" w:firstLineChars="200"/>
        <w:rPr>
          <w:rFonts w:hint="eastAsia" w:ascii="宋体" w:hAnsi="宋体" w:cs="宋体"/>
          <w:sz w:val="24"/>
          <w:lang w:eastAsia="zh-CN"/>
        </w:rPr>
      </w:pPr>
      <w:r>
        <w:rPr>
          <w:rFonts w:hint="eastAsia" w:ascii="宋体" w:hAnsi="宋体" w:cs="宋体"/>
          <w:sz w:val="24"/>
          <w:lang w:val="en-US" w:eastAsia="zh-CN"/>
        </w:rPr>
        <w:t>(3)拔掉现状彩钢备用电源房，新建备用电源房和油品间（砖墙体彩钢屋顶房总长（4+2=6）m-宽2.5m-高2m、含门窗）合计15㎡</w:t>
      </w:r>
      <w:r>
        <w:rPr>
          <w:rFonts w:hint="eastAsia" w:ascii="宋体" w:hAnsi="宋体" w:cs="宋体"/>
          <w:sz w:val="24"/>
          <w:lang w:eastAsia="zh-CN"/>
        </w:rPr>
        <w:t>；</w:t>
      </w:r>
    </w:p>
    <w:p>
      <w:pPr>
        <w:spacing w:line="48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w:t>
      </w:r>
      <w:r>
        <w:rPr>
          <w:rFonts w:hint="eastAsia" w:ascii="宋体" w:hAnsi="宋体" w:cs="宋体"/>
          <w:sz w:val="24"/>
          <w:lang w:val="en-US" w:eastAsia="zh-CN"/>
        </w:rPr>
        <w:t>4）南干渠水闸更换企标8T螺杆启闭机（手动）一台。</w:t>
      </w:r>
    </w:p>
    <w:p>
      <w:pPr>
        <w:spacing w:line="480" w:lineRule="auto"/>
        <w:ind w:firstLine="482" w:firstLineChars="200"/>
        <w:rPr>
          <w:rFonts w:hint="eastAsia" w:ascii="宋体"/>
          <w:b/>
          <w:bCs/>
          <w:snapToGrid w:val="0"/>
          <w:kern w:val="0"/>
          <w:sz w:val="24"/>
        </w:rPr>
      </w:pPr>
      <w:bookmarkStart w:id="172" w:name="_Toc27674_WPSOffice_Level2"/>
      <w:bookmarkStart w:id="173" w:name="_Toc31463_WPSOffice_Level2"/>
      <w:r>
        <w:rPr>
          <w:rFonts w:hint="eastAsia" w:ascii="宋体"/>
          <w:b/>
          <w:bCs/>
          <w:snapToGrid w:val="0"/>
          <w:kern w:val="0"/>
          <w:sz w:val="24"/>
        </w:rPr>
        <w:t>3.6.3广汇煤制气供水工程</w:t>
      </w:r>
      <w:bookmarkEnd w:id="172"/>
      <w:bookmarkEnd w:id="173"/>
    </w:p>
    <w:p>
      <w:pPr>
        <w:spacing w:line="480" w:lineRule="auto"/>
        <w:ind w:firstLine="480" w:firstLineChars="200"/>
        <w:rPr>
          <w:rFonts w:hint="eastAsia" w:ascii="黑体" w:eastAsia="黑体"/>
          <w:b/>
          <w:snapToGrid w:val="0"/>
          <w:kern w:val="0"/>
          <w:sz w:val="28"/>
        </w:rPr>
      </w:pPr>
      <w:r>
        <w:rPr>
          <w:rFonts w:hint="eastAsia" w:ascii="宋体" w:hAnsi="宋体" w:cs="宋体"/>
          <w:sz w:val="24"/>
        </w:rPr>
        <w:t>(1)金属结构设备维修:启闭机更滑液压油，</w:t>
      </w:r>
      <w:r>
        <w:rPr>
          <w:rFonts w:hint="eastAsia" w:ascii="宋体" w:hAnsi="宋体" w:cs="宋体"/>
          <w:sz w:val="24"/>
          <w:lang w:val="en-US" w:eastAsia="zh-CN"/>
        </w:rPr>
        <w:t>3个</w:t>
      </w:r>
      <w:r>
        <w:rPr>
          <w:rFonts w:hint="eastAsia" w:ascii="宋体" w:hAnsi="宋体" w:cs="宋体"/>
          <w:sz w:val="24"/>
        </w:rPr>
        <w:t>工作闸门门板除锈、刷防锈漆</w:t>
      </w:r>
      <w:r>
        <w:rPr>
          <w:rFonts w:hint="eastAsia" w:ascii="宋体" w:hAnsi="宋体" w:cs="宋体"/>
          <w:sz w:val="24"/>
          <w:lang w:eastAsia="zh-CN"/>
        </w:rPr>
        <w:t>尺寸为</w:t>
      </w:r>
      <w:r>
        <w:rPr>
          <w:rFonts w:hint="eastAsia" w:ascii="宋体" w:hAnsi="宋体" w:cs="宋体"/>
          <w:sz w:val="24"/>
          <w:lang w:val="en-US" w:eastAsia="zh-CN"/>
        </w:rPr>
        <w:t>7.5m*7m、合计157.5㎡</w:t>
      </w:r>
      <w:r>
        <w:rPr>
          <w:rFonts w:hint="eastAsia" w:ascii="宋体" w:hAnsi="宋体" w:cs="宋体"/>
          <w:sz w:val="24"/>
        </w:rPr>
        <w:t>。</w:t>
      </w:r>
    </w:p>
    <w:p>
      <w:pPr>
        <w:spacing w:line="480" w:lineRule="auto"/>
        <w:ind w:firstLine="562" w:firstLineChars="200"/>
        <w:rPr>
          <w:rFonts w:hint="eastAsia" w:ascii="黑体" w:eastAsia="黑体"/>
          <w:b/>
          <w:snapToGrid w:val="0"/>
          <w:kern w:val="0"/>
          <w:sz w:val="28"/>
        </w:rPr>
      </w:pPr>
      <w:bookmarkStart w:id="174" w:name="_Toc24284_WPSOffice_Level1"/>
    </w:p>
    <w:p>
      <w:pPr>
        <w:pStyle w:val="7"/>
        <w:adjustRightInd w:val="0"/>
        <w:snapToGrid w:val="0"/>
        <w:spacing w:line="360" w:lineRule="auto"/>
        <w:jc w:val="center"/>
        <w:rPr>
          <w:rFonts w:hint="eastAsia" w:eastAsia="宋体"/>
          <w:snapToGrid w:val="0"/>
          <w:kern w:val="0"/>
          <w:lang w:eastAsia="zh-Hans"/>
        </w:rPr>
      </w:pPr>
      <w:bookmarkStart w:id="175" w:name="_Toc11278_WPSOffice_Level2"/>
      <w:r>
        <w:rPr>
          <w:rFonts w:hint="eastAsia" w:eastAsia="宋体"/>
          <w:snapToGrid w:val="0"/>
          <w:kern w:val="0"/>
          <w:lang w:val="en-US" w:eastAsia="zh-CN"/>
        </w:rPr>
        <w:t>4</w:t>
      </w:r>
      <w:r>
        <w:rPr>
          <w:rFonts w:hint="eastAsia" w:eastAsia="宋体"/>
          <w:snapToGrid w:val="0"/>
          <w:kern w:val="0"/>
          <w:lang w:eastAsia="zh-Hans"/>
        </w:rPr>
        <w:t xml:space="preserve"> 施工组织设计</w:t>
      </w:r>
      <w:bookmarkEnd w:id="175"/>
    </w:p>
    <w:p>
      <w:pPr>
        <w:pStyle w:val="2"/>
        <w:adjustRightInd w:val="0"/>
        <w:snapToGrid w:val="0"/>
        <w:spacing w:before="0" w:after="0" w:line="360" w:lineRule="auto"/>
        <w:rPr>
          <w:rFonts w:hint="eastAsia" w:ascii="黑体" w:hAnsi="Times New Roman" w:eastAsia="黑体"/>
          <w:bCs w:val="0"/>
          <w:snapToGrid w:val="0"/>
          <w:kern w:val="0"/>
          <w:sz w:val="28"/>
          <w:szCs w:val="24"/>
          <w:lang w:eastAsia="zh-Hans"/>
        </w:rPr>
      </w:pPr>
      <w:bookmarkStart w:id="176" w:name="_Toc780676394_WPSOffice_Level2"/>
      <w:bookmarkStart w:id="177" w:name="_Toc18671109_WPSOffice_Level2"/>
      <w:bookmarkStart w:id="178" w:name="_Toc82602103"/>
      <w:bookmarkStart w:id="179" w:name="_Toc893365573_WPSOffice_Level2"/>
      <w:bookmarkStart w:id="180" w:name="_Toc24730_WPSOffice_Level3"/>
      <w:r>
        <w:rPr>
          <w:rFonts w:hint="eastAsia" w:ascii="黑体" w:hAnsi="Times New Roman" w:eastAsia="黑体"/>
          <w:bCs w:val="0"/>
          <w:snapToGrid w:val="0"/>
          <w:kern w:val="0"/>
          <w:sz w:val="28"/>
          <w:szCs w:val="24"/>
          <w:lang w:val="en-US" w:eastAsia="zh-CN"/>
        </w:rPr>
        <w:t>4</w:t>
      </w:r>
      <w:r>
        <w:rPr>
          <w:rFonts w:hint="eastAsia" w:ascii="黑体" w:hAnsi="Times New Roman" w:eastAsia="黑体"/>
          <w:bCs w:val="0"/>
          <w:snapToGrid w:val="0"/>
          <w:kern w:val="0"/>
          <w:sz w:val="28"/>
          <w:szCs w:val="24"/>
          <w:lang w:eastAsia="zh-Hans"/>
        </w:rPr>
        <w:t>.1对外交通</w:t>
      </w:r>
      <w:bookmarkEnd w:id="176"/>
      <w:bookmarkEnd w:id="177"/>
      <w:bookmarkEnd w:id="178"/>
      <w:bookmarkEnd w:id="179"/>
      <w:bookmarkEnd w:id="180"/>
    </w:p>
    <w:p>
      <w:pPr>
        <w:spacing w:line="480" w:lineRule="auto"/>
        <w:ind w:firstLine="480" w:firstLineChars="200"/>
        <w:rPr>
          <w:rFonts w:hint="eastAsia" w:ascii="宋体" w:hAnsi="宋体" w:cs="宋体"/>
          <w:sz w:val="24"/>
        </w:rPr>
      </w:pPr>
      <w:bookmarkStart w:id="181" w:name="_Toc82602104"/>
      <w:bookmarkStart w:id="182" w:name="_Toc1166171252_WPSOffice_Level2"/>
      <w:bookmarkStart w:id="183" w:name="_Toc495436483_WPSOffice_Level2"/>
      <w:bookmarkStart w:id="184" w:name="_Toc13488_WPSOffice_Level3"/>
      <w:bookmarkStart w:id="185" w:name="_Toc1866170703_WPSOffice_Level2"/>
      <w:r>
        <w:rPr>
          <w:rFonts w:hint="eastAsia" w:ascii="宋体" w:hAnsi="宋体" w:cs="宋体"/>
          <w:sz w:val="24"/>
        </w:rPr>
        <w:t>(1)萨尔铁列克水库地处东经89°01’47.5”、北纬46°24’57"位于阿勒泰地区富蕴县铁买克乡境内,属乌伦古河流域中游灌区，距</w:t>
      </w:r>
      <w:r>
        <w:rPr>
          <w:rFonts w:hint="eastAsia" w:ascii="宋体" w:hAnsi="宋体" w:cs="宋体"/>
          <w:sz w:val="24"/>
          <w:lang w:eastAsia="zh-CN"/>
        </w:rPr>
        <w:t>恰库尔图镇</w:t>
      </w:r>
      <w:r>
        <w:rPr>
          <w:rFonts w:hint="eastAsia" w:ascii="宋体" w:hAnsi="宋体" w:cs="宋体"/>
          <w:sz w:val="24"/>
          <w:lang w:val="en-US" w:eastAsia="zh-CN"/>
        </w:rPr>
        <w:t>60</w:t>
      </w:r>
      <w:r>
        <w:rPr>
          <w:rFonts w:hint="eastAsia" w:ascii="宋体" w:hAnsi="宋体" w:cs="宋体"/>
          <w:sz w:val="24"/>
        </w:rPr>
        <w:t>km,交通、通讯较为便利。</w:t>
      </w:r>
    </w:p>
    <w:p>
      <w:pPr>
        <w:spacing w:line="480" w:lineRule="auto"/>
        <w:ind w:firstLine="480" w:firstLineChars="200"/>
        <w:rPr>
          <w:rFonts w:hint="eastAsia" w:ascii="宋体" w:hAnsi="宋体" w:cs="宋体"/>
          <w:sz w:val="24"/>
        </w:rPr>
      </w:pPr>
      <w:r>
        <w:rPr>
          <w:rFonts w:hint="eastAsia" w:ascii="宋体" w:hAnsi="宋体" w:cs="宋体"/>
          <w:sz w:val="24"/>
        </w:rPr>
        <w:t>(2)杜热水库位于新疆富蕴县境内的乌伦古河中下游、杜热灌区上游1km处，地理位置东径89°32’21”，北纬46°20’30"。距富蕴县城144km，杜热水库至杜热乡柏油路相连，距离8.0km。</w:t>
      </w:r>
    </w:p>
    <w:p>
      <w:pPr>
        <w:spacing w:line="480" w:lineRule="auto"/>
        <w:ind w:firstLine="480" w:firstLineChars="200"/>
        <w:rPr>
          <w:rFonts w:hint="eastAsia" w:ascii="宋体" w:hAnsi="宋体" w:cs="宋体"/>
          <w:sz w:val="24"/>
        </w:rPr>
      </w:pPr>
      <w:r>
        <w:rPr>
          <w:rFonts w:hint="eastAsia" w:ascii="宋体" w:hAnsi="宋体" w:cs="宋体"/>
          <w:sz w:val="24"/>
        </w:rPr>
        <w:t>(3)新疆富蕴广汇煤制气项目供水工程，枢纽建设地点位于新疆阿勒泰地区富蕴县恰库尔图镇哈西翁村上游附近，地理坐标为东经89°26’29"，北纬45°33'15"之间。距离富蕴县城160km,距离恰库尔图镇80km,距离自治区首府乌鲁木齐 390km。</w:t>
      </w:r>
    </w:p>
    <w:p>
      <w:pPr>
        <w:pStyle w:val="2"/>
        <w:adjustRightInd w:val="0"/>
        <w:snapToGrid w:val="0"/>
        <w:spacing w:before="0" w:after="0" w:line="360" w:lineRule="auto"/>
        <w:rPr>
          <w:rFonts w:hint="eastAsia" w:ascii="黑体" w:hAnsi="Times New Roman" w:eastAsia="黑体"/>
          <w:bCs w:val="0"/>
          <w:snapToGrid w:val="0"/>
          <w:kern w:val="0"/>
          <w:sz w:val="28"/>
          <w:szCs w:val="24"/>
          <w:lang w:eastAsia="zh-Hans"/>
        </w:rPr>
      </w:pPr>
      <w:r>
        <w:rPr>
          <w:rFonts w:hint="eastAsia" w:ascii="黑体" w:hAnsi="Times New Roman" w:eastAsia="黑体"/>
          <w:bCs w:val="0"/>
          <w:snapToGrid w:val="0"/>
          <w:kern w:val="0"/>
          <w:sz w:val="28"/>
          <w:szCs w:val="24"/>
          <w:lang w:val="en-US" w:eastAsia="zh-CN"/>
        </w:rPr>
        <w:t>4</w:t>
      </w:r>
      <w:r>
        <w:rPr>
          <w:rFonts w:hint="eastAsia" w:ascii="黑体" w:hAnsi="Times New Roman" w:eastAsia="黑体"/>
          <w:bCs w:val="0"/>
          <w:snapToGrid w:val="0"/>
          <w:kern w:val="0"/>
          <w:sz w:val="28"/>
          <w:szCs w:val="24"/>
          <w:lang w:eastAsia="zh-Hans"/>
        </w:rPr>
        <w:t>.2 建材来源、水电供应条件及天然建筑材料</w:t>
      </w:r>
      <w:bookmarkEnd w:id="181"/>
      <w:bookmarkEnd w:id="182"/>
      <w:bookmarkEnd w:id="183"/>
      <w:bookmarkEnd w:id="184"/>
      <w:bookmarkEnd w:id="185"/>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⑴建材来源</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本工程水泥由</w:t>
      </w:r>
      <w:r>
        <w:rPr>
          <w:rFonts w:hint="eastAsia" w:ascii="宋体" w:hAnsi="宋体" w:cs="宋体"/>
          <w:sz w:val="24"/>
          <w:szCs w:val="24"/>
          <w:lang w:val="en-US" w:eastAsia="zh-CN"/>
        </w:rPr>
        <w:t>恰库尔图</w:t>
      </w:r>
      <w:r>
        <w:rPr>
          <w:rFonts w:hint="eastAsia" w:ascii="宋体" w:hAnsi="宋体" w:eastAsia="宋体" w:cs="宋体"/>
          <w:sz w:val="24"/>
          <w:szCs w:val="24"/>
          <w:lang w:val="en-US" w:eastAsia="zh-CN"/>
        </w:rPr>
        <w:t>水泥厂供应，其它建材如柴油，汽油由当地油库购进。</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⑵水电条件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本工程位于河道上，施工用水利用河道水，生活用水就近接用居民点自来水管网。施工用电可从项目区内就近的村庄电网直接下网变压使用，施工单位也可自备柴油发电机。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⑶天然建筑材料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lang w:val="en-US" w:eastAsia="zh-CN"/>
        </w:rPr>
      </w:pPr>
      <w:r>
        <w:rPr>
          <w:rFonts w:hint="eastAsia" w:ascii="宋体" w:hAnsi="宋体" w:eastAsia="宋体" w:cs="宋体"/>
          <w:sz w:val="24"/>
          <w:szCs w:val="24"/>
          <w:lang w:val="en-US" w:eastAsia="zh-CN"/>
        </w:rPr>
        <w:t>施工用砼骨料及</w:t>
      </w:r>
      <w:r>
        <w:rPr>
          <w:rFonts w:hint="eastAsia" w:ascii="宋体" w:hAnsi="宋体" w:cs="宋体"/>
          <w:sz w:val="24"/>
          <w:szCs w:val="24"/>
          <w:lang w:val="en-US" w:eastAsia="zh-CN"/>
        </w:rPr>
        <w:t>水泥</w:t>
      </w:r>
      <w:r>
        <w:rPr>
          <w:rFonts w:hint="eastAsia" w:ascii="宋体" w:hAnsi="宋体" w:eastAsia="宋体" w:cs="宋体"/>
          <w:sz w:val="24"/>
          <w:szCs w:val="24"/>
          <w:lang w:val="en-US" w:eastAsia="zh-CN"/>
        </w:rPr>
        <w:t>平均运距为</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0km，期间现有简易公路可达，交通运输较为方便。</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897" w:firstLineChars="374"/>
        <w:jc w:val="both"/>
        <w:textAlignment w:val="auto"/>
        <w:rPr>
          <w:rFonts w:hint="eastAsia" w:ascii="宋体" w:hAnsi="宋体" w:eastAsia="宋体" w:cs="宋体"/>
          <w:sz w:val="24"/>
          <w:szCs w:val="24"/>
          <w:lang w:val="en-US" w:eastAsia="zh-CN"/>
        </w:rPr>
      </w:pPr>
      <w:r>
        <w:rPr>
          <w:rFonts w:hint="eastAsia" w:ascii="宋体" w:hAnsi="宋体" w:cs="宋体"/>
          <w:sz w:val="24"/>
        </w:rPr>
        <w:t>萨尔铁列克水库</w:t>
      </w:r>
      <w:r>
        <w:rPr>
          <w:rFonts w:hint="eastAsia" w:ascii="宋体" w:hAnsi="宋体" w:cs="宋体"/>
          <w:sz w:val="24"/>
          <w:lang w:eastAsia="zh-CN"/>
        </w:rPr>
        <w:t>迎水面面板重浇，</w:t>
      </w:r>
      <w:r>
        <w:rPr>
          <w:rFonts w:hint="eastAsia" w:ascii="宋体" w:hAnsi="宋体" w:eastAsia="宋体" w:cs="宋体"/>
          <w:sz w:val="24"/>
          <w:szCs w:val="24"/>
          <w:lang w:val="en-US" w:eastAsia="zh-CN"/>
        </w:rPr>
        <w:t>宜在枯水期进行施工，而本次所实施的工程枯水期有一小股河水在河槽中间，所实施工程在枯水期和非冬季施工(9月-11月)。</w:t>
      </w:r>
    </w:p>
    <w:p>
      <w:pPr>
        <w:pStyle w:val="2"/>
        <w:adjustRightInd w:val="0"/>
        <w:snapToGrid w:val="0"/>
        <w:spacing w:before="0" w:after="0" w:line="360" w:lineRule="auto"/>
        <w:rPr>
          <w:rFonts w:hint="eastAsia" w:ascii="黑体" w:hAnsi="Times New Roman" w:eastAsia="黑体"/>
          <w:bCs w:val="0"/>
          <w:snapToGrid w:val="0"/>
          <w:kern w:val="0"/>
          <w:sz w:val="28"/>
          <w:szCs w:val="24"/>
          <w:lang w:eastAsia="zh-Hans"/>
        </w:rPr>
      </w:pPr>
      <w:bookmarkStart w:id="186" w:name="_Toc13932_WPSOffice_Level3"/>
      <w:bookmarkStart w:id="187" w:name="_Toc82602105"/>
      <w:bookmarkStart w:id="188" w:name="_Toc416551346_WPSOffice_Level2"/>
      <w:bookmarkStart w:id="189" w:name="_Toc1947439201_WPSOffice_Level2"/>
      <w:bookmarkStart w:id="190" w:name="_Toc686250475_WPSOffice_Level2"/>
      <w:r>
        <w:rPr>
          <w:rFonts w:hint="eastAsia" w:ascii="黑体" w:hAnsi="Times New Roman" w:eastAsia="黑体"/>
          <w:bCs w:val="0"/>
          <w:snapToGrid w:val="0"/>
          <w:kern w:val="0"/>
          <w:sz w:val="28"/>
          <w:szCs w:val="24"/>
          <w:lang w:val="en-US" w:eastAsia="zh-CN"/>
        </w:rPr>
        <w:t>4</w:t>
      </w:r>
      <w:r>
        <w:rPr>
          <w:rFonts w:hint="eastAsia" w:ascii="黑体" w:hAnsi="Times New Roman" w:eastAsia="黑体"/>
          <w:bCs w:val="0"/>
          <w:snapToGrid w:val="0"/>
          <w:kern w:val="0"/>
          <w:sz w:val="28"/>
          <w:szCs w:val="24"/>
          <w:lang w:eastAsia="zh-Hans"/>
        </w:rPr>
        <w:t>.3 工程施工</w:t>
      </w:r>
      <w:bookmarkEnd w:id="186"/>
      <w:bookmarkEnd w:id="187"/>
      <w:bookmarkEnd w:id="188"/>
      <w:bookmarkEnd w:id="189"/>
      <w:bookmarkEnd w:id="190"/>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⑴供水系统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根据用水特点，施工单位自备1台7.70kw的潜水泵从河道供水。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⑵施工用电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本工程施工用电较为有利，施工时可直接下网变压使用。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⑶对外通讯</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移动通讯设施覆盖整个工程区，对外联系较为方便。</w:t>
      </w:r>
    </w:p>
    <w:p>
      <w:pPr>
        <w:spacing w:line="480" w:lineRule="auto"/>
        <w:jc w:val="both"/>
        <w:rPr>
          <w:rFonts w:hint="eastAsia" w:ascii="黑体" w:eastAsia="黑体"/>
          <w:b/>
          <w:snapToGrid w:val="0"/>
          <w:kern w:val="0"/>
          <w:sz w:val="28"/>
        </w:rPr>
      </w:pPr>
      <w:bookmarkStart w:id="191" w:name="_Toc32172_WPSOffice_Level3"/>
      <w:r>
        <w:rPr>
          <w:rFonts w:hint="eastAsia" w:ascii="黑体" w:eastAsia="黑体"/>
          <w:b/>
          <w:snapToGrid w:val="0"/>
          <w:kern w:val="0"/>
          <w:sz w:val="28"/>
          <w:lang w:val="en-US" w:eastAsia="zh-CN"/>
        </w:rPr>
        <w:t>4</w:t>
      </w:r>
      <w:r>
        <w:rPr>
          <w:rFonts w:hint="eastAsia" w:ascii="黑体" w:eastAsia="黑体"/>
          <w:b/>
          <w:snapToGrid w:val="0"/>
          <w:kern w:val="0"/>
          <w:sz w:val="28"/>
        </w:rPr>
        <w:t>.</w:t>
      </w:r>
      <w:r>
        <w:rPr>
          <w:rFonts w:hint="eastAsia" w:ascii="黑体" w:eastAsia="黑体"/>
          <w:b/>
          <w:snapToGrid w:val="0"/>
          <w:kern w:val="0"/>
          <w:sz w:val="28"/>
          <w:lang w:val="en-US" w:eastAsia="zh-CN"/>
        </w:rPr>
        <w:t>4</w:t>
      </w:r>
      <w:r>
        <w:rPr>
          <w:rFonts w:hint="eastAsia" w:ascii="黑体" w:eastAsia="黑体"/>
          <w:b/>
          <w:snapToGrid w:val="0"/>
          <w:kern w:val="0"/>
          <w:sz w:val="28"/>
        </w:rPr>
        <w:t>工程量</w:t>
      </w:r>
      <w:bookmarkEnd w:id="174"/>
      <w:bookmarkEnd w:id="191"/>
    </w:p>
    <w:p>
      <w:pPr>
        <w:spacing w:line="480" w:lineRule="auto"/>
        <w:jc w:val="center"/>
        <w:rPr>
          <w:rFonts w:hint="eastAsia" w:ascii="宋体" w:hAnsi="宋体" w:cs="宋体"/>
          <w:b/>
          <w:bCs/>
          <w:color w:val="000000"/>
          <w:kern w:val="0"/>
          <w:sz w:val="22"/>
          <w:szCs w:val="22"/>
          <w:lang w:bidi="ar"/>
        </w:rPr>
      </w:pPr>
      <w:r>
        <w:rPr>
          <w:rFonts w:hint="eastAsia" w:ascii="宋体" w:hAnsi="宋体" w:cs="宋体"/>
          <w:b/>
          <w:bCs/>
          <w:color w:val="000000"/>
          <w:kern w:val="0"/>
          <w:sz w:val="22"/>
          <w:szCs w:val="22"/>
          <w:lang w:bidi="ar"/>
        </w:rPr>
        <w:t>主要工程量汇总表</w:t>
      </w:r>
    </w:p>
    <w:tbl>
      <w:tblPr>
        <w:tblStyle w:val="8"/>
        <w:tblW w:w="879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2"/>
        <w:gridCol w:w="3508"/>
        <w:gridCol w:w="770"/>
        <w:gridCol w:w="720"/>
        <w:gridCol w:w="3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92" w:name="_Toc22705_WPSOffice_Level1"/>
            <w:bookmarkStart w:id="193" w:name="_Toc32367_WPSOffice_Level1"/>
            <w:r>
              <w:rPr>
                <w:rFonts w:hint="eastAsia" w:ascii="宋体" w:hAnsi="宋体" w:eastAsia="宋体" w:cs="宋体"/>
                <w:i w:val="0"/>
                <w:iCs w:val="0"/>
                <w:color w:val="000000"/>
                <w:kern w:val="0"/>
                <w:sz w:val="21"/>
                <w:szCs w:val="21"/>
                <w:u w:val="none"/>
                <w:lang w:val="en-US" w:eastAsia="zh-CN" w:bidi="ar"/>
              </w:rPr>
              <w:t>编号</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工程或费用名称</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第一部分:建筑工程</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3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⑴</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主体工程维修养护</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现状迎水面护坡面板拆除（30块）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2</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挖机（弃运3㎞）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砂砾石垫层进行补充碾压</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24</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（补充垫层平均厚度为5厘米</w:t>
            </w:r>
            <w:r>
              <w:rPr>
                <w:rFonts w:hint="eastAsia" w:ascii="宋体" w:hAnsi="宋体" w:cs="宋体"/>
                <w:i w:val="0"/>
                <w:iCs w:val="0"/>
                <w:color w:val="000000"/>
                <w:kern w:val="0"/>
                <w:sz w:val="20"/>
                <w:szCs w:val="20"/>
                <w:u w:val="none"/>
                <w:lang w:val="en-US" w:eastAsia="zh-CN" w:bidi="ar"/>
              </w:rPr>
              <w:t>、运距60㎞</w:t>
            </w:r>
            <w:r>
              <w:rPr>
                <w:rFonts w:hint="eastAsia" w:ascii="宋体" w:hAnsi="宋体" w:eastAsia="宋体" w:cs="宋体"/>
                <w:i w:val="0"/>
                <w:iCs w:val="0"/>
                <w:color w:val="000000"/>
                <w:kern w:val="0"/>
                <w:sz w:val="20"/>
                <w:szCs w:val="20"/>
                <w:u w:val="none"/>
                <w:lang w:val="en-US" w:eastAsia="zh-CN" w:bidi="ar"/>
              </w:rPr>
              <w:t>、碾压系数≥0.75）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面板浇筑砼C30F300W6（二级配）</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2</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自办砼，</w:t>
            </w:r>
            <w:r>
              <w:rPr>
                <w:rFonts w:hint="eastAsia" w:ascii="宋体" w:hAnsi="宋体" w:eastAsia="宋体" w:cs="宋体"/>
                <w:i w:val="0"/>
                <w:iCs w:val="0"/>
                <w:color w:val="000000"/>
                <w:kern w:val="0"/>
                <w:sz w:val="20"/>
                <w:szCs w:val="20"/>
                <w:u w:val="none"/>
                <w:lang w:val="en-US" w:eastAsia="zh-CN" w:bidi="ar"/>
              </w:rPr>
              <w:t>面板尺寸4.0m*4.0m*0.15m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聚乙烯高压闭孔板</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面板伸缩缝处理（厚10㎝）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聚氨酯</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泄洪冲沙闸边墙和消力池底板混凝土凿</w:t>
            </w:r>
            <w:r>
              <w:rPr>
                <w:rFonts w:hint="eastAsia" w:ascii="宋体" w:hAnsi="宋体" w:cs="宋体"/>
                <w:i w:val="0"/>
                <w:iCs w:val="0"/>
                <w:color w:val="000000"/>
                <w:kern w:val="0"/>
                <w:sz w:val="20"/>
                <w:szCs w:val="20"/>
                <w:u w:val="none"/>
                <w:lang w:val="en-US" w:eastAsia="zh-CN" w:bidi="ar"/>
              </w:rPr>
              <w:t>除</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面积为39m×30m、平均厚度为5㎝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泄洪冲沙闸边墙和消力池底板混凝土凿毛</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1170</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面积为39m×30m、凿毛深度2㎝</w:t>
            </w:r>
            <w:r>
              <w:rPr>
                <w:rFonts w:hint="eastAsia" w:ascii="宋体" w:hAnsi="宋体" w:cs="宋体"/>
                <w:i w:val="0"/>
                <w:iCs w:val="0"/>
                <w:color w:val="000000"/>
                <w:kern w:val="0"/>
                <w:sz w:val="20"/>
                <w:szCs w:val="20"/>
                <w:u w:val="none"/>
                <w:lang w:val="en-US" w:eastAsia="zh-CN" w:bidi="ar"/>
              </w:rPr>
              <w:t>、计23.4m³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泄洪冲沙闸边墙和消力池底板维修砼</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81.9</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自办，</w:t>
            </w:r>
            <w:r>
              <w:rPr>
                <w:rFonts w:hint="eastAsia" w:ascii="宋体" w:hAnsi="宋体" w:eastAsia="宋体" w:cs="宋体"/>
                <w:i w:val="0"/>
                <w:iCs w:val="0"/>
                <w:color w:val="000000"/>
                <w:kern w:val="0"/>
                <w:sz w:val="20"/>
                <w:szCs w:val="20"/>
                <w:u w:val="none"/>
                <w:lang w:val="en-US" w:eastAsia="zh-CN" w:bidi="ar"/>
              </w:rPr>
              <w:t>C30F300W6（二级配）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新增溢洪道两边钢管护栏</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∅50钢管（高度1.5m）采购、运输、焊接、刷漆</w:t>
            </w:r>
            <w:r>
              <w:rPr>
                <w:rFonts w:hint="eastAsia" w:ascii="宋体" w:hAnsi="宋体" w:cs="宋体"/>
                <w:i w:val="0"/>
                <w:iCs w:val="0"/>
                <w:color w:val="000000"/>
                <w:kern w:val="0"/>
                <w:sz w:val="20"/>
                <w:szCs w:val="20"/>
                <w:u w:val="none"/>
                <w:lang w:val="en-US" w:eastAsia="zh-CN" w:bidi="ar"/>
              </w:rPr>
              <w:t>、含基础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新建油品间（萨尔铁列克）</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5.2</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（彩钢房：长</w:t>
            </w:r>
            <w:r>
              <w:rPr>
                <w:rFonts w:hint="eastAsia" w:ascii="宋体" w:hAnsi="宋体" w:cs="宋体"/>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m-宽2.48m-高（右边2.38m、左边1m，含门）合计</w:t>
            </w:r>
            <w:r>
              <w:rPr>
                <w:rFonts w:hint="eastAsia" w:ascii="宋体" w:hAnsi="宋体" w:cs="宋体"/>
                <w:i w:val="0"/>
                <w:iCs w:val="0"/>
                <w:color w:val="000000"/>
                <w:kern w:val="0"/>
                <w:sz w:val="20"/>
                <w:szCs w:val="20"/>
                <w:u w:val="none"/>
                <w:lang w:val="en-US" w:eastAsia="zh-CN" w:bidi="ar"/>
              </w:rPr>
              <w:t>建筑面积5.2</w:t>
            </w: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现状备用电源房拆除（杜热水库）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10</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铲车（弃运3㎞）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新建备用电源房和油品间（杜热水库）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15</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砖墙体彩钢屋顶房总长</w:t>
            </w:r>
            <w:r>
              <w:rPr>
                <w:rFonts w:hint="eastAsia" w:ascii="宋体" w:hAnsi="宋体" w:cs="宋体"/>
                <w:i w:val="0"/>
                <w:iCs w:val="0"/>
                <w:color w:val="000000"/>
                <w:kern w:val="0"/>
                <w:sz w:val="20"/>
                <w:szCs w:val="20"/>
                <w:u w:val="none"/>
                <w:lang w:val="en-US" w:eastAsia="zh-CN" w:bidi="ar"/>
              </w:rPr>
              <w:t>（4+2=6）</w:t>
            </w:r>
            <w:r>
              <w:rPr>
                <w:rFonts w:hint="eastAsia" w:ascii="宋体" w:hAnsi="宋体" w:eastAsia="宋体" w:cs="宋体"/>
                <w:i w:val="0"/>
                <w:iCs w:val="0"/>
                <w:color w:val="000000"/>
                <w:kern w:val="0"/>
                <w:sz w:val="20"/>
                <w:szCs w:val="20"/>
                <w:u w:val="none"/>
                <w:lang w:val="en-US" w:eastAsia="zh-CN" w:bidi="ar"/>
              </w:rPr>
              <w:t>m-宽2.5m-高2m、含</w:t>
            </w:r>
            <w:r>
              <w:rPr>
                <w:rFonts w:hint="eastAsia" w:ascii="宋体" w:hAnsi="宋体" w:cs="宋体"/>
                <w:i w:val="0"/>
                <w:iCs w:val="0"/>
                <w:color w:val="000000"/>
                <w:kern w:val="0"/>
                <w:sz w:val="20"/>
                <w:szCs w:val="20"/>
                <w:u w:val="none"/>
                <w:lang w:val="en-US" w:eastAsia="zh-CN" w:bidi="ar"/>
              </w:rPr>
              <w:t>基础、含</w:t>
            </w:r>
            <w:r>
              <w:rPr>
                <w:rFonts w:hint="eastAsia" w:ascii="宋体" w:hAnsi="宋体" w:eastAsia="宋体" w:cs="宋体"/>
                <w:i w:val="0"/>
                <w:iCs w:val="0"/>
                <w:color w:val="000000"/>
                <w:kern w:val="0"/>
                <w:sz w:val="20"/>
                <w:szCs w:val="20"/>
                <w:u w:val="none"/>
                <w:lang w:val="en-US" w:eastAsia="zh-CN" w:bidi="ar"/>
              </w:rPr>
              <w:t>门窗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⑵</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物料动力消耗</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机油消耗（萨尔铁列克水库）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SF机油(桶18升)，含人工费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黄油消耗（萨尔铁列克水库）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1号锂基酯(桶15升)，含人工费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机油消耗（杜热水库）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SF机油(桶18升)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黄油消耗（杜热水库）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1号锂基酯(桶15升)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第二部分机电设备及安装工程</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更换室内配电柜</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万能式断路器DW15-630A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第三部分金属结构设备维修工程</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3个闸门除锈粉刷（萨尔铁列克水库）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10m*4.3m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3个闸门除锈粉刷（杜热水库）</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杜热水库南干渠水闸更换启闭机</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企标8T螺杆启闭机（手动）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3个启闭机更换液压油（广汇煤制气供水工程）</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3个闸门除锈粉刷</w:t>
            </w:r>
            <w:r>
              <w:rPr>
                <w:rFonts w:hint="eastAsia" w:ascii="宋体" w:hAnsi="宋体" w:eastAsia="宋体" w:cs="宋体"/>
                <w:i w:val="0"/>
                <w:iCs w:val="0"/>
                <w:color w:val="000000"/>
                <w:kern w:val="0"/>
                <w:sz w:val="18"/>
                <w:szCs w:val="18"/>
                <w:u w:val="none"/>
                <w:lang w:val="en-US" w:eastAsia="zh-CN" w:bidi="ar"/>
              </w:rPr>
              <w:t>（广汇煤制气供水工程</w:t>
            </w:r>
            <w:r>
              <w:rPr>
                <w:rFonts w:hint="eastAsia" w:ascii="宋体" w:hAnsi="宋体" w:eastAsia="宋体" w:cs="宋体"/>
                <w:i w:val="0"/>
                <w:iCs w:val="0"/>
                <w:color w:val="000000"/>
                <w:kern w:val="0"/>
                <w:sz w:val="20"/>
                <w:szCs w:val="20"/>
                <w:u w:val="none"/>
                <w:lang w:val="en-US" w:eastAsia="zh-CN" w:bidi="ar"/>
              </w:rPr>
              <w:t>）</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157.5</w:t>
            </w:r>
          </w:p>
        </w:tc>
        <w:tc>
          <w:tcPr>
            <w:tcW w:w="3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7.5m*7m</w:t>
            </w:r>
          </w:p>
        </w:tc>
      </w:tr>
    </w:tbl>
    <w:p>
      <w:pPr>
        <w:jc w:val="center"/>
        <w:rPr>
          <w:rFonts w:hint="eastAsia" w:ascii="等线 Light" w:hAnsi="等线 Light"/>
          <w:b/>
          <w:bCs/>
          <w:snapToGrid w:val="0"/>
          <w:kern w:val="0"/>
          <w:sz w:val="32"/>
          <w:szCs w:val="32"/>
          <w:lang w:val="en-US" w:eastAsia="zh-CN"/>
        </w:rPr>
      </w:pPr>
    </w:p>
    <w:p>
      <w:pPr>
        <w:jc w:val="both"/>
        <w:rPr>
          <w:rFonts w:hint="eastAsia" w:ascii="等线 Light" w:hAnsi="等线 Light"/>
          <w:b/>
          <w:bCs/>
          <w:snapToGrid w:val="0"/>
          <w:kern w:val="0"/>
          <w:sz w:val="32"/>
          <w:szCs w:val="32"/>
          <w:lang w:val="en-US" w:eastAsia="zh-CN"/>
        </w:rPr>
      </w:pPr>
    </w:p>
    <w:p>
      <w:pPr>
        <w:jc w:val="center"/>
        <w:rPr>
          <w:rFonts w:hint="eastAsia" w:ascii="等线 Light" w:hAnsi="等线 Light"/>
          <w:b/>
          <w:bCs/>
          <w:snapToGrid w:val="0"/>
          <w:kern w:val="0"/>
          <w:sz w:val="32"/>
          <w:szCs w:val="32"/>
          <w:lang w:val="en-US" w:eastAsia="zh-CN"/>
        </w:rPr>
      </w:pPr>
    </w:p>
    <w:p>
      <w:pPr>
        <w:jc w:val="both"/>
        <w:rPr>
          <w:rFonts w:hint="eastAsia" w:ascii="等线 Light" w:hAnsi="等线 Light"/>
          <w:b/>
          <w:bCs/>
          <w:snapToGrid w:val="0"/>
          <w:kern w:val="0"/>
          <w:sz w:val="32"/>
          <w:szCs w:val="32"/>
          <w:lang w:val="en-US" w:eastAsia="zh-CN"/>
        </w:rPr>
      </w:pPr>
    </w:p>
    <w:p>
      <w:pPr>
        <w:jc w:val="center"/>
        <w:rPr>
          <w:rFonts w:hint="eastAsia" w:ascii="等线 Light" w:hAnsi="等线 Light"/>
          <w:b/>
          <w:bCs/>
          <w:snapToGrid w:val="0"/>
          <w:kern w:val="0"/>
          <w:sz w:val="32"/>
          <w:szCs w:val="32"/>
          <w:lang w:val="en-US" w:eastAsia="zh-CN"/>
        </w:rPr>
      </w:pPr>
    </w:p>
    <w:p>
      <w:pPr>
        <w:jc w:val="center"/>
        <w:rPr>
          <w:rFonts w:hint="eastAsia" w:ascii="等线 Light" w:hAnsi="等线 Light"/>
          <w:b/>
          <w:bCs/>
          <w:snapToGrid w:val="0"/>
          <w:kern w:val="0"/>
          <w:sz w:val="32"/>
          <w:szCs w:val="32"/>
        </w:rPr>
      </w:pPr>
      <w:r>
        <w:rPr>
          <w:rFonts w:hint="eastAsia" w:ascii="等线 Light" w:hAnsi="等线 Light"/>
          <w:b/>
          <w:bCs/>
          <w:snapToGrid w:val="0"/>
          <w:kern w:val="0"/>
          <w:sz w:val="32"/>
          <w:szCs w:val="32"/>
          <w:lang w:val="en-US" w:eastAsia="zh-CN"/>
        </w:rPr>
        <w:t>5</w:t>
      </w:r>
      <w:r>
        <w:rPr>
          <w:rFonts w:hint="eastAsia" w:ascii="等线 Light" w:hAnsi="等线 Light"/>
          <w:b/>
          <w:bCs/>
          <w:snapToGrid w:val="0"/>
          <w:kern w:val="0"/>
          <w:sz w:val="32"/>
          <w:szCs w:val="32"/>
        </w:rPr>
        <w:t>投资概算</w:t>
      </w:r>
      <w:bookmarkEnd w:id="192"/>
      <w:bookmarkEnd w:id="193"/>
    </w:p>
    <w:p>
      <w:pPr>
        <w:spacing w:line="480" w:lineRule="auto"/>
        <w:ind w:firstLine="562" w:firstLineChars="200"/>
        <w:rPr>
          <w:rFonts w:hint="eastAsia" w:ascii="黑体" w:eastAsia="黑体"/>
          <w:b/>
          <w:snapToGrid w:val="0"/>
          <w:kern w:val="0"/>
          <w:sz w:val="28"/>
        </w:rPr>
      </w:pPr>
      <w:bookmarkStart w:id="194" w:name="_Toc14154_WPSOffice_Level1"/>
      <w:bookmarkStart w:id="195" w:name="_Toc4234_WPSOffice_Level1"/>
      <w:r>
        <w:rPr>
          <w:rFonts w:hint="eastAsia" w:ascii="黑体" w:eastAsia="黑体"/>
          <w:b/>
          <w:snapToGrid w:val="0"/>
          <w:kern w:val="0"/>
          <w:sz w:val="28"/>
          <w:lang w:val="en-US" w:eastAsia="zh-CN"/>
        </w:rPr>
        <w:t>5</w:t>
      </w:r>
      <w:r>
        <w:rPr>
          <w:rFonts w:hint="eastAsia" w:ascii="黑体" w:eastAsia="黑体"/>
          <w:b/>
          <w:snapToGrid w:val="0"/>
          <w:kern w:val="0"/>
          <w:sz w:val="28"/>
        </w:rPr>
        <w:t>.1工程概况</w:t>
      </w:r>
      <w:bookmarkEnd w:id="194"/>
      <w:bookmarkEnd w:id="195"/>
    </w:p>
    <w:p>
      <w:pPr>
        <w:spacing w:line="480" w:lineRule="auto"/>
        <w:ind w:firstLine="480" w:firstLineChars="200"/>
        <w:rPr>
          <w:rFonts w:hint="eastAsia" w:ascii="宋体" w:hAnsi="宋体" w:cs="宋体"/>
          <w:sz w:val="24"/>
        </w:rPr>
      </w:pPr>
      <w:r>
        <w:rPr>
          <w:rFonts w:hint="eastAsia" w:ascii="宋体" w:hAnsi="宋体" w:cs="宋体"/>
          <w:sz w:val="24"/>
        </w:rPr>
        <w:t>富蕴县位于新疆维吾尔自治区东北部、阿勒泰山南麓、准噶尔盆地北缘，额尔齐斯河上游右岸。地理坐标:北纬 45°00’~48°03’，东经88°10’~90°31’。县域东临青河县，西接福海县，南与昌吉回族自治州的奇台县、吉木萨尔县毗邻。东北部与蒙古人民共和国接壤，边界线总长205km。境内有国道216线及省道公路干线和乌鲁木齐、阿勒泰、北屯等城镇相通，县城距自治区首府乌鲁木齐 480km，距行署所在地阿勒泰市237.3km。工程区交通、通讯条件十分便利，县境南北长 413km，东西宽约 180km,总面积3.37 万km。富蕴县城距乌鲁木齐市 480km,县城海拔800m。</w:t>
      </w:r>
    </w:p>
    <w:p>
      <w:pPr>
        <w:spacing w:line="480" w:lineRule="auto"/>
        <w:ind w:firstLine="480" w:firstLineChars="200"/>
        <w:rPr>
          <w:rFonts w:hint="eastAsia" w:ascii="宋体" w:hAnsi="宋体" w:cs="宋体"/>
          <w:sz w:val="24"/>
        </w:rPr>
      </w:pPr>
      <w:r>
        <w:rPr>
          <w:rFonts w:hint="eastAsia" w:ascii="宋体" w:hAnsi="宋体" w:cs="宋体"/>
          <w:sz w:val="24"/>
        </w:rPr>
        <w:t>(1)萨尔铁列克水库地处东经89°01’47.5"、北纬46°24’57"位于阿勒泰地区富蕴县铁买克乡境内，属乌伦古河流域中游灌区。</w:t>
      </w:r>
    </w:p>
    <w:p>
      <w:pPr>
        <w:spacing w:line="480" w:lineRule="auto"/>
        <w:ind w:firstLine="480" w:firstLineChars="200"/>
        <w:rPr>
          <w:rFonts w:hint="eastAsia" w:ascii="宋体" w:hAnsi="宋体" w:cs="宋体"/>
          <w:sz w:val="24"/>
        </w:rPr>
      </w:pPr>
      <w:r>
        <w:rPr>
          <w:rFonts w:hint="eastAsia" w:ascii="宋体" w:hAnsi="宋体" w:cs="宋体"/>
          <w:sz w:val="24"/>
        </w:rPr>
        <w:t>(2)杜热水库位于新疆富蕴县境内的乌伦古河中下游、杜热灌区上游 1km处，距富蕴县城144km,杜热水库至杜热乡柏油路相连，距离8.0km。地理位置东径89°32’21"，北纬46°20’30”。区内有车行便道，对外交通及通迅较为便利。</w:t>
      </w:r>
    </w:p>
    <w:p>
      <w:pPr>
        <w:spacing w:line="480" w:lineRule="auto"/>
        <w:ind w:firstLine="480" w:firstLineChars="200"/>
        <w:rPr>
          <w:rFonts w:hint="eastAsia" w:ascii="宋体" w:hAnsi="宋体" w:cs="宋体"/>
          <w:sz w:val="24"/>
        </w:rPr>
      </w:pPr>
      <w:r>
        <w:rPr>
          <w:rFonts w:hint="eastAsia" w:ascii="宋体" w:hAnsi="宋体" w:cs="宋体"/>
          <w:sz w:val="24"/>
        </w:rPr>
        <w:t>(3)新疆富蕴广汇煤制气项目供水工程，枢纽建设地点位于新疆阿勒泰地区富蕴县恰库尔图镇哈西翁村上游附近，地理坐标为东经89°26’29"，北纬45°33’15”之间。建设目的是为新疆广汇集团在富蕴县境内开发年产40亿m</w:t>
      </w:r>
      <w:r>
        <w:rPr>
          <w:rFonts w:hint="eastAsia" w:ascii="宋体" w:hAnsi="宋体" w:cs="宋体"/>
          <w:sz w:val="24"/>
          <w:vertAlign w:val="superscript"/>
        </w:rPr>
        <w:t>3</w:t>
      </w:r>
      <w:r>
        <w:rPr>
          <w:rFonts w:hint="eastAsia" w:ascii="宋体" w:hAnsi="宋体" w:cs="宋体"/>
          <w:sz w:val="24"/>
        </w:rPr>
        <w:t>煤制气项目提供工业及生活用水，同时兼顾项目建设区域内乌伦古河南北两岸现有1.80万亩农田的灌溉任务。</w:t>
      </w:r>
    </w:p>
    <w:p>
      <w:pPr>
        <w:spacing w:line="480" w:lineRule="auto"/>
        <w:ind w:firstLine="480" w:firstLineChars="200"/>
        <w:rPr>
          <w:rFonts w:hint="eastAsia" w:ascii="宋体" w:hAnsi="宋体" w:cs="宋体"/>
          <w:sz w:val="24"/>
        </w:rPr>
      </w:pPr>
      <w:r>
        <w:rPr>
          <w:rFonts w:hint="eastAsia" w:ascii="宋体" w:hAnsi="宋体" w:cs="宋体"/>
          <w:sz w:val="24"/>
        </w:rPr>
        <w:t>本次设计通过对萨尔铁列克水库、杜热水库、广汇煤制气供水工程(恰库尔图水库)进行维修养护，使水库正常运行，确保下游灌区灌溉用水需求。</w:t>
      </w:r>
    </w:p>
    <w:p>
      <w:pPr>
        <w:spacing w:line="480" w:lineRule="auto"/>
        <w:ind w:firstLine="562" w:firstLineChars="200"/>
        <w:rPr>
          <w:rFonts w:hint="eastAsia" w:ascii="黑体" w:eastAsia="黑体"/>
          <w:b/>
          <w:snapToGrid w:val="0"/>
          <w:kern w:val="0"/>
          <w:sz w:val="28"/>
        </w:rPr>
      </w:pPr>
      <w:bookmarkStart w:id="196" w:name="_Toc25343_WPSOffice_Level1"/>
      <w:bookmarkStart w:id="197" w:name="_Toc30120_WPSOffice_Level1"/>
      <w:r>
        <w:rPr>
          <w:rFonts w:hint="eastAsia" w:ascii="黑体" w:eastAsia="黑体"/>
          <w:b/>
          <w:snapToGrid w:val="0"/>
          <w:kern w:val="0"/>
          <w:sz w:val="28"/>
          <w:lang w:val="en-US" w:eastAsia="zh-CN"/>
        </w:rPr>
        <w:t>5</w:t>
      </w:r>
      <w:r>
        <w:rPr>
          <w:rFonts w:hint="eastAsia" w:ascii="黑体" w:eastAsia="黑体"/>
          <w:b/>
          <w:snapToGrid w:val="0"/>
          <w:kern w:val="0"/>
          <w:sz w:val="28"/>
        </w:rPr>
        <w:t>.2投资主要指标</w:t>
      </w:r>
      <w:bookmarkEnd w:id="196"/>
      <w:bookmarkEnd w:id="197"/>
    </w:p>
    <w:p>
      <w:pPr>
        <w:spacing w:line="480" w:lineRule="auto"/>
        <w:ind w:firstLine="480" w:firstLineChars="200"/>
        <w:rPr>
          <w:rFonts w:hint="eastAsia" w:ascii="等线 Light" w:hAnsi="等线 Light"/>
          <w:b/>
          <w:bCs/>
          <w:snapToGrid w:val="0"/>
          <w:color w:val="0000FF"/>
          <w:kern w:val="0"/>
          <w:sz w:val="32"/>
          <w:szCs w:val="32"/>
        </w:rPr>
      </w:pPr>
      <w:bookmarkStart w:id="198" w:name="_Toc16576_WPSOffice_Level1"/>
      <w:bookmarkStart w:id="199" w:name="_Toc27201_WPSOffice_Level1"/>
      <w:r>
        <w:rPr>
          <w:rFonts w:hint="eastAsia" w:ascii="宋体" w:hAnsi="宋体" w:cs="宋体"/>
          <w:color w:val="0000FF"/>
          <w:sz w:val="24"/>
        </w:rPr>
        <w:t>本维修养护工程总投资</w:t>
      </w:r>
      <w:r>
        <w:rPr>
          <w:rFonts w:hint="eastAsia" w:ascii="宋体" w:hAnsi="宋体" w:cs="宋体"/>
          <w:color w:val="0000FF"/>
          <w:sz w:val="24"/>
          <w:lang w:val="en-US" w:eastAsia="zh-CN"/>
        </w:rPr>
        <w:t>38.21</w:t>
      </w:r>
      <w:r>
        <w:rPr>
          <w:rFonts w:hint="eastAsia" w:ascii="宋体" w:hAnsi="宋体" w:cs="宋体"/>
          <w:color w:val="0000FF"/>
          <w:sz w:val="24"/>
        </w:rPr>
        <w:t>万元，其中18万元为中央资金，</w:t>
      </w:r>
      <w:r>
        <w:rPr>
          <w:rFonts w:hint="eastAsia" w:ascii="宋体" w:hAnsi="宋体" w:cs="宋体"/>
          <w:color w:val="0000FF"/>
          <w:sz w:val="24"/>
          <w:lang w:val="en-US" w:eastAsia="zh-CN"/>
        </w:rPr>
        <w:t>20.21</w:t>
      </w:r>
      <w:r>
        <w:rPr>
          <w:rFonts w:hint="eastAsia" w:ascii="宋体" w:hAnsi="宋体" w:cs="宋体"/>
          <w:color w:val="0000FF"/>
          <w:sz w:val="24"/>
        </w:rPr>
        <w:t>万元为地方配套。</w:t>
      </w:r>
    </w:p>
    <w:p>
      <w:pPr>
        <w:pStyle w:val="2"/>
        <w:ind w:firstLine="562" w:firstLineChars="200"/>
        <w:rPr>
          <w:rFonts w:hint="eastAsia" w:ascii="黑体" w:hAnsi="Times New Roman" w:eastAsia="黑体"/>
          <w:bCs w:val="0"/>
          <w:snapToGrid w:val="0"/>
          <w:kern w:val="0"/>
          <w:sz w:val="28"/>
          <w:szCs w:val="24"/>
        </w:rPr>
      </w:pPr>
      <w:r>
        <w:rPr>
          <w:rFonts w:hint="eastAsia" w:ascii="黑体" w:hAnsi="Times New Roman" w:eastAsia="黑体"/>
          <w:bCs w:val="0"/>
          <w:snapToGrid w:val="0"/>
          <w:kern w:val="0"/>
          <w:sz w:val="28"/>
          <w:szCs w:val="24"/>
          <w:lang w:val="en-US" w:eastAsia="zh-CN"/>
        </w:rPr>
        <w:t>5</w:t>
      </w:r>
      <w:r>
        <w:rPr>
          <w:rFonts w:hint="eastAsia" w:ascii="黑体" w:hAnsi="Times New Roman" w:eastAsia="黑体"/>
          <w:bCs w:val="0"/>
          <w:snapToGrid w:val="0"/>
          <w:kern w:val="0"/>
          <w:sz w:val="28"/>
          <w:szCs w:val="24"/>
        </w:rPr>
        <w:t>.3编制原则及依据</w:t>
      </w:r>
      <w:bookmarkEnd w:id="198"/>
      <w:bookmarkEnd w:id="199"/>
    </w:p>
    <w:p>
      <w:pPr>
        <w:pStyle w:val="2"/>
        <w:ind w:firstLine="482" w:firstLineChars="200"/>
        <w:rPr>
          <w:rFonts w:hint="eastAsia" w:ascii="宋体" w:hAnsi="Times New Roman"/>
          <w:snapToGrid w:val="0"/>
          <w:kern w:val="0"/>
          <w:sz w:val="24"/>
          <w:szCs w:val="24"/>
        </w:rPr>
      </w:pPr>
      <w:bookmarkStart w:id="200" w:name="_Toc6605_WPSOffice_Level2"/>
      <w:bookmarkStart w:id="201" w:name="_Toc717_WPSOffice_Level2"/>
      <w:r>
        <w:rPr>
          <w:rFonts w:hint="eastAsia" w:ascii="宋体" w:hAnsi="Times New Roman"/>
          <w:snapToGrid w:val="0"/>
          <w:kern w:val="0"/>
          <w:sz w:val="24"/>
          <w:szCs w:val="24"/>
          <w:lang w:val="en-US" w:eastAsia="zh-CN"/>
        </w:rPr>
        <w:t>5</w:t>
      </w:r>
      <w:r>
        <w:rPr>
          <w:rFonts w:hint="eastAsia" w:ascii="宋体" w:hAnsi="Times New Roman"/>
          <w:snapToGrid w:val="0"/>
          <w:kern w:val="0"/>
          <w:sz w:val="24"/>
          <w:szCs w:val="24"/>
        </w:rPr>
        <w:t>.3.1编制原则</w:t>
      </w:r>
      <w:bookmarkEnd w:id="200"/>
      <w:bookmarkEnd w:id="201"/>
    </w:p>
    <w:p>
      <w:pPr>
        <w:spacing w:line="480" w:lineRule="auto"/>
        <w:ind w:firstLine="480" w:firstLineChars="200"/>
        <w:rPr>
          <w:rFonts w:hint="eastAsia" w:ascii="宋体" w:hAnsi="宋体" w:cs="宋体"/>
          <w:sz w:val="24"/>
        </w:rPr>
      </w:pPr>
      <w:r>
        <w:rPr>
          <w:rFonts w:hint="eastAsia" w:ascii="宋体" w:hAnsi="宋体" w:cs="宋体"/>
          <w:sz w:val="24"/>
        </w:rPr>
        <w:t>执行水利部水总[2014]429号，关于颁布《水利工程设计概(估)算编制规定》、办水总[2016]132号《水利工程营业税改征增值税计价依据调整办法》、水总【2005]389号《新疆水利水电工程补充预算定额》的通知。</w:t>
      </w:r>
    </w:p>
    <w:p>
      <w:pPr>
        <w:pStyle w:val="2"/>
        <w:ind w:firstLine="482" w:firstLineChars="200"/>
        <w:rPr>
          <w:rFonts w:hint="eastAsia" w:ascii="宋体" w:hAnsi="Times New Roman"/>
          <w:snapToGrid w:val="0"/>
          <w:kern w:val="0"/>
          <w:sz w:val="24"/>
          <w:szCs w:val="24"/>
        </w:rPr>
      </w:pPr>
      <w:bookmarkStart w:id="202" w:name="_Toc28561_WPSOffice_Level2"/>
      <w:bookmarkStart w:id="203" w:name="_Toc14569_WPSOffice_Level2"/>
      <w:r>
        <w:rPr>
          <w:rFonts w:hint="eastAsia" w:ascii="宋体" w:hAnsi="Times New Roman"/>
          <w:snapToGrid w:val="0"/>
          <w:kern w:val="0"/>
          <w:sz w:val="24"/>
          <w:szCs w:val="24"/>
          <w:lang w:val="en-US" w:eastAsia="zh-CN"/>
        </w:rPr>
        <w:t>5</w:t>
      </w:r>
      <w:r>
        <w:rPr>
          <w:rFonts w:hint="eastAsia" w:ascii="宋体" w:hAnsi="Times New Roman"/>
          <w:snapToGrid w:val="0"/>
          <w:kern w:val="0"/>
          <w:sz w:val="24"/>
          <w:szCs w:val="24"/>
        </w:rPr>
        <w:t>.3.2编制依据</w:t>
      </w:r>
      <w:bookmarkEnd w:id="202"/>
      <w:bookmarkEnd w:id="203"/>
    </w:p>
    <w:p>
      <w:pPr>
        <w:spacing w:line="480" w:lineRule="auto"/>
        <w:ind w:firstLine="480" w:firstLineChars="200"/>
        <w:rPr>
          <w:rFonts w:hint="eastAsia" w:ascii="宋体" w:hAnsi="宋体" w:cs="宋体"/>
          <w:sz w:val="24"/>
        </w:rPr>
      </w:pPr>
      <w:r>
        <w:rPr>
          <w:rFonts w:hint="eastAsia" w:ascii="宋体" w:hAnsi="宋体" w:cs="宋体"/>
          <w:sz w:val="24"/>
        </w:rPr>
        <w:t>(1)依据水利部水总[2002]116号关于发布《水利建筑工程预算定额》、《水利建筑工程概算定额》、《水利工程施工机械台时费定额》及水总[2014]429号《水利工程设计概(估)算编制规定》的通知;</w:t>
      </w:r>
    </w:p>
    <w:p>
      <w:pPr>
        <w:spacing w:line="480" w:lineRule="auto"/>
        <w:ind w:firstLine="480" w:firstLineChars="200"/>
        <w:rPr>
          <w:rFonts w:hint="eastAsia" w:ascii="宋体" w:hAnsi="宋体" w:cs="宋体"/>
          <w:sz w:val="24"/>
        </w:rPr>
      </w:pPr>
      <w:r>
        <w:rPr>
          <w:rFonts w:hint="eastAsia" w:ascii="宋体" w:hAnsi="宋体" w:cs="宋体"/>
          <w:sz w:val="24"/>
        </w:rPr>
        <w:t>(2)依据水利部水总[2014]429号，关于颁布《水利工程设计概(估)算编制规定》、《新疆水利水电工程补充预算定额》的通知及办财务函[2019]448号《水利部办公厅关于调整水利工程计价依据增值税计算标准的通知》、《水利工程营业税改征增值税计价依据调整办法》(办水总[2016]132号);新水厅[2021]153号《新疆水利水电工程设计概(估)算编制规定》修编工作调研汇报材料</w:t>
      </w:r>
    </w:p>
    <w:p>
      <w:pPr>
        <w:spacing w:line="480" w:lineRule="auto"/>
        <w:ind w:firstLine="480" w:firstLineChars="200"/>
        <w:rPr>
          <w:rFonts w:hint="eastAsia" w:ascii="宋体" w:hAnsi="宋体" w:cs="宋体"/>
          <w:sz w:val="24"/>
        </w:rPr>
      </w:pPr>
      <w:r>
        <w:rPr>
          <w:rFonts w:hint="eastAsia" w:ascii="宋体" w:hAnsi="宋体" w:cs="宋体"/>
          <w:sz w:val="24"/>
        </w:rPr>
        <w:t>(3)投资概算编制的有关文件和标准。(4)采用定额。具体如下:</w:t>
      </w:r>
    </w:p>
    <w:p>
      <w:pPr>
        <w:spacing w:line="480" w:lineRule="auto"/>
        <w:ind w:firstLine="480" w:firstLineChars="200"/>
        <w:rPr>
          <w:rFonts w:hint="eastAsia" w:ascii="宋体" w:hAnsi="宋体" w:cs="宋体"/>
          <w:sz w:val="24"/>
        </w:rPr>
      </w:pPr>
      <w:r>
        <w:rPr>
          <w:rFonts w:hint="eastAsia" w:ascii="宋体" w:hAnsi="宋体" w:cs="宋体"/>
          <w:sz w:val="24"/>
        </w:rPr>
        <w:t>1)建筑工程:采用水利部水总[2002]水规116号文《水利建筑工程预算定额》、《水利建筑工程概算定额》、《水利工程施工机械台时费定额》;</w:t>
      </w:r>
    </w:p>
    <w:p>
      <w:pPr>
        <w:spacing w:line="480" w:lineRule="auto"/>
        <w:ind w:firstLine="480" w:firstLineChars="200"/>
        <w:rPr>
          <w:rFonts w:hint="eastAsia" w:ascii="宋体" w:hAnsi="宋体" w:cs="宋体"/>
          <w:sz w:val="24"/>
        </w:rPr>
      </w:pPr>
      <w:r>
        <w:rPr>
          <w:rFonts w:hint="eastAsia" w:ascii="宋体" w:hAnsi="宋体" w:cs="宋体"/>
          <w:sz w:val="24"/>
        </w:rPr>
        <w:t>2)台时费定额:采用水利部水总[2002]水规116号文《水利工程施工机械台时费定额》。</w:t>
      </w:r>
    </w:p>
    <w:p>
      <w:pPr>
        <w:spacing w:line="480" w:lineRule="auto"/>
        <w:ind w:firstLine="480" w:firstLineChars="200"/>
        <w:rPr>
          <w:rFonts w:hint="eastAsia" w:ascii="宋体" w:hAnsi="宋体" w:cs="宋体"/>
          <w:sz w:val="24"/>
        </w:rPr>
      </w:pPr>
      <w:bookmarkStart w:id="204" w:name="_Toc6458_WPSOffice_Level3"/>
      <w:bookmarkStart w:id="205" w:name="_Toc31161_WPSOffice_Level3"/>
      <w:r>
        <w:rPr>
          <w:rFonts w:hint="eastAsia" w:ascii="宋体" w:hAnsi="宋体" w:cs="宋体"/>
          <w:sz w:val="24"/>
        </w:rPr>
        <w:t>(5)费用标准。</w:t>
      </w:r>
      <w:bookmarkEnd w:id="204"/>
      <w:bookmarkEnd w:id="205"/>
    </w:p>
    <w:p>
      <w:pPr>
        <w:spacing w:line="480" w:lineRule="auto"/>
        <w:ind w:firstLine="480" w:firstLineChars="200"/>
        <w:rPr>
          <w:rFonts w:hint="eastAsia" w:ascii="宋体" w:hAnsi="宋体" w:cs="宋体"/>
          <w:sz w:val="24"/>
        </w:rPr>
      </w:pPr>
      <w:r>
        <w:rPr>
          <w:rFonts w:hint="eastAsia" w:ascii="宋体" w:hAnsi="宋体" w:cs="宋体"/>
          <w:sz w:val="24"/>
        </w:rPr>
        <w:t>采用水利部水总[2014]429号，关于颁布《水利工程设计概(估)算编制规定》、《水利工程营业税改征增值税计价依据调整办法》(办水总[2016]132号)及《新疆水利水电工程补充预算定额》的通知、[2021]153号《新疆水利水电工程设计概(估)算编制规定》修编工作调研汇报材料。</w:t>
      </w:r>
    </w:p>
    <w:p>
      <w:pPr>
        <w:pStyle w:val="2"/>
        <w:ind w:firstLine="562" w:firstLineChars="200"/>
        <w:rPr>
          <w:rFonts w:hint="eastAsia" w:ascii="黑体" w:hAnsi="Times New Roman" w:eastAsia="黑体"/>
          <w:bCs w:val="0"/>
          <w:snapToGrid w:val="0"/>
          <w:kern w:val="0"/>
          <w:sz w:val="28"/>
          <w:szCs w:val="24"/>
        </w:rPr>
      </w:pPr>
      <w:bookmarkStart w:id="206" w:name="_Toc20180_WPSOffice_Level1"/>
      <w:bookmarkStart w:id="207" w:name="_Toc18958_WPSOffice_Level1"/>
      <w:r>
        <w:rPr>
          <w:rFonts w:hint="eastAsia" w:ascii="黑体" w:hAnsi="Times New Roman" w:eastAsia="黑体"/>
          <w:bCs w:val="0"/>
          <w:snapToGrid w:val="0"/>
          <w:kern w:val="0"/>
          <w:sz w:val="28"/>
          <w:szCs w:val="24"/>
          <w:lang w:val="en-US" w:eastAsia="zh-CN"/>
        </w:rPr>
        <w:t>5</w:t>
      </w:r>
      <w:r>
        <w:rPr>
          <w:rFonts w:hint="eastAsia" w:ascii="黑体" w:hAnsi="Times New Roman" w:eastAsia="黑体"/>
          <w:bCs w:val="0"/>
          <w:snapToGrid w:val="0"/>
          <w:kern w:val="0"/>
          <w:sz w:val="28"/>
          <w:szCs w:val="24"/>
        </w:rPr>
        <w:t>.4费用标准</w:t>
      </w:r>
      <w:bookmarkEnd w:id="206"/>
      <w:bookmarkEnd w:id="207"/>
    </w:p>
    <w:p>
      <w:pPr>
        <w:spacing w:line="480" w:lineRule="auto"/>
        <w:ind w:firstLine="480" w:firstLineChars="200"/>
        <w:rPr>
          <w:rFonts w:hint="eastAsia" w:ascii="宋体" w:hAnsi="宋体" w:cs="宋体"/>
          <w:sz w:val="24"/>
        </w:rPr>
      </w:pPr>
      <w:r>
        <w:rPr>
          <w:rFonts w:hint="eastAsia" w:ascii="宋体" w:hAnsi="宋体" w:cs="宋体"/>
          <w:sz w:val="24"/>
        </w:rPr>
        <w:t>(1)人工预算单价的确定:根据水利部水总[2014]429号文关于对《水利工程设计概(估)算编制规定》计算。</w:t>
      </w:r>
    </w:p>
    <w:p>
      <w:pPr>
        <w:spacing w:line="480" w:lineRule="auto"/>
        <w:ind w:firstLine="480" w:firstLineChars="200"/>
        <w:rPr>
          <w:rFonts w:hint="eastAsia" w:ascii="宋体" w:hAnsi="宋体" w:cs="宋体"/>
          <w:sz w:val="24"/>
        </w:rPr>
      </w:pPr>
      <w:r>
        <w:rPr>
          <w:rFonts w:hint="eastAsia" w:ascii="宋体" w:hAnsi="宋体" w:cs="宋体"/>
          <w:sz w:val="24"/>
        </w:rPr>
        <w:t>阿勒泰地区富蕴县属于四类工资区，所以按灌溉(2)工程的标准计算人工预算单价。工长8.86元/工时;高级工8.25元/工时;中级工7.01元/工时;初级工5.10元/工时。</w:t>
      </w:r>
    </w:p>
    <w:p>
      <w:pPr>
        <w:spacing w:line="480" w:lineRule="auto"/>
        <w:ind w:firstLine="480" w:firstLineChars="200"/>
        <w:rPr>
          <w:rFonts w:hint="eastAsia" w:ascii="宋体" w:hAnsi="宋体" w:cs="宋体"/>
          <w:sz w:val="24"/>
        </w:rPr>
      </w:pPr>
      <w:r>
        <w:rPr>
          <w:rFonts w:hint="eastAsia" w:ascii="宋体" w:hAnsi="宋体" w:cs="宋体"/>
          <w:sz w:val="24"/>
        </w:rPr>
        <w:t>(2)主要材料预算价格:由原价、运杂费、运输保险费、采购及保管费组成;生活及大部分生产物资由当地供应解决，少部分地方无力供应的物资考虑外运。材料运杂费率执行[2021]1号文《新疆维吾尔自治区公路工程建设项目估概预算编制办法补充规定》</w:t>
      </w:r>
    </w:p>
    <w:p>
      <w:pPr>
        <w:spacing w:line="480" w:lineRule="auto"/>
        <w:ind w:firstLine="480" w:firstLineChars="200"/>
        <w:rPr>
          <w:rFonts w:hint="eastAsia" w:ascii="宋体" w:hAnsi="宋体" w:cs="宋体"/>
          <w:sz w:val="24"/>
        </w:rPr>
      </w:pPr>
      <w:r>
        <w:rPr>
          <w:rFonts w:hint="eastAsia" w:ascii="宋体" w:hAnsi="宋体" w:cs="宋体"/>
          <w:sz w:val="24"/>
        </w:rPr>
        <w:t>本工程材料价格按照</w:t>
      </w:r>
      <w:r>
        <w:rPr>
          <w:rFonts w:hint="eastAsia" w:ascii="宋体" w:hAnsi="宋体" w:cs="宋体"/>
          <w:sz w:val="24"/>
          <w:lang w:val="en-US" w:eastAsia="zh-CN"/>
        </w:rPr>
        <w:t>富蕴县</w:t>
      </w:r>
      <w:r>
        <w:rPr>
          <w:rFonts w:hint="eastAsia" w:ascii="宋体" w:hAnsi="宋体" w:cs="宋体"/>
          <w:sz w:val="24"/>
        </w:rPr>
        <w:t>2023年11月份建设工程综合价格信息。</w:t>
      </w:r>
    </w:p>
    <w:p>
      <w:pPr>
        <w:spacing w:line="480" w:lineRule="auto"/>
        <w:ind w:firstLine="480" w:firstLineChars="200"/>
        <w:rPr>
          <w:rFonts w:hint="eastAsia" w:ascii="宋体" w:hAnsi="宋体" w:cs="宋体"/>
          <w:sz w:val="24"/>
        </w:rPr>
      </w:pPr>
      <w:r>
        <w:rPr>
          <w:rFonts w:hint="eastAsia" w:ascii="宋体" w:hAnsi="宋体" w:cs="宋体"/>
          <w:sz w:val="24"/>
        </w:rPr>
        <w:t>根据《水利工程营业税改征增值税计价依据调整办法》(办水总[2016]132号)中:</w:t>
      </w:r>
    </w:p>
    <w:p>
      <w:pPr>
        <w:spacing w:line="480" w:lineRule="auto"/>
        <w:ind w:firstLine="480" w:firstLineChars="200"/>
        <w:rPr>
          <w:rFonts w:hint="eastAsia" w:ascii="宋体" w:hAnsi="宋体" w:cs="宋体"/>
          <w:sz w:val="24"/>
        </w:rPr>
      </w:pPr>
      <w:r>
        <w:rPr>
          <w:rFonts w:hint="eastAsia" w:ascii="宋体" w:hAnsi="宋体" w:cs="宋体"/>
          <w:sz w:val="24"/>
        </w:rPr>
        <w:t>1.主要材料基价按表1调整。</w:t>
      </w:r>
    </w:p>
    <w:tbl>
      <w:tblPr>
        <w:tblStyle w:val="8"/>
        <w:tblW w:w="8106" w:type="dxa"/>
        <w:jc w:val="center"/>
        <w:tblInd w:w="0" w:type="dxa"/>
        <w:tblLayout w:type="fixed"/>
        <w:tblCellMar>
          <w:top w:w="0" w:type="dxa"/>
          <w:left w:w="0" w:type="dxa"/>
          <w:bottom w:w="0" w:type="dxa"/>
          <w:right w:w="0" w:type="dxa"/>
        </w:tblCellMar>
      </w:tblPr>
      <w:tblGrid>
        <w:gridCol w:w="2854"/>
        <w:gridCol w:w="1654"/>
        <w:gridCol w:w="1419"/>
        <w:gridCol w:w="2179"/>
      </w:tblGrid>
      <w:tr>
        <w:tblPrEx>
          <w:tblLayout w:type="fixed"/>
          <w:tblCellMar>
            <w:top w:w="0" w:type="dxa"/>
            <w:left w:w="0" w:type="dxa"/>
            <w:bottom w:w="0" w:type="dxa"/>
            <w:right w:w="0" w:type="dxa"/>
          </w:tblCellMar>
        </w:tblPrEx>
        <w:trPr>
          <w:trHeight w:val="270" w:hRule="atLeast"/>
          <w:jc w:val="center"/>
        </w:trPr>
        <w:tc>
          <w:tcPr>
            <w:tcW w:w="8106" w:type="dxa"/>
            <w:gridSpan w:val="4"/>
            <w:tcBorders>
              <w:top w:val="nil"/>
              <w:left w:val="nil"/>
              <w:bottom w:val="nil"/>
              <w:right w:val="nil"/>
            </w:tcBorders>
            <w:noWrap/>
            <w:tcMar>
              <w:top w:w="15" w:type="dxa"/>
              <w:left w:w="15" w:type="dxa"/>
              <w:right w:w="15" w:type="dxa"/>
            </w:tcMar>
            <w:vAlign w:val="center"/>
          </w:tcPr>
          <w:p>
            <w:pPr>
              <w:widowControl/>
              <w:jc w:val="left"/>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表1                         主要材料基价表</w:t>
            </w:r>
          </w:p>
        </w:tc>
      </w:tr>
      <w:tr>
        <w:tblPrEx>
          <w:tblLayout w:type="fixed"/>
          <w:tblCellMar>
            <w:top w:w="0" w:type="dxa"/>
            <w:left w:w="0" w:type="dxa"/>
            <w:bottom w:w="0" w:type="dxa"/>
            <w:right w:w="0" w:type="dxa"/>
          </w:tblCellMar>
        </w:tblPrEx>
        <w:trPr>
          <w:trHeight w:val="347" w:hRule="atLeast"/>
          <w:jc w:val="center"/>
        </w:trPr>
        <w:tc>
          <w:tcPr>
            <w:tcW w:w="28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6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材料名称</w:t>
            </w:r>
          </w:p>
        </w:tc>
        <w:tc>
          <w:tcPr>
            <w:tcW w:w="14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单位</w:t>
            </w:r>
          </w:p>
        </w:tc>
        <w:tc>
          <w:tcPr>
            <w:tcW w:w="2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基价（元）</w:t>
            </w:r>
          </w:p>
        </w:tc>
      </w:tr>
      <w:tr>
        <w:tblPrEx>
          <w:tblLayout w:type="fixed"/>
          <w:tblCellMar>
            <w:top w:w="0" w:type="dxa"/>
            <w:left w:w="0" w:type="dxa"/>
            <w:bottom w:w="0" w:type="dxa"/>
            <w:right w:w="0" w:type="dxa"/>
          </w:tblCellMar>
        </w:tblPrEx>
        <w:trPr>
          <w:trHeight w:val="270" w:hRule="atLeast"/>
          <w:jc w:val="center"/>
        </w:trPr>
        <w:tc>
          <w:tcPr>
            <w:tcW w:w="28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w:t>
            </w:r>
          </w:p>
        </w:tc>
        <w:tc>
          <w:tcPr>
            <w:tcW w:w="16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柴油</w:t>
            </w:r>
          </w:p>
        </w:tc>
        <w:tc>
          <w:tcPr>
            <w:tcW w:w="14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t</w:t>
            </w:r>
          </w:p>
        </w:tc>
        <w:tc>
          <w:tcPr>
            <w:tcW w:w="2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2990</w:t>
            </w:r>
          </w:p>
        </w:tc>
      </w:tr>
      <w:tr>
        <w:tblPrEx>
          <w:tblLayout w:type="fixed"/>
          <w:tblCellMar>
            <w:top w:w="0" w:type="dxa"/>
            <w:left w:w="0" w:type="dxa"/>
            <w:bottom w:w="0" w:type="dxa"/>
            <w:right w:w="0" w:type="dxa"/>
          </w:tblCellMar>
        </w:tblPrEx>
        <w:trPr>
          <w:trHeight w:val="270" w:hRule="atLeast"/>
          <w:jc w:val="center"/>
        </w:trPr>
        <w:tc>
          <w:tcPr>
            <w:tcW w:w="28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w:t>
            </w:r>
          </w:p>
        </w:tc>
        <w:tc>
          <w:tcPr>
            <w:tcW w:w="16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汽油</w:t>
            </w:r>
          </w:p>
        </w:tc>
        <w:tc>
          <w:tcPr>
            <w:tcW w:w="14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t</w:t>
            </w:r>
          </w:p>
        </w:tc>
        <w:tc>
          <w:tcPr>
            <w:tcW w:w="2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3075</w:t>
            </w:r>
          </w:p>
        </w:tc>
      </w:tr>
      <w:tr>
        <w:tblPrEx>
          <w:tblLayout w:type="fixed"/>
          <w:tblCellMar>
            <w:top w:w="0" w:type="dxa"/>
            <w:left w:w="0" w:type="dxa"/>
            <w:bottom w:w="0" w:type="dxa"/>
            <w:right w:w="0" w:type="dxa"/>
          </w:tblCellMar>
        </w:tblPrEx>
        <w:trPr>
          <w:trHeight w:val="270" w:hRule="atLeast"/>
          <w:jc w:val="center"/>
        </w:trPr>
        <w:tc>
          <w:tcPr>
            <w:tcW w:w="28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w:t>
            </w:r>
          </w:p>
        </w:tc>
        <w:tc>
          <w:tcPr>
            <w:tcW w:w="16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钢筋</w:t>
            </w:r>
          </w:p>
        </w:tc>
        <w:tc>
          <w:tcPr>
            <w:tcW w:w="14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t</w:t>
            </w:r>
          </w:p>
        </w:tc>
        <w:tc>
          <w:tcPr>
            <w:tcW w:w="2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2560</w:t>
            </w:r>
          </w:p>
        </w:tc>
      </w:tr>
      <w:tr>
        <w:tblPrEx>
          <w:tblLayout w:type="fixed"/>
          <w:tblCellMar>
            <w:top w:w="0" w:type="dxa"/>
            <w:left w:w="0" w:type="dxa"/>
            <w:bottom w:w="0" w:type="dxa"/>
            <w:right w:w="0" w:type="dxa"/>
          </w:tblCellMar>
        </w:tblPrEx>
        <w:trPr>
          <w:trHeight w:val="270" w:hRule="atLeast"/>
          <w:jc w:val="center"/>
        </w:trPr>
        <w:tc>
          <w:tcPr>
            <w:tcW w:w="28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c>
          <w:tcPr>
            <w:tcW w:w="16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商品砼C30</w:t>
            </w:r>
          </w:p>
        </w:tc>
        <w:tc>
          <w:tcPr>
            <w:tcW w:w="14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m³</w:t>
            </w:r>
          </w:p>
        </w:tc>
        <w:tc>
          <w:tcPr>
            <w:tcW w:w="2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200</w:t>
            </w:r>
          </w:p>
        </w:tc>
      </w:tr>
    </w:tbl>
    <w:p>
      <w:pPr>
        <w:pStyle w:val="2"/>
        <w:rPr>
          <w:rFonts w:hint="eastAsia"/>
        </w:rPr>
      </w:pPr>
      <w:r>
        <w:rPr>
          <w:rFonts w:hint="eastAsia"/>
        </w:rPr>
        <w:tab/>
      </w:r>
      <w:r>
        <w:rPr>
          <w:rFonts w:hint="eastAsia" w:ascii="宋体" w:hAnsi="宋体" w:cs="宋体"/>
          <w:b w:val="0"/>
          <w:bCs w:val="0"/>
          <w:sz w:val="24"/>
          <w:szCs w:val="24"/>
        </w:rPr>
        <w:t>2.间接费按表2标准调整。</w:t>
      </w:r>
    </w:p>
    <w:tbl>
      <w:tblPr>
        <w:tblStyle w:val="8"/>
        <w:tblW w:w="8144" w:type="dxa"/>
        <w:jc w:val="center"/>
        <w:tblInd w:w="0" w:type="dxa"/>
        <w:tblLayout w:type="fixed"/>
        <w:tblCellMar>
          <w:top w:w="0" w:type="dxa"/>
          <w:left w:w="0" w:type="dxa"/>
          <w:bottom w:w="0" w:type="dxa"/>
          <w:right w:w="0" w:type="dxa"/>
        </w:tblCellMar>
      </w:tblPr>
      <w:tblGrid>
        <w:gridCol w:w="611"/>
        <w:gridCol w:w="3167"/>
        <w:gridCol w:w="896"/>
        <w:gridCol w:w="611"/>
        <w:gridCol w:w="1325"/>
        <w:gridCol w:w="1534"/>
      </w:tblGrid>
      <w:tr>
        <w:tblPrEx>
          <w:tblLayout w:type="fixed"/>
          <w:tblCellMar>
            <w:top w:w="0" w:type="dxa"/>
            <w:left w:w="0" w:type="dxa"/>
            <w:bottom w:w="0" w:type="dxa"/>
            <w:right w:w="0" w:type="dxa"/>
          </w:tblCellMar>
        </w:tblPrEx>
        <w:trPr>
          <w:trHeight w:val="205" w:hRule="atLeast"/>
          <w:jc w:val="center"/>
        </w:trPr>
        <w:tc>
          <w:tcPr>
            <w:tcW w:w="8144" w:type="dxa"/>
            <w:gridSpan w:val="6"/>
            <w:tcBorders>
              <w:top w:val="nil"/>
              <w:left w:val="nil"/>
              <w:bottom w:val="nil"/>
              <w:right w:val="nil"/>
            </w:tcBorders>
            <w:noWrap/>
            <w:tcMar>
              <w:top w:w="15" w:type="dxa"/>
              <w:left w:w="15" w:type="dxa"/>
              <w:right w:w="15" w:type="dxa"/>
            </w:tcMar>
            <w:vAlign w:val="center"/>
          </w:tcPr>
          <w:p>
            <w:pPr>
              <w:widowControl/>
              <w:textAlignment w:val="center"/>
              <w:rPr>
                <w:rFonts w:hint="eastAsia" w:ascii="宋体" w:hAnsi="宋体" w:cs="宋体"/>
                <w:color w:val="000000"/>
                <w:sz w:val="22"/>
                <w:szCs w:val="22"/>
              </w:rPr>
            </w:pPr>
            <w:r>
              <w:rPr>
                <w:rFonts w:hint="eastAsia" w:ascii="宋体" w:hAnsi="宋体" w:cs="宋体"/>
                <w:b/>
                <w:bCs/>
                <w:color w:val="000000"/>
                <w:kern w:val="0"/>
                <w:szCs w:val="21"/>
                <w:lang w:bidi="ar"/>
              </w:rPr>
              <w:t>表2                              间接费费率表</w:t>
            </w:r>
          </w:p>
        </w:tc>
      </w:tr>
      <w:tr>
        <w:tblPrEx>
          <w:tblLayout w:type="fixed"/>
          <w:tblCellMar>
            <w:top w:w="0" w:type="dxa"/>
            <w:left w:w="0" w:type="dxa"/>
            <w:bottom w:w="0" w:type="dxa"/>
            <w:right w:w="0" w:type="dxa"/>
          </w:tblCellMar>
        </w:tblPrEx>
        <w:trPr>
          <w:trHeight w:val="270" w:hRule="atLeast"/>
          <w:jc w:val="center"/>
        </w:trPr>
        <w:tc>
          <w:tcPr>
            <w:tcW w:w="61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316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材料名称</w:t>
            </w:r>
          </w:p>
        </w:tc>
        <w:tc>
          <w:tcPr>
            <w:tcW w:w="89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单位</w:t>
            </w:r>
          </w:p>
        </w:tc>
        <w:tc>
          <w:tcPr>
            <w:tcW w:w="347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间接费费率（％）</w:t>
            </w:r>
          </w:p>
        </w:tc>
      </w:tr>
      <w:tr>
        <w:tblPrEx>
          <w:tblLayout w:type="fixed"/>
          <w:tblCellMar>
            <w:top w:w="0" w:type="dxa"/>
            <w:left w:w="0" w:type="dxa"/>
            <w:bottom w:w="0" w:type="dxa"/>
            <w:right w:w="0" w:type="dxa"/>
          </w:tblCellMar>
        </w:tblPrEx>
        <w:trPr>
          <w:trHeight w:val="270" w:hRule="atLeast"/>
          <w:jc w:val="center"/>
        </w:trPr>
        <w:tc>
          <w:tcPr>
            <w:tcW w:w="61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89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一</w:t>
            </w: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建筑工程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土方工程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5~6</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石方工程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12.5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10.5~11.5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8.5~9.5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砂石备料工程(自采)</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模板工程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7~8.5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6~7</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混凝土浇筑工程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8.5~9.5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7~8.5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钢筋制安工程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钻孔灌浆工程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9.5~10.5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9.25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锚固工程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9.5~10.5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9.25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疏浚工程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7.25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7.25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6.25~7.25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掘进机施工隧洞工程(1)</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掘进机施工隧洞工程(2)</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6.25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6.25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6.25</w:t>
            </w:r>
          </w:p>
        </w:tc>
      </w:tr>
      <w:tr>
        <w:tblPrEx>
          <w:tblLayout w:type="fixed"/>
          <w:tblCellMar>
            <w:top w:w="0" w:type="dxa"/>
            <w:left w:w="0" w:type="dxa"/>
            <w:bottom w:w="0" w:type="dxa"/>
            <w:right w:w="0" w:type="dxa"/>
          </w:tblCellMar>
        </w:tblPrEx>
        <w:trPr>
          <w:trHeight w:val="27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sz w:val="22"/>
                <w:szCs w:val="22"/>
              </w:rPr>
            </w:pPr>
          </w:p>
        </w:tc>
        <w:tc>
          <w:tcPr>
            <w:tcW w:w="31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其他工程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直接费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10.5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8.5~9.5</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7.25</w:t>
            </w:r>
          </w:p>
        </w:tc>
      </w:tr>
      <w:tr>
        <w:tblPrEx>
          <w:tblLayout w:type="fixed"/>
          <w:tblCellMar>
            <w:top w:w="0" w:type="dxa"/>
            <w:left w:w="0" w:type="dxa"/>
            <w:bottom w:w="0" w:type="dxa"/>
            <w:right w:w="0" w:type="dxa"/>
          </w:tblCellMar>
        </w:tblPrEx>
        <w:trPr>
          <w:trHeight w:val="540" w:hRule="atLeast"/>
          <w:jc w:val="center"/>
        </w:trPr>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二</w:t>
            </w:r>
          </w:p>
        </w:tc>
        <w:tc>
          <w:tcPr>
            <w:tcW w:w="31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机电、金属结构设备安装工程</w:t>
            </w:r>
          </w:p>
        </w:tc>
        <w:tc>
          <w:tcPr>
            <w:tcW w:w="89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人工费</w:t>
            </w:r>
          </w:p>
        </w:tc>
        <w:tc>
          <w:tcPr>
            <w:tcW w:w="6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75</w:t>
            </w:r>
          </w:p>
        </w:tc>
        <w:tc>
          <w:tcPr>
            <w:tcW w:w="13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70</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70</w:t>
            </w:r>
          </w:p>
        </w:tc>
      </w:tr>
    </w:tbl>
    <w:p>
      <w:pPr>
        <w:spacing w:line="480" w:lineRule="auto"/>
        <w:ind w:firstLine="480" w:firstLineChars="200"/>
        <w:rPr>
          <w:rFonts w:hint="eastAsia" w:ascii="宋体" w:hAnsi="宋体" w:cs="宋体"/>
          <w:sz w:val="24"/>
        </w:rPr>
      </w:pPr>
      <w:r>
        <w:rPr>
          <w:rFonts w:hint="eastAsia" w:ascii="宋体" w:hAnsi="宋体" w:cs="宋体"/>
          <w:sz w:val="24"/>
        </w:rPr>
        <w:t>3.材料原价</w:t>
      </w:r>
    </w:p>
    <w:p>
      <w:pPr>
        <w:spacing w:line="480" w:lineRule="auto"/>
        <w:ind w:firstLine="480" w:firstLineChars="200"/>
        <w:rPr>
          <w:rFonts w:hint="eastAsia" w:ascii="宋体" w:hAnsi="宋体" w:cs="宋体"/>
          <w:sz w:val="24"/>
        </w:rPr>
      </w:pPr>
      <w:r>
        <w:rPr>
          <w:rFonts w:hint="eastAsia" w:ascii="宋体" w:hAnsi="宋体" w:cs="宋体"/>
          <w:sz w:val="24"/>
        </w:rPr>
        <w:t>(1)主要材料除以1.17调整系数，主要材料指水泥、钢筋、柴油、汽油、炸药、木材、引水管道、安装工程的电缆、轨道、钢板等未计价材料、其他占工程投资比例高的材料。</w:t>
      </w:r>
    </w:p>
    <w:p>
      <w:pPr>
        <w:spacing w:line="480" w:lineRule="auto"/>
        <w:ind w:firstLine="480" w:firstLineChars="200"/>
        <w:rPr>
          <w:rFonts w:hint="eastAsia" w:ascii="宋体" w:hAnsi="宋体" w:cs="宋体"/>
          <w:sz w:val="24"/>
        </w:rPr>
      </w:pPr>
      <w:r>
        <w:rPr>
          <w:rFonts w:hint="eastAsia" w:ascii="宋体" w:hAnsi="宋体" w:cs="宋体"/>
          <w:sz w:val="24"/>
        </w:rPr>
        <w:t>(2)次要材料除以1.03调整系数。</w:t>
      </w:r>
    </w:p>
    <w:p>
      <w:pPr>
        <w:spacing w:line="480" w:lineRule="auto"/>
        <w:ind w:firstLine="480" w:firstLineChars="200"/>
        <w:rPr>
          <w:rFonts w:hint="eastAsia" w:ascii="宋体" w:hAnsi="宋体" w:cs="宋体"/>
          <w:sz w:val="24"/>
        </w:rPr>
      </w:pPr>
      <w:r>
        <w:rPr>
          <w:rFonts w:hint="eastAsia" w:ascii="宋体" w:hAnsi="宋体" w:cs="宋体"/>
          <w:sz w:val="24"/>
        </w:rPr>
        <w:t>(3)购买的砂、石料、土料暂按除以1.02调整系数。(4)商品混凝土除以1.03调整系数。</w:t>
      </w:r>
    </w:p>
    <w:p>
      <w:pPr>
        <w:spacing w:line="480" w:lineRule="auto"/>
        <w:ind w:firstLine="480" w:firstLineChars="200"/>
        <w:rPr>
          <w:rFonts w:hint="eastAsia" w:ascii="宋体" w:hAnsi="宋体" w:cs="宋体"/>
          <w:sz w:val="24"/>
        </w:rPr>
      </w:pPr>
      <w:r>
        <w:rPr>
          <w:rFonts w:hint="eastAsia" w:ascii="宋体" w:hAnsi="宋体" w:cs="宋体"/>
          <w:sz w:val="24"/>
        </w:rPr>
        <w:t>4.运杂费</w:t>
      </w:r>
    </w:p>
    <w:p>
      <w:pPr>
        <w:spacing w:line="480" w:lineRule="auto"/>
        <w:ind w:firstLine="480" w:firstLineChars="200"/>
        <w:rPr>
          <w:rFonts w:hint="eastAsia" w:ascii="宋体" w:hAnsi="宋体" w:cs="宋体"/>
          <w:sz w:val="24"/>
        </w:rPr>
      </w:pPr>
      <w:r>
        <w:rPr>
          <w:rFonts w:hint="eastAsia" w:ascii="宋体" w:hAnsi="宋体" w:cs="宋体"/>
          <w:sz w:val="24"/>
        </w:rPr>
        <w:t>按原金额标准计算的运杂费除以1.03调整系数，按费率计算运杂费时费率乘以1.10调整系数。采购及保管费，按现行计算标准乘以1.10调整系数。</w:t>
      </w:r>
    </w:p>
    <w:p>
      <w:pPr>
        <w:spacing w:line="480" w:lineRule="auto"/>
        <w:ind w:firstLine="480" w:firstLineChars="200"/>
        <w:rPr>
          <w:rFonts w:hint="eastAsia" w:ascii="宋体" w:hAnsi="宋体" w:cs="宋体"/>
          <w:sz w:val="24"/>
        </w:rPr>
      </w:pPr>
      <w:r>
        <w:rPr>
          <w:rFonts w:hint="eastAsia" w:ascii="宋体" w:hAnsi="宋体" w:cs="宋体"/>
          <w:sz w:val="24"/>
        </w:rPr>
        <w:t>5.施工机械台时费定额的折旧费除以1.13调整系数，修理及替换设备费除以1.09 调整系数，安装拆卸费不变。</w:t>
      </w:r>
    </w:p>
    <w:p>
      <w:pPr>
        <w:spacing w:line="480" w:lineRule="auto"/>
        <w:ind w:firstLine="480" w:firstLineChars="200"/>
        <w:rPr>
          <w:rFonts w:hint="eastAsia" w:ascii="宋体" w:hAnsi="宋体" w:eastAsia="宋体" w:cs="宋体"/>
          <w:sz w:val="21"/>
          <w:szCs w:val="21"/>
        </w:rPr>
      </w:pPr>
      <w:r>
        <w:rPr>
          <w:rFonts w:hint="eastAsia" w:ascii="宋体" w:hAnsi="宋体" w:cs="宋体"/>
          <w:sz w:val="24"/>
        </w:rPr>
        <w:t>税金指应计入建筑安装工程费用内的增值税销项税额，税率为9%。</w:t>
      </w:r>
    </w:p>
    <w:tbl>
      <w:tblPr>
        <w:tblStyle w:val="8"/>
        <w:tblW w:w="8522" w:type="dxa"/>
        <w:jc w:val="center"/>
        <w:tblInd w:w="0" w:type="dxa"/>
        <w:tblLayout w:type="fixed"/>
        <w:tblCellMar>
          <w:top w:w="0" w:type="dxa"/>
          <w:left w:w="108" w:type="dxa"/>
          <w:bottom w:w="0" w:type="dxa"/>
          <w:right w:w="108" w:type="dxa"/>
        </w:tblCellMar>
      </w:tblPr>
      <w:tblGrid>
        <w:gridCol w:w="466"/>
        <w:gridCol w:w="239"/>
        <w:gridCol w:w="2324"/>
        <w:gridCol w:w="1027"/>
        <w:gridCol w:w="685"/>
        <w:gridCol w:w="358"/>
        <w:gridCol w:w="857"/>
        <w:gridCol w:w="151"/>
        <w:gridCol w:w="676"/>
        <w:gridCol w:w="572"/>
        <w:gridCol w:w="296"/>
        <w:gridCol w:w="649"/>
        <w:gridCol w:w="222"/>
      </w:tblGrid>
      <w:tr>
        <w:tblPrEx>
          <w:tblLayout w:type="fixed"/>
          <w:tblCellMar>
            <w:top w:w="0" w:type="dxa"/>
            <w:left w:w="108" w:type="dxa"/>
            <w:bottom w:w="0" w:type="dxa"/>
            <w:right w:w="108" w:type="dxa"/>
          </w:tblCellMar>
        </w:tblPrEx>
        <w:trPr>
          <w:gridAfter w:val="1"/>
          <w:wAfter w:w="222" w:type="dxa"/>
          <w:trHeight w:val="519" w:hRule="atLeast"/>
          <w:jc w:val="center"/>
        </w:trPr>
        <w:tc>
          <w:tcPr>
            <w:tcW w:w="8300" w:type="dxa"/>
            <w:gridSpan w:val="12"/>
            <w:tcBorders>
              <w:top w:val="nil"/>
              <w:left w:val="nil"/>
              <w:bottom w:val="nil"/>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sz w:val="28"/>
                <w:szCs w:val="28"/>
              </w:rPr>
            </w:pPr>
            <w:r>
              <w:rPr>
                <w:rFonts w:hint="eastAsia" w:ascii="宋体" w:hAnsi="宋体" w:eastAsia="宋体" w:cs="宋体"/>
                <w:b/>
                <w:bCs/>
                <w:color w:val="auto"/>
                <w:kern w:val="0"/>
                <w:sz w:val="28"/>
                <w:szCs w:val="28"/>
                <w:lang w:bidi="ar"/>
              </w:rPr>
              <w:t>费  率  计  算  表</w:t>
            </w: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vMerge w:val="restart"/>
            <w:tcBorders>
              <w:top w:val="single" w:color="000000" w:sz="8"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324" w:type="dxa"/>
            <w:vMerge w:val="restart"/>
            <w:tcBorders>
              <w:top w:val="single" w:color="000000" w:sz="8"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费率名称</w:t>
            </w:r>
          </w:p>
        </w:tc>
        <w:tc>
          <w:tcPr>
            <w:tcW w:w="1712" w:type="dxa"/>
            <w:gridSpan w:val="2"/>
            <w:vMerge w:val="restart"/>
            <w:tcBorders>
              <w:top w:val="single" w:color="000000" w:sz="8"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计算基础</w:t>
            </w:r>
          </w:p>
        </w:tc>
        <w:tc>
          <w:tcPr>
            <w:tcW w:w="2614" w:type="dxa"/>
            <w:gridSpan w:val="5"/>
            <w:tcBorders>
              <w:top w:val="single" w:color="000000" w:sz="8"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费率（%）</w:t>
            </w:r>
          </w:p>
        </w:tc>
        <w:tc>
          <w:tcPr>
            <w:tcW w:w="945" w:type="dxa"/>
            <w:gridSpan w:val="2"/>
            <w:vMerge w:val="restart"/>
            <w:tcBorders>
              <w:top w:val="single" w:color="000000" w:sz="8" w:space="0"/>
              <w:left w:val="single" w:color="000000" w:sz="4" w:space="0"/>
              <w:bottom w:val="single" w:color="000000" w:sz="4" w:space="0"/>
              <w:right w:val="single" w:color="000000" w:sz="8"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备      注</w:t>
            </w: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vMerge w:val="continue"/>
            <w:tcBorders>
              <w:top w:val="single" w:color="000000" w:sz="8" w:space="0"/>
              <w:left w:val="single" w:color="000000" w:sz="8"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2324" w:type="dxa"/>
            <w:vMerge w:val="continue"/>
            <w:tcBorders>
              <w:top w:val="single" w:color="000000" w:sz="8"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1712" w:type="dxa"/>
            <w:gridSpan w:val="2"/>
            <w:vMerge w:val="continue"/>
            <w:tcBorders>
              <w:top w:val="single" w:color="000000" w:sz="8"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建筑</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安装</w:t>
            </w:r>
          </w:p>
        </w:tc>
        <w:tc>
          <w:tcPr>
            <w:tcW w:w="945" w:type="dxa"/>
            <w:gridSpan w:val="2"/>
            <w:vMerge w:val="continue"/>
            <w:tcBorders>
              <w:top w:val="single" w:color="000000" w:sz="8"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一</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其他直接费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sz w:val="21"/>
                <w:szCs w:val="21"/>
              </w:rPr>
            </w:pP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7.80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8.50 </w:t>
            </w:r>
          </w:p>
        </w:tc>
        <w:tc>
          <w:tcPr>
            <w:tcW w:w="945" w:type="dxa"/>
            <w:gridSpan w:val="2"/>
            <w:vMerge w:val="restart"/>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冬雨季施工增加费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3.00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3.00 </w:t>
            </w:r>
          </w:p>
        </w:tc>
        <w:tc>
          <w:tcPr>
            <w:tcW w:w="945" w:type="dxa"/>
            <w:gridSpan w:val="2"/>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夜间施工增加费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0.50 </w:t>
            </w:r>
          </w:p>
        </w:tc>
        <w:tc>
          <w:tcPr>
            <w:tcW w:w="945" w:type="dxa"/>
            <w:gridSpan w:val="2"/>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特殊地区施工增加费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临时设施费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1.50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1.50 </w:t>
            </w:r>
          </w:p>
        </w:tc>
        <w:tc>
          <w:tcPr>
            <w:tcW w:w="945" w:type="dxa"/>
            <w:gridSpan w:val="2"/>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安全生产措施费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2.50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2.50 </w:t>
            </w:r>
          </w:p>
        </w:tc>
        <w:tc>
          <w:tcPr>
            <w:tcW w:w="945" w:type="dxa"/>
            <w:gridSpan w:val="2"/>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其他</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1.00 </w:t>
            </w:r>
          </w:p>
        </w:tc>
        <w:tc>
          <w:tcPr>
            <w:tcW w:w="945" w:type="dxa"/>
            <w:gridSpan w:val="2"/>
            <w:vMerge w:val="continue"/>
            <w:tcBorders>
              <w:top w:val="single" w:color="000000" w:sz="4" w:space="0"/>
              <w:left w:val="single" w:color="000000" w:sz="4" w:space="0"/>
              <w:bottom w:val="single" w:color="000000" w:sz="4" w:space="0"/>
              <w:right w:val="single" w:color="000000" w:sz="8" w:space="0"/>
            </w:tcBorders>
            <w:noWrap w:val="0"/>
            <w:vAlign w:val="center"/>
          </w:tcPr>
          <w:p>
            <w:pPr>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间接费</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sz w:val="21"/>
                <w:szCs w:val="21"/>
              </w:rPr>
            </w:pP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（一）</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建筑工程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sz w:val="21"/>
                <w:szCs w:val="21"/>
              </w:rPr>
            </w:pP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土方工程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4.00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石方工程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8.50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砂石备料工程（自采）</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5.00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模板工程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混凝土浇筑工程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钢筋制安工程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5.00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钻孔灌浆工程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9.25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锚固工程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9.25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疏浚工程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6.25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其他工程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7.25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机电、金属结构设备安装工程</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人工费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70.00 </w:t>
            </w: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三</w:t>
            </w:r>
          </w:p>
        </w:tc>
        <w:tc>
          <w:tcPr>
            <w:tcW w:w="232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企业利润</w:t>
            </w:r>
          </w:p>
        </w:tc>
        <w:tc>
          <w:tcPr>
            <w:tcW w:w="1712"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直接费+间接费</w:t>
            </w:r>
          </w:p>
        </w:tc>
        <w:tc>
          <w:tcPr>
            <w:tcW w:w="1366"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 </w:t>
            </w:r>
          </w:p>
        </w:tc>
        <w:tc>
          <w:tcPr>
            <w:tcW w:w="12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4" w:space="0"/>
              <w:right w:val="single" w:color="000000" w:sz="8" w:space="0"/>
            </w:tcBorders>
            <w:noWrap w:val="0"/>
            <w:vAlign w:val="center"/>
          </w:tcPr>
          <w:p>
            <w:pP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gridAfter w:val="1"/>
          <w:wAfter w:w="222" w:type="dxa"/>
          <w:trHeight w:val="90" w:hRule="atLeast"/>
          <w:jc w:val="center"/>
        </w:trPr>
        <w:tc>
          <w:tcPr>
            <w:tcW w:w="705" w:type="dxa"/>
            <w:gridSpan w:val="2"/>
            <w:tcBorders>
              <w:top w:val="single" w:color="000000" w:sz="4" w:space="0"/>
              <w:left w:val="single" w:color="000000" w:sz="8" w:space="0"/>
              <w:bottom w:val="single" w:color="000000" w:sz="8"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四</w:t>
            </w:r>
          </w:p>
        </w:tc>
        <w:tc>
          <w:tcPr>
            <w:tcW w:w="2324" w:type="dxa"/>
            <w:tcBorders>
              <w:top w:val="single" w:color="000000" w:sz="4" w:space="0"/>
              <w:left w:val="single" w:color="000000" w:sz="4" w:space="0"/>
              <w:bottom w:val="single" w:color="000000" w:sz="8" w:space="0"/>
              <w:right w:val="single" w:color="000000" w:sz="4" w:space="0"/>
            </w:tcBorders>
            <w:noWrap w:val="0"/>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税金</w:t>
            </w:r>
          </w:p>
        </w:tc>
        <w:tc>
          <w:tcPr>
            <w:tcW w:w="1712" w:type="dxa"/>
            <w:gridSpan w:val="2"/>
            <w:tcBorders>
              <w:top w:val="single" w:color="000000" w:sz="4" w:space="0"/>
              <w:left w:val="single" w:color="000000" w:sz="4" w:space="0"/>
              <w:bottom w:val="single" w:color="000000" w:sz="8"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直接费+间接费+企业利润+材料补差</w:t>
            </w:r>
          </w:p>
        </w:tc>
        <w:tc>
          <w:tcPr>
            <w:tcW w:w="1366" w:type="dxa"/>
            <w:gridSpan w:val="3"/>
            <w:tcBorders>
              <w:top w:val="single" w:color="000000" w:sz="4" w:space="0"/>
              <w:left w:val="single" w:color="000000" w:sz="4" w:space="0"/>
              <w:bottom w:val="single" w:color="000000" w:sz="8"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9.00 </w:t>
            </w:r>
          </w:p>
        </w:tc>
        <w:tc>
          <w:tcPr>
            <w:tcW w:w="1248" w:type="dxa"/>
            <w:gridSpan w:val="2"/>
            <w:tcBorders>
              <w:top w:val="single" w:color="000000" w:sz="4" w:space="0"/>
              <w:left w:val="single" w:color="000000" w:sz="4" w:space="0"/>
              <w:bottom w:val="single" w:color="000000" w:sz="8" w:space="0"/>
              <w:right w:val="single" w:color="000000" w:sz="4" w:space="0"/>
            </w:tcBorders>
            <w:noWrap w:val="0"/>
            <w:vAlign w:val="center"/>
          </w:tcPr>
          <w:p>
            <w:pPr>
              <w:jc w:val="center"/>
              <w:rPr>
                <w:rFonts w:hint="eastAsia" w:ascii="宋体" w:hAnsi="宋体" w:eastAsia="宋体" w:cs="宋体"/>
                <w:color w:val="000000"/>
                <w:sz w:val="21"/>
                <w:szCs w:val="21"/>
              </w:rPr>
            </w:pPr>
          </w:p>
        </w:tc>
        <w:tc>
          <w:tcPr>
            <w:tcW w:w="945" w:type="dxa"/>
            <w:gridSpan w:val="2"/>
            <w:tcBorders>
              <w:top w:val="single" w:color="000000" w:sz="4" w:space="0"/>
              <w:left w:val="single" w:color="000000" w:sz="4" w:space="0"/>
              <w:bottom w:val="single" w:color="000000" w:sz="8" w:space="0"/>
              <w:right w:val="single" w:color="000000" w:sz="8" w:space="0"/>
            </w:tcBorders>
            <w:noWrap w:val="0"/>
            <w:vAlign w:val="center"/>
          </w:tcPr>
          <w:p>
            <w:pPr>
              <w:rPr>
                <w:rFonts w:hint="eastAsia" w:ascii="宋体" w:hAnsi="宋体" w:eastAsia="宋体" w:cs="宋体"/>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8522" w:type="dxa"/>
            <w:gridSpan w:val="13"/>
            <w:tcBorders>
              <w:top w:val="nil"/>
              <w:left w:val="nil"/>
              <w:bottom w:val="nil"/>
              <w:right w:val="nil"/>
            </w:tcBorders>
            <w:noWrap/>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bidi="ar"/>
              </w:rPr>
            </w:pPr>
            <w:r>
              <w:rPr>
                <w:rFonts w:hint="eastAsia" w:ascii="宋体" w:hAnsi="宋体" w:eastAsia="宋体" w:cs="宋体"/>
                <w:b/>
                <w:bCs/>
                <w:color w:val="auto"/>
                <w:kern w:val="0"/>
                <w:sz w:val="28"/>
                <w:szCs w:val="28"/>
                <w:lang w:val="en-US" w:eastAsia="zh-CN" w:bidi="ar"/>
              </w:rPr>
              <w:t xml:space="preserve">                      总 概 算 表            </w:t>
            </w:r>
            <w:r>
              <w:rPr>
                <w:rFonts w:hint="eastAsia" w:ascii="宋体" w:hAnsi="宋体" w:eastAsia="宋体" w:cs="宋体"/>
                <w:b w:val="0"/>
                <w:bCs w:val="0"/>
                <w:color w:val="auto"/>
                <w:kern w:val="0"/>
                <w:sz w:val="24"/>
                <w:szCs w:val="24"/>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46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3590" w:type="dxa"/>
            <w:gridSpan w:val="3"/>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 程 或 费 用 名 称</w:t>
            </w:r>
          </w:p>
        </w:tc>
        <w:tc>
          <w:tcPr>
            <w:tcW w:w="104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建安</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工程费</w:t>
            </w:r>
          </w:p>
        </w:tc>
        <w:tc>
          <w:tcPr>
            <w:tcW w:w="8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购置费</w:t>
            </w:r>
          </w:p>
        </w:tc>
        <w:tc>
          <w:tcPr>
            <w:tcW w:w="82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独立费用</w:t>
            </w:r>
          </w:p>
        </w:tc>
        <w:tc>
          <w:tcPr>
            <w:tcW w:w="868"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871"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占总投资%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4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590"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4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2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68"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71"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Ⅰ</w:t>
            </w: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维修养护工程</w:t>
            </w:r>
          </w:p>
        </w:tc>
        <w:tc>
          <w:tcPr>
            <w:tcW w:w="104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5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27"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7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第一部分：建筑工程</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kern w:val="0"/>
                <w:sz w:val="21"/>
                <w:szCs w:val="21"/>
                <w:u w:val="none"/>
                <w:lang w:val="en-US" w:eastAsia="zh-CN" w:bidi="ar"/>
              </w:rPr>
              <w:t>22.46</w:t>
            </w: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0.00</w:t>
            </w: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b/>
                <w:bCs/>
                <w:i w:val="0"/>
                <w:iCs w:val="0"/>
                <w:color w:val="000000"/>
                <w:sz w:val="22"/>
                <w:szCs w:val="22"/>
                <w:u w:val="none"/>
                <w:lang w:val="en-US" w:eastAsia="zh-CN"/>
              </w:rPr>
            </w:pPr>
            <w:r>
              <w:rPr>
                <w:rFonts w:hint="eastAsia" w:ascii="宋体" w:hAnsi="宋体" w:cs="宋体"/>
                <w:b/>
                <w:bCs/>
                <w:i w:val="0"/>
                <w:iCs w:val="0"/>
                <w:color w:val="000000"/>
                <w:kern w:val="0"/>
                <w:sz w:val="21"/>
                <w:szCs w:val="21"/>
                <w:u w:val="none"/>
                <w:lang w:val="en-US" w:eastAsia="zh-CN" w:bidi="ar"/>
              </w:rPr>
              <w:t>22.46</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58.8</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第二部分：机电设备及安装工程</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2.0</w:t>
            </w:r>
          </w:p>
        </w:tc>
        <w:tc>
          <w:tcPr>
            <w:tcW w:w="8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0.00</w:t>
            </w: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2.0</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5.2</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第三部分：金属结构设备及</w:t>
            </w:r>
            <w:r>
              <w:rPr>
                <w:rFonts w:hint="eastAsia" w:ascii="宋体" w:hAnsi="宋体" w:cs="宋体"/>
                <w:b/>
                <w:bCs/>
                <w:i w:val="0"/>
                <w:iCs w:val="0"/>
                <w:color w:val="000000"/>
                <w:kern w:val="0"/>
                <w:sz w:val="21"/>
                <w:szCs w:val="21"/>
                <w:u w:val="none"/>
                <w:lang w:val="en-US" w:eastAsia="zh-CN" w:bidi="ar"/>
              </w:rPr>
              <w:t>维修</w:t>
            </w:r>
            <w:r>
              <w:rPr>
                <w:rFonts w:hint="eastAsia" w:ascii="宋体" w:hAnsi="宋体" w:eastAsia="宋体" w:cs="宋体"/>
                <w:b/>
                <w:bCs/>
                <w:i w:val="0"/>
                <w:iCs w:val="0"/>
                <w:color w:val="000000"/>
                <w:kern w:val="0"/>
                <w:sz w:val="21"/>
                <w:szCs w:val="21"/>
                <w:u w:val="none"/>
                <w:lang w:val="en-US" w:eastAsia="zh-CN" w:bidi="ar"/>
              </w:rPr>
              <w:t>工程</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12.8</w:t>
            </w:r>
          </w:p>
        </w:tc>
        <w:tc>
          <w:tcPr>
            <w:tcW w:w="8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0.00</w:t>
            </w: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12.8</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33.5</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w:t>
            </w:r>
            <w:r>
              <w:rPr>
                <w:rFonts w:hint="eastAsia" w:ascii="宋体" w:hAnsi="宋体" w:cs="宋体"/>
                <w:b/>
                <w:bCs/>
                <w:i w:val="0"/>
                <w:iCs w:val="0"/>
                <w:color w:val="000000"/>
                <w:kern w:val="0"/>
                <w:sz w:val="21"/>
                <w:szCs w:val="21"/>
                <w:u w:val="none"/>
                <w:lang w:val="en-US" w:eastAsia="zh-CN" w:bidi="ar"/>
              </w:rPr>
              <w:t>四</w:t>
            </w:r>
            <w:r>
              <w:rPr>
                <w:rFonts w:hint="eastAsia" w:ascii="宋体" w:hAnsi="宋体" w:eastAsia="宋体" w:cs="宋体"/>
                <w:b/>
                <w:bCs/>
                <w:i w:val="0"/>
                <w:iCs w:val="0"/>
                <w:color w:val="000000"/>
                <w:kern w:val="0"/>
                <w:sz w:val="21"/>
                <w:szCs w:val="21"/>
                <w:u w:val="none"/>
                <w:lang w:val="en-US" w:eastAsia="zh-CN" w:bidi="ar"/>
              </w:rPr>
              <w:t>部分：独立费用</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b/>
                <w:bCs/>
                <w:i w:val="0"/>
                <w:iCs w:val="0"/>
                <w:color w:val="000000"/>
                <w:kern w:val="0"/>
                <w:sz w:val="21"/>
                <w:szCs w:val="21"/>
                <w:u w:val="none"/>
                <w:lang w:val="en-US" w:eastAsia="zh-CN" w:bidi="ar"/>
              </w:rPr>
              <w:t>科研勘测设计费</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0.4</w:t>
            </w: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0.4</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1.1</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第五部分文明施工费</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0.55</w:t>
            </w:r>
          </w:p>
        </w:tc>
        <w:tc>
          <w:tcPr>
            <w:tcW w:w="85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0.00</w:t>
            </w: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0.55</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1.4</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一至</w:t>
            </w:r>
            <w:r>
              <w:rPr>
                <w:rFonts w:hint="eastAsia" w:ascii="宋体" w:hAnsi="宋体" w:cs="宋体"/>
                <w:b/>
                <w:bCs/>
                <w:i w:val="0"/>
                <w:iCs w:val="0"/>
                <w:color w:val="000000"/>
                <w:kern w:val="0"/>
                <w:sz w:val="21"/>
                <w:szCs w:val="21"/>
                <w:u w:val="none"/>
                <w:lang w:val="en-US" w:eastAsia="zh-CN" w:bidi="ar"/>
              </w:rPr>
              <w:t>五</w:t>
            </w:r>
            <w:r>
              <w:rPr>
                <w:rFonts w:hint="eastAsia" w:ascii="宋体" w:hAnsi="宋体" w:eastAsia="宋体" w:cs="宋体"/>
                <w:b/>
                <w:bCs/>
                <w:i w:val="0"/>
                <w:iCs w:val="0"/>
                <w:color w:val="000000"/>
                <w:kern w:val="0"/>
                <w:sz w:val="21"/>
                <w:szCs w:val="21"/>
                <w:u w:val="none"/>
                <w:lang w:val="en-US" w:eastAsia="zh-CN" w:bidi="ar"/>
              </w:rPr>
              <w:t>部分合计</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38.21</w:t>
            </w:r>
          </w:p>
        </w:tc>
        <w:tc>
          <w:tcPr>
            <w:tcW w:w="8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0.00</w:t>
            </w: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0.00</w:t>
            </w: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38.21</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4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Ⅱ</w:t>
            </w:r>
          </w:p>
        </w:tc>
        <w:tc>
          <w:tcPr>
            <w:tcW w:w="359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工程总投资</w:t>
            </w:r>
          </w:p>
        </w:tc>
        <w:tc>
          <w:tcPr>
            <w:tcW w:w="1043"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6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FF0000"/>
                <w:kern w:val="0"/>
                <w:sz w:val="21"/>
                <w:szCs w:val="21"/>
                <w:u w:val="none"/>
                <w:lang w:val="en-US" w:eastAsia="zh-CN" w:bidi="ar"/>
              </w:rPr>
              <w:t>38.21</w:t>
            </w:r>
          </w:p>
        </w:tc>
        <w:tc>
          <w:tcPr>
            <w:tcW w:w="871"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1"/>
                <w:szCs w:val="21"/>
                <w:u w:val="none"/>
              </w:rPr>
            </w:pPr>
          </w:p>
        </w:tc>
      </w:tr>
    </w:tbl>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pStyle w:val="4"/>
        <w:ind w:left="0" w:leftChars="0" w:firstLine="0" w:firstLineChars="0"/>
        <w:rPr>
          <w:rFonts w:hint="eastAsia" w:ascii="宋体" w:hAnsi="宋体" w:eastAsia="宋体" w:cs="宋体"/>
          <w:sz w:val="21"/>
          <w:szCs w:val="21"/>
        </w:rPr>
      </w:pPr>
    </w:p>
    <w:p>
      <w:pPr>
        <w:rPr>
          <w:rFonts w:hint="eastAsia" w:ascii="宋体" w:hAnsi="宋体" w:eastAsia="宋体" w:cs="宋体"/>
          <w:sz w:val="21"/>
          <w:szCs w:val="21"/>
        </w:rPr>
      </w:pPr>
    </w:p>
    <w:tbl>
      <w:tblPr>
        <w:tblStyle w:val="8"/>
        <w:tblW w:w="904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0"/>
        <w:gridCol w:w="2399"/>
        <w:gridCol w:w="720"/>
        <w:gridCol w:w="735"/>
        <w:gridCol w:w="1095"/>
        <w:gridCol w:w="1215"/>
        <w:gridCol w:w="2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65"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工程或费用名称</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r>
              <w:rPr>
                <w:rFonts w:hint="eastAsia" w:ascii="宋体" w:hAnsi="宋体" w:eastAsia="宋体" w:cs="宋体"/>
                <w:i w:val="0"/>
                <w:iCs w:val="0"/>
                <w:color w:val="000000"/>
                <w:kern w:val="0"/>
                <w:sz w:val="18"/>
                <w:szCs w:val="18"/>
                <w:u w:val="none"/>
                <w:lang w:val="en-US" w:eastAsia="zh-CN" w:bidi="ar"/>
              </w:rPr>
              <w:t>（万元）</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2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第一部分:建筑工程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⑴</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主体工程维修养护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2"/>
                <w:szCs w:val="22"/>
                <w:u w:val="none"/>
                <w:lang w:val="en-US" w:eastAsia="zh-CN" w:bidi="ar"/>
              </w:rPr>
              <w:t>2</w:t>
            </w:r>
            <w:r>
              <w:rPr>
                <w:rFonts w:hint="eastAsia" w:ascii="宋体" w:hAnsi="宋体" w:cs="宋体"/>
                <w:b/>
                <w:bCs/>
                <w:i w:val="0"/>
                <w:iCs w:val="0"/>
                <w:color w:val="000000"/>
                <w:kern w:val="0"/>
                <w:sz w:val="22"/>
                <w:szCs w:val="22"/>
                <w:u w:val="none"/>
                <w:lang w:val="en-US" w:eastAsia="zh-CN" w:bidi="ar"/>
              </w:rPr>
              <w:t>2</w:t>
            </w:r>
            <w:r>
              <w:rPr>
                <w:rFonts w:hint="eastAsia" w:ascii="宋体" w:hAnsi="宋体" w:eastAsia="宋体" w:cs="宋体"/>
                <w:b/>
                <w:bCs/>
                <w:i w:val="0"/>
                <w:iCs w:val="0"/>
                <w:color w:val="000000"/>
                <w:kern w:val="0"/>
                <w:sz w:val="22"/>
                <w:szCs w:val="22"/>
                <w:u w:val="none"/>
                <w:lang w:val="en-US" w:eastAsia="zh-CN" w:bidi="ar"/>
              </w:rPr>
              <w:t>.</w:t>
            </w:r>
            <w:r>
              <w:rPr>
                <w:rFonts w:hint="eastAsia" w:ascii="宋体" w:hAnsi="宋体" w:cs="宋体"/>
                <w:b/>
                <w:bCs/>
                <w:i w:val="0"/>
                <w:iCs w:val="0"/>
                <w:color w:val="000000"/>
                <w:kern w:val="0"/>
                <w:sz w:val="22"/>
                <w:szCs w:val="22"/>
                <w:u w:val="none"/>
                <w:lang w:val="en-US" w:eastAsia="zh-CN" w:bidi="ar"/>
              </w:rPr>
              <w:t>46</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现状迎水面护坡面板拆除（30块）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135.42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0</w:t>
            </w:r>
            <w:r>
              <w:rPr>
                <w:rFonts w:hint="eastAsia" w:ascii="宋体" w:hAnsi="宋体" w:eastAsia="宋体" w:cs="宋体"/>
                <w:i w:val="0"/>
                <w:iCs w:val="0"/>
                <w:color w:val="000000"/>
                <w:kern w:val="0"/>
                <w:sz w:val="20"/>
                <w:szCs w:val="20"/>
                <w:u w:val="none"/>
                <w:lang w:val="en-US" w:eastAsia="zh-CN" w:bidi="ar"/>
              </w:rPr>
              <w:t>.</w:t>
            </w:r>
            <w:r>
              <w:rPr>
                <w:rFonts w:hint="eastAsia" w:ascii="宋体" w:hAnsi="宋体" w:cs="宋体"/>
                <w:i w:val="0"/>
                <w:iCs w:val="0"/>
                <w:color w:val="000000"/>
                <w:kern w:val="0"/>
                <w:sz w:val="20"/>
                <w:szCs w:val="20"/>
                <w:u w:val="none"/>
                <w:lang w:val="en-US" w:eastAsia="zh-CN" w:bidi="ar"/>
              </w:rPr>
              <w:t>98</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挖机免爆（弃运3㎞）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i w:val="0"/>
                <w:iCs w:val="0"/>
                <w:color w:val="0000FF"/>
                <w:kern w:val="0"/>
                <w:sz w:val="20"/>
                <w:szCs w:val="20"/>
                <w:u w:val="none"/>
                <w:lang w:val="en-US" w:eastAsia="zh-CN" w:bidi="ar"/>
              </w:rPr>
              <w:t>砂砾石垫层进行补充碾压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eastAsia="宋体" w:cs="宋体"/>
                <w:i w:val="0"/>
                <w:iCs w:val="0"/>
                <w:color w:val="0000FF"/>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24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80.84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0.19</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（补充垫层平均厚度为5厘米、碾压系数≥0.75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面板浇筑砼C30F300W6（二级配）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5</w:t>
            </w:r>
            <w:r>
              <w:rPr>
                <w:rFonts w:hint="eastAsia" w:ascii="宋体" w:hAnsi="宋体" w:cs="宋体"/>
                <w:i w:val="0"/>
                <w:iCs w:val="0"/>
                <w:color w:val="FF0000"/>
                <w:kern w:val="0"/>
                <w:sz w:val="20"/>
                <w:szCs w:val="20"/>
                <w:u w:val="none"/>
                <w:lang w:val="en-US" w:eastAsia="zh-CN" w:bidi="ar"/>
              </w:rPr>
              <w:t>6</w:t>
            </w:r>
            <w:r>
              <w:rPr>
                <w:rFonts w:hint="eastAsia" w:ascii="宋体" w:hAnsi="宋体" w:eastAsia="宋体" w:cs="宋体"/>
                <w:i w:val="0"/>
                <w:iCs w:val="0"/>
                <w:color w:val="FF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FF0000"/>
                <w:kern w:val="0"/>
                <w:sz w:val="20"/>
                <w:szCs w:val="20"/>
                <w:u w:val="none"/>
                <w:lang w:val="en-US" w:eastAsia="zh-CN" w:bidi="ar"/>
              </w:rPr>
              <w:t>4</w:t>
            </w:r>
            <w:r>
              <w:rPr>
                <w:rFonts w:hint="eastAsia" w:ascii="宋体" w:hAnsi="宋体" w:eastAsia="宋体" w:cs="宋体"/>
                <w:i w:val="0"/>
                <w:iCs w:val="0"/>
                <w:color w:val="FF0000"/>
                <w:kern w:val="0"/>
                <w:sz w:val="20"/>
                <w:szCs w:val="20"/>
                <w:u w:val="none"/>
                <w:lang w:val="en-US" w:eastAsia="zh-CN" w:bidi="ar"/>
              </w:rPr>
              <w:t>.</w:t>
            </w:r>
            <w:r>
              <w:rPr>
                <w:rFonts w:hint="eastAsia" w:ascii="宋体" w:hAnsi="宋体" w:cs="宋体"/>
                <w:i w:val="0"/>
                <w:iCs w:val="0"/>
                <w:color w:val="FF0000"/>
                <w:kern w:val="0"/>
                <w:sz w:val="20"/>
                <w:szCs w:val="20"/>
                <w:u w:val="none"/>
                <w:lang w:val="en-US" w:eastAsia="zh-CN" w:bidi="ar"/>
              </w:rPr>
              <w:t>06</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面板尺寸4.0m*4.0m*0.15m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模板</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60.32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0.54</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聚乙烯高压闭孔板</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70C0"/>
                <w:sz w:val="20"/>
                <w:szCs w:val="20"/>
                <w:u w:val="none"/>
              </w:rPr>
            </w:pPr>
            <w:r>
              <w:rPr>
                <w:rFonts w:hint="eastAsia" w:ascii="宋体" w:hAnsi="宋体" w:eastAsia="宋体" w:cs="宋体"/>
                <w:i w:val="0"/>
                <w:iCs w:val="0"/>
                <w:color w:val="0070C0"/>
                <w:kern w:val="0"/>
                <w:sz w:val="20"/>
                <w:szCs w:val="20"/>
                <w:u w:val="none"/>
                <w:lang w:val="en-US" w:eastAsia="zh-CN" w:bidi="ar"/>
              </w:rPr>
              <w:t>0.68</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面板伸缩缝处理（厚10㎝）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聚氨酯</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16756</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泄洪冲沙闸边墙和消力池底板混凝土凿</w:t>
            </w:r>
            <w:r>
              <w:rPr>
                <w:rFonts w:hint="eastAsia" w:ascii="宋体" w:hAnsi="宋体" w:cs="宋体"/>
                <w:i w:val="0"/>
                <w:iCs w:val="0"/>
                <w:color w:val="000000"/>
                <w:kern w:val="0"/>
                <w:sz w:val="20"/>
                <w:szCs w:val="20"/>
                <w:u w:val="none"/>
                <w:lang w:val="en-US" w:eastAsia="zh-CN" w:bidi="ar"/>
              </w:rPr>
              <w:t>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552.82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面积为39m×30m、平均厚度为5㎝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泄洪冲沙闸边墙和消力池底板混凝土凿毛</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面积为39m×30m、凿毛深度2㎝，合计23.4m³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泄洪冲沙闸边墙和消力池底板维修商品砼</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5</w:t>
            </w:r>
            <w:r>
              <w:rPr>
                <w:rFonts w:hint="eastAsia" w:ascii="宋体" w:hAnsi="宋体" w:cs="宋体"/>
                <w:i w:val="0"/>
                <w:iCs w:val="0"/>
                <w:color w:val="FF0000"/>
                <w:kern w:val="0"/>
                <w:sz w:val="20"/>
                <w:szCs w:val="20"/>
                <w:u w:val="none"/>
                <w:lang w:val="en-US" w:eastAsia="zh-CN" w:bidi="ar"/>
              </w:rPr>
              <w:t>6</w:t>
            </w:r>
            <w:r>
              <w:rPr>
                <w:rFonts w:hint="eastAsia" w:ascii="宋体" w:hAnsi="宋体" w:eastAsia="宋体" w:cs="宋体"/>
                <w:i w:val="0"/>
                <w:iCs w:val="0"/>
                <w:color w:val="FF0000"/>
                <w:kern w:val="0"/>
                <w:sz w:val="20"/>
                <w:szCs w:val="20"/>
                <w:u w:val="none"/>
                <w:lang w:val="en-US" w:eastAsia="zh-CN" w:bidi="ar"/>
              </w:rPr>
              <w:t>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FF0000"/>
                <w:kern w:val="0"/>
                <w:sz w:val="20"/>
                <w:szCs w:val="20"/>
                <w:u w:val="none"/>
                <w:lang w:val="en-US" w:eastAsia="zh-CN" w:bidi="ar"/>
              </w:rPr>
              <w:t>4</w:t>
            </w:r>
            <w:r>
              <w:rPr>
                <w:rFonts w:hint="eastAsia" w:ascii="宋体" w:hAnsi="宋体" w:eastAsia="宋体" w:cs="宋体"/>
                <w:i w:val="0"/>
                <w:iCs w:val="0"/>
                <w:color w:val="FF0000"/>
                <w:kern w:val="0"/>
                <w:sz w:val="20"/>
                <w:szCs w:val="20"/>
                <w:u w:val="none"/>
                <w:lang w:val="en-US" w:eastAsia="zh-CN" w:bidi="ar"/>
              </w:rPr>
              <w:t>.</w:t>
            </w:r>
            <w:r>
              <w:rPr>
                <w:rFonts w:hint="eastAsia" w:ascii="宋体" w:hAnsi="宋体" w:cs="宋体"/>
                <w:i w:val="0"/>
                <w:iCs w:val="0"/>
                <w:color w:val="FF0000"/>
                <w:kern w:val="0"/>
                <w:sz w:val="20"/>
                <w:szCs w:val="20"/>
                <w:u w:val="none"/>
                <w:lang w:val="en-US" w:eastAsia="zh-CN" w:bidi="ar"/>
              </w:rPr>
              <w:t>63</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C30F300W6（二级配）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新增溢洪道两边钢管护栏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∅50钢管（高度1.5m）采购、运输、焊接、刷漆</w:t>
            </w:r>
            <w:r>
              <w:rPr>
                <w:rFonts w:hint="eastAsia" w:ascii="宋体" w:hAnsi="宋体" w:cs="宋体"/>
                <w:i w:val="0"/>
                <w:iCs w:val="0"/>
                <w:color w:val="000000"/>
                <w:kern w:val="0"/>
                <w:sz w:val="20"/>
                <w:szCs w:val="20"/>
                <w:u w:val="none"/>
                <w:lang w:val="en-US" w:eastAsia="zh-CN" w:bidi="ar"/>
              </w:rPr>
              <w:t>、含基础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新建油品间（萨尔铁列克）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1300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0.68</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（彩钢房：长</w:t>
            </w:r>
            <w:r>
              <w:rPr>
                <w:rFonts w:hint="eastAsia" w:ascii="宋体" w:hAnsi="宋体" w:cs="宋体"/>
                <w:i w:val="0"/>
                <w:iCs w:val="0"/>
                <w:color w:val="000000"/>
                <w:kern w:val="0"/>
                <w:sz w:val="20"/>
                <w:szCs w:val="20"/>
                <w:u w:val="none"/>
                <w:lang w:val="en-US" w:eastAsia="zh-CN" w:bidi="ar"/>
              </w:rPr>
              <w:t>2.1</w:t>
            </w:r>
            <w:r>
              <w:rPr>
                <w:rFonts w:hint="eastAsia" w:ascii="宋体" w:hAnsi="宋体" w:eastAsia="宋体" w:cs="宋体"/>
                <w:i w:val="0"/>
                <w:iCs w:val="0"/>
                <w:color w:val="000000"/>
                <w:kern w:val="0"/>
                <w:sz w:val="20"/>
                <w:szCs w:val="20"/>
                <w:u w:val="none"/>
                <w:lang w:val="en-US" w:eastAsia="zh-CN" w:bidi="ar"/>
              </w:rPr>
              <w:t>m-宽2.48m-高（右边2.38m、左边1m，含门）合计</w:t>
            </w:r>
            <w:r>
              <w:rPr>
                <w:rFonts w:hint="eastAsia" w:ascii="宋体" w:hAnsi="宋体" w:cs="宋体"/>
                <w:i w:val="0"/>
                <w:iCs w:val="0"/>
                <w:color w:val="000000"/>
                <w:kern w:val="0"/>
                <w:sz w:val="20"/>
                <w:szCs w:val="20"/>
                <w:u w:val="none"/>
                <w:lang w:val="en-US" w:eastAsia="zh-CN" w:bidi="ar"/>
              </w:rPr>
              <w:t>建筑面积5.2</w:t>
            </w: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现状备用电源房拆除（杜热水库）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FF0000"/>
                <w:kern w:val="0"/>
                <w:sz w:val="20"/>
                <w:szCs w:val="20"/>
                <w:u w:val="none"/>
                <w:lang w:val="en-US" w:eastAsia="zh-CN" w:bidi="ar"/>
              </w:rPr>
              <w:t>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200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0.</w:t>
            </w:r>
            <w:r>
              <w:rPr>
                <w:rFonts w:hint="eastAsia" w:ascii="宋体" w:hAnsi="宋体" w:cs="宋体"/>
                <w:i w:val="0"/>
                <w:iCs w:val="0"/>
                <w:color w:val="FF0000"/>
                <w:kern w:val="0"/>
                <w:sz w:val="20"/>
                <w:szCs w:val="20"/>
                <w:u w:val="none"/>
                <w:lang w:val="en-US" w:eastAsia="zh-CN" w:bidi="ar"/>
              </w:rPr>
              <w:t>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铲车（弃运3㎞）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新建备用电源房和油品间（杜热水库）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FF0000"/>
                <w:kern w:val="0"/>
                <w:sz w:val="20"/>
                <w:szCs w:val="20"/>
                <w:u w:val="none"/>
                <w:lang w:val="en-US" w:eastAsia="zh-CN" w:bidi="ar"/>
              </w:rPr>
              <w:t>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1500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cs="宋体"/>
                <w:i w:val="0"/>
                <w:iCs w:val="0"/>
                <w:color w:val="FF0000"/>
                <w:kern w:val="0"/>
                <w:sz w:val="20"/>
                <w:szCs w:val="20"/>
                <w:u w:val="none"/>
                <w:lang w:val="en-US" w:eastAsia="zh-CN" w:bidi="ar"/>
              </w:rPr>
              <w:t>2.25</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砖墙体彩钢顶房总长</w:t>
            </w:r>
            <w:r>
              <w:rPr>
                <w:rFonts w:hint="eastAsia" w:ascii="宋体" w:hAnsi="宋体" w:cs="宋体"/>
                <w:i w:val="0"/>
                <w:iCs w:val="0"/>
                <w:color w:val="000000"/>
                <w:kern w:val="0"/>
                <w:sz w:val="20"/>
                <w:szCs w:val="20"/>
                <w:u w:val="none"/>
                <w:lang w:val="en-US" w:eastAsia="zh-CN" w:bidi="ar"/>
              </w:rPr>
              <w:t>（4+2=6）</w:t>
            </w:r>
            <w:r>
              <w:rPr>
                <w:rFonts w:hint="eastAsia" w:ascii="宋体" w:hAnsi="宋体" w:eastAsia="宋体" w:cs="宋体"/>
                <w:i w:val="0"/>
                <w:iCs w:val="0"/>
                <w:color w:val="000000"/>
                <w:kern w:val="0"/>
                <w:sz w:val="20"/>
                <w:szCs w:val="20"/>
                <w:u w:val="none"/>
                <w:lang w:val="en-US" w:eastAsia="zh-CN" w:bidi="ar"/>
              </w:rPr>
              <w:t>m-宽2.5m-高2m、含</w:t>
            </w:r>
            <w:r>
              <w:rPr>
                <w:rFonts w:hint="eastAsia" w:ascii="宋体" w:hAnsi="宋体" w:cs="宋体"/>
                <w:i w:val="0"/>
                <w:iCs w:val="0"/>
                <w:color w:val="000000"/>
                <w:kern w:val="0"/>
                <w:sz w:val="20"/>
                <w:szCs w:val="20"/>
                <w:u w:val="none"/>
                <w:lang w:val="en-US" w:eastAsia="zh-CN" w:bidi="ar"/>
              </w:rPr>
              <w:t>基础、含</w:t>
            </w:r>
            <w:r>
              <w:rPr>
                <w:rFonts w:hint="eastAsia" w:ascii="宋体" w:hAnsi="宋体" w:eastAsia="宋体" w:cs="宋体"/>
                <w:i w:val="0"/>
                <w:iCs w:val="0"/>
                <w:color w:val="000000"/>
                <w:kern w:val="0"/>
                <w:sz w:val="20"/>
                <w:szCs w:val="20"/>
                <w:u w:val="none"/>
                <w:lang w:val="en-US" w:eastAsia="zh-CN" w:bidi="ar"/>
              </w:rPr>
              <w:t>门窗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⑵</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物料动力消耗</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机油消耗（萨尔铁列克水库）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SF机油(桶18升)，含人工费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黄油消耗（萨尔铁列克水库）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1号锂基酯(桶15升)，含人工费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机油消耗（杜热水库）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SF机油(桶18升)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黄油消耗（杜热水库）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1号锂基酯(桶15升)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第二部分机电设备及安装工程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2"/>
                <w:szCs w:val="22"/>
                <w:u w:val="none"/>
                <w:lang w:val="en-US" w:eastAsia="zh-CN" w:bidi="ar"/>
              </w:rPr>
              <w:t>2.0</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更换室内配电柜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20000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FF"/>
                <w:kern w:val="0"/>
                <w:sz w:val="20"/>
                <w:szCs w:val="20"/>
                <w:u w:val="none"/>
                <w:lang w:val="en-US" w:eastAsia="zh-CN" w:bidi="ar"/>
              </w:rPr>
              <w:t>万能式断路器DW15-630A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第三部分金属结构设备维修工程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w:t>
            </w:r>
            <w:r>
              <w:rPr>
                <w:rFonts w:hint="eastAsia" w:ascii="宋体" w:hAnsi="宋体" w:cs="宋体"/>
                <w:b/>
                <w:bCs/>
                <w:i w:val="0"/>
                <w:iCs w:val="0"/>
                <w:color w:val="000000"/>
                <w:kern w:val="0"/>
                <w:sz w:val="22"/>
                <w:szCs w:val="22"/>
                <w:u w:val="none"/>
                <w:lang w:val="en-US" w:eastAsia="zh-CN" w:bidi="ar"/>
              </w:rPr>
              <w:t>8</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3个闸门除锈粉刷（萨尔铁列克水库）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10m*4.3m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3个闸门除锈粉刷（杜热水库）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杜热水库南干渠水闸更换启闭机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12670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企标8T螺杆启闭机（手动）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3个启闭机更换液压油（广汇煤制气供水工程）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3个闸门除锈粉刷</w:t>
            </w:r>
            <w:r>
              <w:rPr>
                <w:rFonts w:hint="eastAsia" w:ascii="宋体" w:hAnsi="宋体" w:eastAsia="宋体" w:cs="宋体"/>
                <w:i w:val="0"/>
                <w:iCs w:val="0"/>
                <w:color w:val="000000"/>
                <w:kern w:val="0"/>
                <w:sz w:val="18"/>
                <w:szCs w:val="18"/>
                <w:u w:val="none"/>
                <w:lang w:val="en-US" w:eastAsia="zh-CN" w:bidi="ar"/>
              </w:rPr>
              <w:t>（广汇煤制气供水工程</w:t>
            </w:r>
            <w:r>
              <w:rPr>
                <w:rFonts w:hint="eastAsia" w:ascii="宋体" w:hAnsi="宋体" w:eastAsia="宋体" w:cs="宋体"/>
                <w:i w:val="0"/>
                <w:iCs w:val="0"/>
                <w:color w:val="000000"/>
                <w:kern w:val="0"/>
                <w:sz w:val="20"/>
                <w:szCs w:val="20"/>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157.5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FF0000"/>
                <w:kern w:val="0"/>
                <w:sz w:val="20"/>
                <w:szCs w:val="20"/>
                <w:u w:val="none"/>
                <w:lang w:val="en-US" w:eastAsia="zh-CN" w:bidi="ar"/>
              </w:rPr>
              <w:t>2.68</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7.5m*7m</w:t>
            </w:r>
          </w:p>
        </w:tc>
      </w:tr>
    </w:tbl>
    <w:p>
      <w:pPr>
        <w:pStyle w:val="4"/>
        <w:ind w:left="0" w:leftChars="0" w:firstLine="0" w:firstLineChars="0"/>
        <w:rPr>
          <w:rFonts w:hint="eastAsia" w:ascii="宋体" w:hAnsi="宋体" w:eastAsia="宋体" w:cs="宋体"/>
          <w:sz w:val="21"/>
          <w:szCs w:val="21"/>
        </w:rPr>
      </w:pPr>
    </w:p>
    <w:tbl>
      <w:tblPr>
        <w:tblStyle w:val="8"/>
        <w:tblW w:w="8993" w:type="dxa"/>
        <w:jc w:val="center"/>
        <w:tblInd w:w="-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4"/>
        <w:gridCol w:w="3391"/>
        <w:gridCol w:w="729"/>
        <w:gridCol w:w="729"/>
        <w:gridCol w:w="970"/>
        <w:gridCol w:w="1211"/>
        <w:gridCol w:w="1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80" w:hRule="atLeast"/>
          <w:jc w:val="center"/>
        </w:trPr>
        <w:tc>
          <w:tcPr>
            <w:tcW w:w="8993"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机电设备及安装工程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jc w:val="center"/>
        </w:trPr>
        <w:tc>
          <w:tcPr>
            <w:tcW w:w="894"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3391"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 程 或 费 用 名 称</w:t>
            </w:r>
          </w:p>
        </w:tc>
        <w:tc>
          <w:tcPr>
            <w:tcW w:w="729"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29"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70"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p>
        </w:tc>
        <w:tc>
          <w:tcPr>
            <w:tcW w:w="1211" w:type="dxa"/>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p>
        </w:tc>
        <w:tc>
          <w:tcPr>
            <w:tcW w:w="1069"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894"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3391"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29"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29"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97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121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（万元）</w:t>
            </w:r>
          </w:p>
        </w:tc>
        <w:tc>
          <w:tcPr>
            <w:tcW w:w="1069"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89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339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第二部分机电设备及安装工程</w:t>
            </w:r>
          </w:p>
        </w:tc>
        <w:tc>
          <w:tcPr>
            <w:tcW w:w="729"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729"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970"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121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1069"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894"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339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更换</w:t>
            </w:r>
            <w:r>
              <w:rPr>
                <w:rFonts w:hint="eastAsia" w:ascii="宋体" w:hAnsi="宋体" w:eastAsia="宋体" w:cs="宋体"/>
                <w:b/>
                <w:bCs/>
                <w:i w:val="0"/>
                <w:iCs w:val="0"/>
                <w:color w:val="000000"/>
                <w:kern w:val="0"/>
                <w:sz w:val="21"/>
                <w:szCs w:val="21"/>
                <w:u w:val="none"/>
                <w:lang w:val="en-US" w:eastAsia="zh-CN" w:bidi="ar"/>
              </w:rPr>
              <w:t>配电柜</w:t>
            </w:r>
          </w:p>
        </w:tc>
        <w:tc>
          <w:tcPr>
            <w:tcW w:w="72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台</w:t>
            </w:r>
          </w:p>
        </w:tc>
        <w:tc>
          <w:tcPr>
            <w:tcW w:w="72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97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w:t>
            </w:r>
          </w:p>
        </w:tc>
        <w:tc>
          <w:tcPr>
            <w:tcW w:w="1211"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2.0</w:t>
            </w:r>
          </w:p>
        </w:tc>
        <w:tc>
          <w:tcPr>
            <w:tcW w:w="106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含安装</w:t>
            </w:r>
          </w:p>
        </w:tc>
      </w:tr>
    </w:tbl>
    <w:p>
      <w:pPr>
        <w:pStyle w:val="4"/>
        <w:ind w:left="0" w:leftChars="0" w:firstLine="0" w:firstLineChars="0"/>
        <w:rPr>
          <w:rFonts w:hint="eastAsia" w:ascii="宋体" w:hAnsi="宋体" w:eastAsia="宋体" w:cs="宋体"/>
          <w:sz w:val="21"/>
          <w:szCs w:val="21"/>
        </w:rPr>
      </w:pPr>
    </w:p>
    <w:tbl>
      <w:tblPr>
        <w:tblStyle w:val="8"/>
        <w:tblW w:w="875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462"/>
        <w:gridCol w:w="2121"/>
        <w:gridCol w:w="778"/>
        <w:gridCol w:w="60"/>
        <w:gridCol w:w="669"/>
        <w:gridCol w:w="16"/>
        <w:gridCol w:w="653"/>
        <w:gridCol w:w="413"/>
        <w:gridCol w:w="808"/>
        <w:gridCol w:w="315"/>
        <w:gridCol w:w="796"/>
        <w:gridCol w:w="1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95" w:hRule="atLeast"/>
          <w:jc w:val="center"/>
        </w:trPr>
        <w:tc>
          <w:tcPr>
            <w:tcW w:w="8753" w:type="dxa"/>
            <w:gridSpan w:val="13"/>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both"/>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金属结构设备维修工程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0" w:hRule="atLeast"/>
          <w:jc w:val="center"/>
        </w:trPr>
        <w:tc>
          <w:tcPr>
            <w:tcW w:w="636"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583" w:type="dxa"/>
            <w:gridSpan w:val="2"/>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 程 或 费 用 名 称</w:t>
            </w:r>
          </w:p>
        </w:tc>
        <w:tc>
          <w:tcPr>
            <w:tcW w:w="778"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45" w:type="dxa"/>
            <w:gridSpan w:val="3"/>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066" w:type="dxa"/>
            <w:gridSpan w:val="2"/>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p>
        </w:tc>
        <w:tc>
          <w:tcPr>
            <w:tcW w:w="1123" w:type="dxa"/>
            <w:gridSpan w:val="2"/>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p>
        </w:tc>
        <w:tc>
          <w:tcPr>
            <w:tcW w:w="1822" w:type="dxa"/>
            <w:gridSpan w:val="2"/>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jc w:val="center"/>
        </w:trPr>
        <w:tc>
          <w:tcPr>
            <w:tcW w:w="636"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583" w:type="dxa"/>
            <w:gridSpan w:val="2"/>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78"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45" w:type="dxa"/>
            <w:gridSpan w:val="3"/>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066" w:type="dxa"/>
            <w:gridSpan w:val="2"/>
            <w:tcBorders>
              <w:top w:val="nil"/>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1123" w:type="dxa"/>
            <w:gridSpan w:val="2"/>
            <w:tcBorders>
              <w:top w:val="nil"/>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（万元）</w:t>
            </w:r>
          </w:p>
        </w:tc>
        <w:tc>
          <w:tcPr>
            <w:tcW w:w="1822" w:type="dxa"/>
            <w:gridSpan w:val="2"/>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2583" w:type="dxa"/>
            <w:gridSpan w:val="2"/>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第三部分金属结构设备维修工程</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1"/>
                <w:szCs w:val="21"/>
                <w:u w:val="none"/>
              </w:rPr>
            </w:pPr>
          </w:p>
        </w:tc>
        <w:tc>
          <w:tcPr>
            <w:tcW w:w="74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1"/>
                <w:szCs w:val="21"/>
                <w:u w:val="none"/>
              </w:rPr>
            </w:pP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1"/>
                <w:szCs w:val="21"/>
                <w:u w:val="none"/>
              </w:rPr>
            </w:pP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12.8</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3.1</w:t>
            </w:r>
          </w:p>
        </w:tc>
        <w:tc>
          <w:tcPr>
            <w:tcW w:w="2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3个闸门除锈粉刷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74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（萨尔铁列克水库）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3.2</w:t>
            </w:r>
          </w:p>
        </w:tc>
        <w:tc>
          <w:tcPr>
            <w:tcW w:w="2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3个闸门除锈粉刷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（杜热水库）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3.3</w:t>
            </w:r>
          </w:p>
        </w:tc>
        <w:tc>
          <w:tcPr>
            <w:tcW w:w="2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3个启闭机更换液压油</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15000</w:t>
            </w: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（广汇煤制气供水工程）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3.4</w:t>
            </w:r>
          </w:p>
        </w:tc>
        <w:tc>
          <w:tcPr>
            <w:tcW w:w="2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3个闸门除锈粉刷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157.7</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2.68</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（广汇煤制气供水工程）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3.5</w:t>
            </w:r>
          </w:p>
        </w:tc>
        <w:tc>
          <w:tcPr>
            <w:tcW w:w="2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杜热水库南干渠水闸更换启闭机</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台</w:t>
            </w:r>
          </w:p>
        </w:tc>
        <w:tc>
          <w:tcPr>
            <w:tcW w:w="7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0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12670</w:t>
            </w:r>
          </w:p>
        </w:tc>
        <w:tc>
          <w:tcPr>
            <w:tcW w:w="11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7</w:t>
            </w:r>
          </w:p>
        </w:tc>
        <w:tc>
          <w:tcPr>
            <w:tcW w:w="18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center" w:pos="803"/>
              </w:tabs>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企标8T螺杆启闭机（手动）、含安装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jc w:val="center"/>
        </w:trPr>
        <w:tc>
          <w:tcPr>
            <w:tcW w:w="8753" w:type="dxa"/>
            <w:gridSpan w:val="1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Style w:val="21"/>
                <w:lang w:val="en-US" w:eastAsia="zh-CN" w:bidi="ar"/>
              </w:rPr>
              <w:t>施 工 临 时 工 程 概 算 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1098"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959" w:type="dxa"/>
            <w:gridSpan w:val="3"/>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 程 或 费 用 名 称</w:t>
            </w:r>
          </w:p>
        </w:tc>
        <w:tc>
          <w:tcPr>
            <w:tcW w:w="669" w:type="dxa"/>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69" w:type="dxa"/>
            <w:gridSpan w:val="2"/>
            <w:vMerge w:val="restar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221" w:type="dxa"/>
            <w:gridSpan w:val="2"/>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p>
        </w:tc>
        <w:tc>
          <w:tcPr>
            <w:tcW w:w="1111" w:type="dxa"/>
            <w:gridSpan w:val="2"/>
            <w:tcBorders>
              <w:top w:val="single" w:color="000000" w:sz="8" w:space="0"/>
              <w:left w:val="nil"/>
              <w:bottom w:val="nil"/>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合价</w:t>
            </w:r>
          </w:p>
        </w:tc>
        <w:tc>
          <w:tcPr>
            <w:tcW w:w="1026"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1098"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959" w:type="dxa"/>
            <w:gridSpan w:val="3"/>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669"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669" w:type="dxa"/>
            <w:gridSpan w:val="2"/>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21" w:type="dxa"/>
            <w:gridSpan w:val="2"/>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1111" w:type="dxa"/>
            <w:gridSpan w:val="2"/>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（万元）</w:t>
            </w:r>
          </w:p>
        </w:tc>
        <w:tc>
          <w:tcPr>
            <w:tcW w:w="1026"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1098" w:type="dxa"/>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2959" w:type="dxa"/>
            <w:gridSpan w:val="3"/>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22"/>
                <w:lang w:val="en-US" w:eastAsia="zh-CN" w:bidi="ar"/>
              </w:rPr>
              <w:t>第四部分：</w:t>
            </w:r>
            <w:r>
              <w:rPr>
                <w:rFonts w:hint="eastAsia" w:ascii="宋体" w:hAnsi="宋体" w:cs="宋体"/>
                <w:i w:val="0"/>
                <w:iCs w:val="0"/>
                <w:color w:val="000000"/>
                <w:kern w:val="0"/>
                <w:sz w:val="21"/>
                <w:szCs w:val="21"/>
                <w:u w:val="none"/>
                <w:lang w:val="en-US" w:eastAsia="zh-CN" w:bidi="ar"/>
              </w:rPr>
              <w:t>文明</w:t>
            </w:r>
            <w:r>
              <w:rPr>
                <w:rFonts w:hint="eastAsia" w:ascii="宋体" w:hAnsi="宋体" w:eastAsia="宋体" w:cs="宋体"/>
                <w:i w:val="0"/>
                <w:iCs w:val="0"/>
                <w:color w:val="000000"/>
                <w:kern w:val="0"/>
                <w:sz w:val="21"/>
                <w:szCs w:val="21"/>
                <w:u w:val="none"/>
                <w:lang w:val="en-US" w:eastAsia="zh-CN" w:bidi="ar"/>
              </w:rPr>
              <w:t>明施工费</w:t>
            </w:r>
          </w:p>
        </w:tc>
        <w:tc>
          <w:tcPr>
            <w:tcW w:w="669" w:type="dxa"/>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669" w:type="dxa"/>
            <w:gridSpan w:val="2"/>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1221" w:type="dxa"/>
            <w:gridSpan w:val="2"/>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b/>
                <w:bCs/>
                <w:i w:val="0"/>
                <w:iCs w:val="0"/>
                <w:color w:val="000000"/>
                <w:sz w:val="21"/>
                <w:szCs w:val="21"/>
                <w:u w:val="none"/>
              </w:rPr>
            </w:pPr>
          </w:p>
        </w:tc>
        <w:tc>
          <w:tcPr>
            <w:tcW w:w="1111" w:type="dxa"/>
            <w:gridSpan w:val="2"/>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c>
          <w:tcPr>
            <w:tcW w:w="1026"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1098" w:type="dxa"/>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r>
              <w:rPr>
                <w:rFonts w:hint="eastAsia" w:ascii="宋体" w:hAnsi="宋体" w:cs="宋体"/>
                <w:b/>
                <w:bCs/>
                <w:i w:val="0"/>
                <w:iCs w:val="0"/>
                <w:color w:val="000000"/>
                <w:kern w:val="0"/>
                <w:sz w:val="21"/>
                <w:szCs w:val="21"/>
                <w:u w:val="none"/>
                <w:lang w:val="en-US" w:eastAsia="zh-CN" w:bidi="ar"/>
              </w:rPr>
              <w:t>1</w:t>
            </w:r>
          </w:p>
        </w:tc>
        <w:tc>
          <w:tcPr>
            <w:tcW w:w="2959" w:type="dxa"/>
            <w:gridSpan w:val="3"/>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文</w:t>
            </w:r>
            <w:r>
              <w:rPr>
                <w:rFonts w:hint="eastAsia" w:ascii="宋体" w:hAnsi="宋体" w:eastAsia="宋体" w:cs="宋体"/>
                <w:i w:val="0"/>
                <w:iCs w:val="0"/>
                <w:color w:val="000000"/>
                <w:kern w:val="0"/>
                <w:sz w:val="21"/>
                <w:szCs w:val="21"/>
                <w:u w:val="none"/>
                <w:lang w:val="en-US" w:eastAsia="zh-CN" w:bidi="ar"/>
              </w:rPr>
              <w:t>明施工费</w:t>
            </w:r>
          </w:p>
        </w:tc>
        <w:tc>
          <w:tcPr>
            <w:tcW w:w="669"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69" w:type="dxa"/>
            <w:gridSpan w:val="2"/>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221" w:type="dxa"/>
            <w:gridSpan w:val="2"/>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366100</w:t>
            </w:r>
          </w:p>
        </w:tc>
        <w:tc>
          <w:tcPr>
            <w:tcW w:w="1111" w:type="dxa"/>
            <w:gridSpan w:val="2"/>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0.</w:t>
            </w:r>
            <w:r>
              <w:rPr>
                <w:rFonts w:hint="eastAsia" w:ascii="宋体" w:hAnsi="宋体" w:cs="宋体"/>
                <w:b/>
                <w:bCs/>
                <w:i w:val="0"/>
                <w:iCs w:val="0"/>
                <w:color w:val="000000"/>
                <w:kern w:val="0"/>
                <w:sz w:val="21"/>
                <w:szCs w:val="21"/>
                <w:u w:val="none"/>
                <w:lang w:val="en-US" w:eastAsia="zh-CN" w:bidi="ar"/>
              </w:rPr>
              <w:t>55</w:t>
            </w:r>
          </w:p>
        </w:tc>
        <w:tc>
          <w:tcPr>
            <w:tcW w:w="1026" w:type="dxa"/>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bl>
    <w:p>
      <w:pPr>
        <w:rPr>
          <w:rFonts w:hint="eastAsia" w:ascii="宋体" w:hAnsi="宋体" w:eastAsia="宋体" w:cs="宋体"/>
          <w:sz w:val="21"/>
          <w:szCs w:val="21"/>
        </w:rPr>
      </w:pPr>
    </w:p>
    <w:tbl>
      <w:tblPr>
        <w:tblStyle w:val="8"/>
        <w:tblW w:w="881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7"/>
        <w:gridCol w:w="2055"/>
        <w:gridCol w:w="3300"/>
        <w:gridCol w:w="15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jc w:val="center"/>
        </w:trPr>
        <w:tc>
          <w:tcPr>
            <w:tcW w:w="8815" w:type="dxa"/>
            <w:gridSpan w:val="4"/>
            <w:tcBorders>
              <w:top w:val="nil"/>
              <w:left w:val="nil"/>
              <w:bottom w:val="single" w:color="000000" w:sz="4" w:space="0"/>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 xml:space="preserve">        </w:t>
            </w:r>
            <w:r>
              <w:rPr>
                <w:rFonts w:hint="eastAsia" w:ascii="宋体" w:hAnsi="宋体" w:eastAsia="宋体" w:cs="宋体"/>
                <w:b/>
                <w:bCs/>
                <w:color w:val="auto"/>
                <w:kern w:val="0"/>
                <w:sz w:val="24"/>
                <w:szCs w:val="24"/>
                <w:lang w:val="en-US" w:eastAsia="zh-CN" w:bidi="ar"/>
              </w:rPr>
              <w:t xml:space="preserve"> 人工预算单价计算标准             单位：元/工时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艰苦边远地区类别</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四类区</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定额人工等级</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计算式</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执行水总（2014）429号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人工工日预算单价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人工工时预算单价*8（工时/工日）</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艰苦边远地区类别</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四类区</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定额人工等级</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计算式</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执行水总（2014）429号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人工工日预算单价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人工工时预算单价*8（工时/工日）</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艰苦边远地区类别</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四类区</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定额人工等级</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计算式</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执行水总（2014）429号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人工工日预算单价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人工工时预算单价*8（工时/工日）</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艰苦边远地区类别</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四类区</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定额人工等级</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计算式</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执行水总（2014）429号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9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0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人工工日预算单价</w:t>
            </w:r>
          </w:p>
        </w:tc>
        <w:tc>
          <w:tcPr>
            <w:tcW w:w="3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人工工时预算单价*8（工时/工日）</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40.80 </w:t>
            </w:r>
          </w:p>
        </w:tc>
      </w:tr>
    </w:tbl>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tbl>
      <w:tblPr>
        <w:tblStyle w:val="8"/>
        <w:tblW w:w="10540" w:type="dxa"/>
        <w:jc w:val="center"/>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3"/>
        <w:gridCol w:w="1602"/>
        <w:gridCol w:w="625"/>
        <w:gridCol w:w="655"/>
        <w:gridCol w:w="1013"/>
        <w:gridCol w:w="1088"/>
        <w:gridCol w:w="998"/>
        <w:gridCol w:w="1327"/>
        <w:gridCol w:w="1046"/>
        <w:gridCol w:w="758"/>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90" w:hRule="atLeast"/>
          <w:jc w:val="center"/>
        </w:trPr>
        <w:tc>
          <w:tcPr>
            <w:tcW w:w="10540" w:type="dxa"/>
            <w:gridSpan w:val="11"/>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FF0000"/>
                <w:sz w:val="36"/>
                <w:szCs w:val="36"/>
                <w:u w:val="none"/>
              </w:rPr>
            </w:pPr>
            <w:r>
              <w:rPr>
                <w:rFonts w:hint="eastAsia" w:ascii="宋体" w:hAnsi="宋体" w:eastAsia="宋体" w:cs="宋体"/>
                <w:b/>
                <w:bCs/>
                <w:color w:val="auto"/>
                <w:kern w:val="0"/>
                <w:sz w:val="24"/>
                <w:szCs w:val="24"/>
                <w:lang w:val="en-US" w:eastAsia="zh-CN" w:bidi="ar"/>
              </w:rPr>
              <w:t>主要材料预算价格计算表(采用富蕴县2023年11月份信息价格)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2" w:hRule="atLeast"/>
          <w:jc w:val="center"/>
        </w:trPr>
        <w:tc>
          <w:tcPr>
            <w:tcW w:w="36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60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2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5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1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88"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98"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2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4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8"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0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363"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60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62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5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原始依据</w:t>
            </w:r>
          </w:p>
        </w:tc>
        <w:tc>
          <w:tcPr>
            <w:tcW w:w="101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单位毛重（</w:t>
            </w:r>
            <w:r>
              <w:rPr>
                <w:rFonts w:hint="default" w:ascii="Times New Roman" w:hAnsi="Times New Roman" w:eastAsia="宋体" w:cs="Times New Roman"/>
                <w:i w:val="0"/>
                <w:iCs w:val="0"/>
                <w:color w:val="000000"/>
                <w:kern w:val="0"/>
                <w:sz w:val="21"/>
                <w:szCs w:val="21"/>
                <w:u w:val="none"/>
                <w:lang w:val="en-US" w:eastAsia="zh-CN" w:bidi="ar"/>
              </w:rPr>
              <w:t>t</w:t>
            </w:r>
            <w:r>
              <w:rPr>
                <w:rFonts w:hint="eastAsia" w:ascii="宋体" w:hAnsi="宋体" w:eastAsia="宋体" w:cs="宋体"/>
                <w:i w:val="0"/>
                <w:iCs w:val="0"/>
                <w:color w:val="000000"/>
                <w:kern w:val="0"/>
                <w:sz w:val="21"/>
                <w:szCs w:val="21"/>
                <w:u w:val="none"/>
                <w:lang w:val="en-US" w:eastAsia="zh-CN" w:bidi="ar"/>
              </w:rPr>
              <w:t>）</w:t>
            </w:r>
          </w:p>
        </w:tc>
        <w:tc>
          <w:tcPr>
            <w:tcW w:w="108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每吨运费（元）</w:t>
            </w:r>
          </w:p>
        </w:tc>
        <w:tc>
          <w:tcPr>
            <w:tcW w:w="5194"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价格（元）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36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60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原价（不含税）</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运杂费</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采购及保管费×1.1系数</w:t>
            </w:r>
          </w:p>
        </w:tc>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保险费</w:t>
            </w:r>
          </w:p>
        </w:tc>
        <w:tc>
          <w:tcPr>
            <w:tcW w:w="1065"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8" w:hRule="atLeast"/>
          <w:jc w:val="center"/>
        </w:trPr>
        <w:tc>
          <w:tcPr>
            <w:tcW w:w="363"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60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5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65"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7"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普通硅酸盐水泥42.5</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14.26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15.32</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479.58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7"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汽油（92#）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17.34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10552 </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348.78</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10917.84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7"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柴油（0#）</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17.34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8707 </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287.89</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9011.82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7"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260.66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3900</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260.66</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137.30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4297.96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原木</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0.93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18.29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17.01</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30.26</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947.27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板枋材</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0.75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18.29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13.72</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49.95</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1563.67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jc w:val="center"/>
        </w:trPr>
        <w:tc>
          <w:tcPr>
            <w:tcW w:w="363"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砂砾石料</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m³</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1.75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26.42 </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46.24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1.53</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0.00</w:t>
            </w:r>
          </w:p>
        </w:tc>
        <w:tc>
          <w:tcPr>
            <w:tcW w:w="106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47.76 </w:t>
            </w:r>
          </w:p>
        </w:tc>
      </w:tr>
    </w:tbl>
    <w:p>
      <w:pPr>
        <w:rPr>
          <w:rFonts w:hint="eastAsia" w:ascii="宋体" w:hAnsi="宋体" w:eastAsia="宋体" w:cs="宋体"/>
          <w:sz w:val="21"/>
          <w:szCs w:val="21"/>
        </w:rPr>
      </w:pPr>
    </w:p>
    <w:p>
      <w:pPr>
        <w:rPr>
          <w:rFonts w:hint="eastAsia" w:ascii="宋体" w:hAnsi="宋体" w:eastAsia="宋体" w:cs="宋体"/>
          <w:sz w:val="21"/>
          <w:szCs w:val="21"/>
        </w:rPr>
      </w:pPr>
    </w:p>
    <w:tbl>
      <w:tblPr>
        <w:tblStyle w:val="8"/>
        <w:tblW w:w="10009" w:type="dxa"/>
        <w:jc w:val="center"/>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1387"/>
        <w:gridCol w:w="600"/>
        <w:gridCol w:w="765"/>
        <w:gridCol w:w="861"/>
        <w:gridCol w:w="1342"/>
        <w:gridCol w:w="730"/>
        <w:gridCol w:w="706"/>
        <w:gridCol w:w="647"/>
        <w:gridCol w:w="1531"/>
        <w:gridCol w:w="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60" w:hRule="atLeast"/>
          <w:jc w:val="center"/>
        </w:trPr>
        <w:tc>
          <w:tcPr>
            <w:tcW w:w="10009" w:type="dxa"/>
            <w:gridSpan w:val="11"/>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FF0000"/>
                <w:sz w:val="32"/>
                <w:szCs w:val="32"/>
                <w:u w:val="none"/>
              </w:rPr>
            </w:pPr>
            <w:r>
              <w:rPr>
                <w:rFonts w:hint="eastAsia" w:ascii="宋体" w:hAnsi="宋体" w:eastAsia="宋体" w:cs="宋体"/>
                <w:b/>
                <w:bCs/>
                <w:color w:val="auto"/>
                <w:kern w:val="0"/>
                <w:sz w:val="24"/>
                <w:szCs w:val="24"/>
                <w:lang w:val="en-US" w:eastAsia="zh-CN" w:bidi="ar"/>
              </w:rPr>
              <w:t>主要材料运输费用计算表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材料编号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运输方式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船运</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交货地点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货物等级</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交货比例（﹪）</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装载系数</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 w:hRule="atLeast"/>
          <w:jc w:val="center"/>
        </w:trPr>
        <w:tc>
          <w:tcPr>
            <w:tcW w:w="100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运输费用项目</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运输起止地点</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运输距离（</w:t>
            </w:r>
            <w:r>
              <w:rPr>
                <w:rFonts w:hint="default" w:ascii="Times New Roman" w:hAnsi="Times New Roman" w:eastAsia="宋体" w:cs="Times New Roman"/>
                <w:i w:val="0"/>
                <w:iCs w:val="0"/>
                <w:color w:val="000000"/>
                <w:kern w:val="0"/>
                <w:sz w:val="21"/>
                <w:szCs w:val="21"/>
                <w:u w:val="none"/>
                <w:lang w:val="en-US" w:eastAsia="zh-CN" w:bidi="ar"/>
              </w:rPr>
              <w:t>km</w:t>
            </w:r>
            <w:r>
              <w:rPr>
                <w:rFonts w:hint="eastAsia" w:ascii="宋体" w:hAnsi="宋体" w:eastAsia="宋体" w:cs="宋体"/>
                <w:i w:val="0"/>
                <w:iCs w:val="0"/>
                <w:color w:val="000000"/>
                <w:kern w:val="0"/>
                <w:sz w:val="21"/>
                <w:szCs w:val="21"/>
                <w:u w:val="none"/>
                <w:lang w:val="en-US" w:eastAsia="zh-CN" w:bidi="ar"/>
              </w:rPr>
              <w:t>）</w:t>
            </w: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计算公式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公路运杂费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汽车运输</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恰库尔图</w:t>
            </w:r>
            <w:r>
              <w:rPr>
                <w:rFonts w:hint="default" w:ascii="Times New Roman" w:hAnsi="Times New Roman" w:eastAsia="宋体" w:cs="Times New Roman"/>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工地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w:t>
            </w:r>
          </w:p>
        </w:tc>
        <w:tc>
          <w:tcPr>
            <w:tcW w:w="730"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w:t>
            </w:r>
          </w:p>
        </w:tc>
        <w:tc>
          <w:tcPr>
            <w:tcW w:w="647"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3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0.58 </w:t>
            </w:r>
          </w:p>
        </w:tc>
        <w:tc>
          <w:tcPr>
            <w:tcW w:w="98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每吨运杂费</w:t>
            </w:r>
          </w:p>
        </w:tc>
        <w:tc>
          <w:tcPr>
            <w:tcW w:w="45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0"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材料编号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运输方式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船运</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交货地点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货物等级</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交货比例（﹪）</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装载系数</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 w:hRule="atLeast"/>
          <w:jc w:val="center"/>
        </w:trPr>
        <w:tc>
          <w:tcPr>
            <w:tcW w:w="100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运输费用项目</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运输起止地点</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运输距离（</w:t>
            </w:r>
            <w:r>
              <w:rPr>
                <w:rFonts w:hint="default" w:ascii="Times New Roman" w:hAnsi="Times New Roman" w:eastAsia="宋体" w:cs="Times New Roman"/>
                <w:i w:val="0"/>
                <w:iCs w:val="0"/>
                <w:color w:val="000000"/>
                <w:kern w:val="0"/>
                <w:sz w:val="21"/>
                <w:szCs w:val="21"/>
                <w:u w:val="none"/>
                <w:lang w:val="en-US" w:eastAsia="zh-CN" w:bidi="ar"/>
              </w:rPr>
              <w:t>km</w:t>
            </w:r>
            <w:r>
              <w:rPr>
                <w:rFonts w:hint="eastAsia" w:ascii="宋体" w:hAnsi="宋体" w:eastAsia="宋体" w:cs="宋体"/>
                <w:i w:val="0"/>
                <w:iCs w:val="0"/>
                <w:color w:val="000000"/>
                <w:kern w:val="0"/>
                <w:sz w:val="21"/>
                <w:szCs w:val="21"/>
                <w:u w:val="none"/>
                <w:lang w:val="en-US" w:eastAsia="zh-CN" w:bidi="ar"/>
              </w:rPr>
              <w:t>）</w:t>
            </w: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计算公式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公路运杂费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汽车运输</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恰库尔图</w:t>
            </w:r>
            <w:r>
              <w:rPr>
                <w:rFonts w:hint="default" w:ascii="Times New Roman" w:hAnsi="Times New Roman" w:eastAsia="宋体" w:cs="Times New Roman"/>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工地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60</w:t>
            </w:r>
          </w:p>
        </w:tc>
        <w:tc>
          <w:tcPr>
            <w:tcW w:w="730"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60</w:t>
            </w:r>
          </w:p>
        </w:tc>
        <w:tc>
          <w:tcPr>
            <w:tcW w:w="647"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3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0.58 </w:t>
            </w:r>
          </w:p>
        </w:tc>
        <w:tc>
          <w:tcPr>
            <w:tcW w:w="98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每吨运杂费</w:t>
            </w:r>
          </w:p>
        </w:tc>
        <w:tc>
          <w:tcPr>
            <w:tcW w:w="45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0"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jc w:val="center"/>
        </w:trPr>
        <w:tc>
          <w:tcPr>
            <w:tcW w:w="10009" w:type="dxa"/>
            <w:gridSpan w:val="11"/>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32"/>
                <w:szCs w:val="32"/>
                <w:u w:val="none"/>
              </w:rPr>
            </w:pPr>
            <w:r>
              <w:rPr>
                <w:rFonts w:hint="eastAsia" w:ascii="宋体" w:hAnsi="宋体" w:eastAsia="宋体" w:cs="宋体"/>
                <w:b/>
                <w:bCs/>
                <w:color w:val="auto"/>
                <w:kern w:val="0"/>
                <w:sz w:val="24"/>
                <w:szCs w:val="24"/>
                <w:lang w:val="en-US" w:eastAsia="zh-CN" w:bidi="ar"/>
              </w:rPr>
              <w:t>主要材料运输费用计算表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原木</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材料编号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运输方式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船运</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交货地点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货物等级</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交货比例（﹪）</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装载系数</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 w:hRule="atLeast"/>
          <w:jc w:val="center"/>
        </w:trPr>
        <w:tc>
          <w:tcPr>
            <w:tcW w:w="100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运输费用项目</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运输起止地点</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运输距离（</w:t>
            </w:r>
            <w:r>
              <w:rPr>
                <w:rFonts w:hint="default" w:ascii="Times New Roman" w:hAnsi="Times New Roman" w:eastAsia="宋体" w:cs="Times New Roman"/>
                <w:i w:val="0"/>
                <w:iCs w:val="0"/>
                <w:color w:val="000000"/>
                <w:kern w:val="0"/>
                <w:sz w:val="21"/>
                <w:szCs w:val="21"/>
                <w:u w:val="none"/>
                <w:lang w:val="en-US" w:eastAsia="zh-CN" w:bidi="ar"/>
              </w:rPr>
              <w:t>km</w:t>
            </w:r>
            <w:r>
              <w:rPr>
                <w:rFonts w:hint="eastAsia" w:ascii="宋体" w:hAnsi="宋体" w:eastAsia="宋体" w:cs="宋体"/>
                <w:i w:val="0"/>
                <w:iCs w:val="0"/>
                <w:color w:val="000000"/>
                <w:kern w:val="0"/>
                <w:sz w:val="21"/>
                <w:szCs w:val="21"/>
                <w:u w:val="none"/>
                <w:lang w:val="en-US" w:eastAsia="zh-CN" w:bidi="ar"/>
              </w:rPr>
              <w:t>）</w:t>
            </w: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计算公式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公路运杂费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汽车运输</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恰库尔图</w:t>
            </w:r>
            <w:r>
              <w:rPr>
                <w:rFonts w:hint="default" w:ascii="Times New Roman" w:hAnsi="Times New Roman" w:eastAsia="宋体" w:cs="Times New Roman"/>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工地地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w:t>
            </w:r>
          </w:p>
        </w:tc>
        <w:tc>
          <w:tcPr>
            <w:tcW w:w="730"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w:t>
            </w:r>
          </w:p>
        </w:tc>
        <w:tc>
          <w:tcPr>
            <w:tcW w:w="647"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3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0.48 </w:t>
            </w:r>
          </w:p>
        </w:tc>
        <w:tc>
          <w:tcPr>
            <w:tcW w:w="98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28</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每吨运杂费</w:t>
            </w:r>
          </w:p>
        </w:tc>
        <w:tc>
          <w:tcPr>
            <w:tcW w:w="45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5"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板枋材</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材料编号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运输方式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船运</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交货地点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货物等级</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交货比例（﹪）</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装载系数</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 w:hRule="atLeast"/>
          <w:jc w:val="center"/>
        </w:trPr>
        <w:tc>
          <w:tcPr>
            <w:tcW w:w="100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运输费用项目</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运输起止地点</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运输距离（</w:t>
            </w:r>
            <w:r>
              <w:rPr>
                <w:rFonts w:hint="default" w:ascii="Times New Roman" w:hAnsi="Times New Roman" w:eastAsia="宋体" w:cs="Times New Roman"/>
                <w:i w:val="0"/>
                <w:iCs w:val="0"/>
                <w:color w:val="000000"/>
                <w:kern w:val="0"/>
                <w:sz w:val="21"/>
                <w:szCs w:val="21"/>
                <w:u w:val="none"/>
                <w:lang w:val="en-US" w:eastAsia="zh-CN" w:bidi="ar"/>
              </w:rPr>
              <w:t>km</w:t>
            </w:r>
            <w:r>
              <w:rPr>
                <w:rFonts w:hint="eastAsia" w:ascii="宋体" w:hAnsi="宋体" w:eastAsia="宋体" w:cs="宋体"/>
                <w:i w:val="0"/>
                <w:iCs w:val="0"/>
                <w:color w:val="000000"/>
                <w:kern w:val="0"/>
                <w:sz w:val="21"/>
                <w:szCs w:val="21"/>
                <w:u w:val="none"/>
                <w:lang w:val="en-US" w:eastAsia="zh-CN" w:bidi="ar"/>
              </w:rPr>
              <w:t>）</w:t>
            </w: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计算公式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公路运杂费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汽车运输</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恰库尔图</w:t>
            </w:r>
            <w:r>
              <w:rPr>
                <w:rFonts w:hint="eastAsia" w:ascii="宋体" w:hAnsi="宋体" w:eastAsia="宋体" w:cs="宋体"/>
                <w:i w:val="0"/>
                <w:iCs w:val="0"/>
                <w:color w:val="000000"/>
                <w:kern w:val="0"/>
                <w:sz w:val="16"/>
                <w:szCs w:val="16"/>
                <w:u w:val="none"/>
                <w:lang w:val="en-US" w:eastAsia="zh-CN" w:bidi="ar"/>
              </w:rPr>
              <w:t>-工地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w:t>
            </w:r>
          </w:p>
        </w:tc>
        <w:tc>
          <w:tcPr>
            <w:tcW w:w="730"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60</w:t>
            </w:r>
          </w:p>
        </w:tc>
        <w:tc>
          <w:tcPr>
            <w:tcW w:w="647"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3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0.48 </w:t>
            </w:r>
          </w:p>
        </w:tc>
        <w:tc>
          <w:tcPr>
            <w:tcW w:w="984"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28</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每吨运杂费</w:t>
            </w:r>
          </w:p>
        </w:tc>
        <w:tc>
          <w:tcPr>
            <w:tcW w:w="45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30</w:t>
            </w:r>
            <w:r>
              <w:rPr>
                <w:rFonts w:hint="default"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5"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材料编号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运输方式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船运</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交货地点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货物等级</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交货比例（﹪）</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装载系数</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00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运输费用项目</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运输起止地点</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运输距离（</w:t>
            </w:r>
            <w:r>
              <w:rPr>
                <w:rFonts w:hint="default" w:ascii="Times New Roman" w:hAnsi="Times New Roman" w:eastAsia="宋体" w:cs="Times New Roman"/>
                <w:i w:val="0"/>
                <w:iCs w:val="0"/>
                <w:color w:val="000000"/>
                <w:kern w:val="0"/>
                <w:sz w:val="21"/>
                <w:szCs w:val="21"/>
                <w:u w:val="none"/>
                <w:lang w:val="en-US" w:eastAsia="zh-CN" w:bidi="ar"/>
              </w:rPr>
              <w:t>km</w:t>
            </w:r>
            <w:r>
              <w:rPr>
                <w:rFonts w:hint="eastAsia" w:ascii="宋体" w:hAnsi="宋体" w:eastAsia="宋体" w:cs="宋体"/>
                <w:i w:val="0"/>
                <w:iCs w:val="0"/>
                <w:color w:val="000000"/>
                <w:kern w:val="0"/>
                <w:sz w:val="21"/>
                <w:szCs w:val="21"/>
                <w:u w:val="none"/>
                <w:lang w:val="en-US" w:eastAsia="zh-CN" w:bidi="ar"/>
              </w:rPr>
              <w:t>）</w:t>
            </w: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计算公式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公路运杂费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汽车运输</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恰库尔图-工地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730"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47" w:type="dxa"/>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3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0.48 </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54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每吨运杂费</w:t>
            </w:r>
          </w:p>
        </w:tc>
        <w:tc>
          <w:tcPr>
            <w:tcW w:w="45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70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3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8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jc w:val="center"/>
        </w:trPr>
        <w:tc>
          <w:tcPr>
            <w:tcW w:w="10009" w:type="dxa"/>
            <w:gridSpan w:val="11"/>
            <w:tcBorders>
              <w:top w:val="nil"/>
              <w:left w:val="nil"/>
              <w:bottom w:val="nil"/>
              <w:right w:val="nil"/>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32"/>
                <w:szCs w:val="32"/>
                <w:u w:val="none"/>
              </w:rPr>
            </w:pPr>
            <w:r>
              <w:rPr>
                <w:rFonts w:hint="eastAsia" w:ascii="宋体" w:hAnsi="宋体" w:eastAsia="宋体" w:cs="宋体"/>
                <w:b/>
                <w:bCs/>
                <w:color w:val="auto"/>
                <w:kern w:val="0"/>
                <w:sz w:val="24"/>
                <w:szCs w:val="24"/>
                <w:lang w:val="en-US" w:eastAsia="zh-CN" w:bidi="ar"/>
              </w:rPr>
              <w:t>主要材料运输费用计算表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砂、石子</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材料编号</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交货条件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汽运</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运输方式</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船运</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交货地点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货物等级</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交货比例（﹪）</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装载系数</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 w:hRule="atLeast"/>
          <w:jc w:val="center"/>
        </w:trPr>
        <w:tc>
          <w:tcPr>
            <w:tcW w:w="100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运输费用项目</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运输起止地点</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运输距离（</w:t>
            </w:r>
            <w:r>
              <w:rPr>
                <w:rFonts w:hint="default" w:ascii="Times New Roman" w:hAnsi="Times New Roman" w:eastAsia="宋体" w:cs="Times New Roman"/>
                <w:i w:val="0"/>
                <w:iCs w:val="0"/>
                <w:color w:val="000000"/>
                <w:kern w:val="0"/>
                <w:sz w:val="21"/>
                <w:szCs w:val="21"/>
                <w:u w:val="none"/>
                <w:lang w:val="en-US" w:eastAsia="zh-CN" w:bidi="ar"/>
              </w:rPr>
              <w:t>km</w:t>
            </w:r>
            <w:r>
              <w:rPr>
                <w:rFonts w:hint="eastAsia" w:ascii="宋体" w:hAnsi="宋体" w:eastAsia="宋体" w:cs="宋体"/>
                <w:i w:val="0"/>
                <w:iCs w:val="0"/>
                <w:color w:val="000000"/>
                <w:kern w:val="0"/>
                <w:sz w:val="21"/>
                <w:szCs w:val="21"/>
                <w:u w:val="none"/>
                <w:lang w:val="en-US" w:eastAsia="zh-CN" w:bidi="ar"/>
              </w:rPr>
              <w:t>）</w:t>
            </w: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计算公式</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公路运杂费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汽车运输</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料场-工地</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0.41 </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9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卸车费</w:t>
            </w:r>
          </w:p>
        </w:tc>
        <w:tc>
          <w:tcPr>
            <w:tcW w:w="16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361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541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每吨运杂费</w:t>
            </w:r>
          </w:p>
        </w:tc>
        <w:tc>
          <w:tcPr>
            <w:tcW w:w="45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706"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647"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531"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984"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0"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8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65"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1"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4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0"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706"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647"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531"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984" w:type="dxa"/>
            <w:tcBorders>
              <w:top w:val="nil"/>
              <w:left w:val="nil"/>
              <w:bottom w:val="nil"/>
              <w:right w:val="nil"/>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r>
    </w:tbl>
    <w:p>
      <w:pPr>
        <w:jc w:val="center"/>
        <w:rPr>
          <w:rFonts w:hint="eastAsia" w:ascii="宋体" w:hAnsi="宋体" w:eastAsia="宋体" w:cs="宋体"/>
          <w:sz w:val="21"/>
          <w:szCs w:val="21"/>
        </w:rPr>
      </w:pPr>
    </w:p>
    <w:tbl>
      <w:tblPr>
        <w:tblStyle w:val="8"/>
        <w:tblW w:w="10137" w:type="dxa"/>
        <w:jc w:val="center"/>
        <w:tblInd w:w="-8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98"/>
        <w:gridCol w:w="838"/>
        <w:gridCol w:w="1080"/>
        <w:gridCol w:w="846"/>
        <w:gridCol w:w="885"/>
        <w:gridCol w:w="1509"/>
        <w:gridCol w:w="1080"/>
        <w:gridCol w:w="1080"/>
        <w:gridCol w:w="696"/>
        <w:gridCol w:w="1035"/>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5" w:hRule="atLeast"/>
          <w:jc w:val="center"/>
        </w:trPr>
        <w:tc>
          <w:tcPr>
            <w:tcW w:w="10137"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bCs/>
                <w:color w:val="auto"/>
                <w:kern w:val="0"/>
                <w:sz w:val="24"/>
                <w:szCs w:val="24"/>
                <w:lang w:val="en-US" w:eastAsia="zh-CN" w:bidi="ar"/>
              </w:rPr>
              <w:t>主要材料运输费用计算表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材料名称</w:t>
            </w:r>
          </w:p>
        </w:tc>
        <w:tc>
          <w:tcPr>
            <w:tcW w:w="285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砂砾石料</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材料编号</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交货条件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汽运</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运输方式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火车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汽车</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船运</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火车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交货地点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工地</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货物等级</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整车</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零担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交货比例（﹪）</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装载系数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10137"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0" w:hRule="atLeast"/>
          <w:jc w:val="center"/>
        </w:trPr>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编号</w:t>
            </w:r>
          </w:p>
        </w:tc>
        <w:tc>
          <w:tcPr>
            <w:tcW w:w="19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运输费用项目</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运输起止地点</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运输距离（km）</w:t>
            </w:r>
          </w:p>
        </w:tc>
        <w:tc>
          <w:tcPr>
            <w:tcW w:w="389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计算公式</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9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公路运杂费</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89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汽车运输</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料场-工地</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0.41</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装车费</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89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卸车费</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89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jc w:val="center"/>
        </w:trPr>
        <w:tc>
          <w:tcPr>
            <w:tcW w:w="555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每吨运杂费</w:t>
            </w:r>
          </w:p>
        </w:tc>
        <w:tc>
          <w:tcPr>
            <w:tcW w:w="458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26.42</w:t>
            </w:r>
          </w:p>
        </w:tc>
      </w:tr>
    </w:tbl>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tbl>
      <w:tblPr>
        <w:tblStyle w:val="8"/>
        <w:tblW w:w="8605" w:type="dxa"/>
        <w:jc w:val="center"/>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2879"/>
        <w:gridCol w:w="492"/>
        <w:gridCol w:w="1210"/>
        <w:gridCol w:w="732"/>
        <w:gridCol w:w="863"/>
        <w:gridCol w:w="897"/>
        <w:gridCol w:w="10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60" w:hRule="atLeast"/>
          <w:jc w:val="center"/>
        </w:trPr>
        <w:tc>
          <w:tcPr>
            <w:tcW w:w="8605"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主要材料预算价格汇总表（基价）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879"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9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2"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3"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7"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7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预算价</w:t>
            </w:r>
          </w:p>
        </w:tc>
        <w:tc>
          <w:tcPr>
            <w:tcW w:w="35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原价</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运杂费</w:t>
            </w:r>
          </w:p>
        </w:tc>
        <w:tc>
          <w:tcPr>
            <w:tcW w:w="8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运输保险费</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采购及保管费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普通硅酸盐水泥42.5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255.00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汽油（92#）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3075.00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2990.00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2560.00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原木</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r>
              <w:rPr>
                <w:rFonts w:hint="eastAsia" w:ascii="宋体" w:hAnsi="宋体" w:eastAsia="宋体" w:cs="宋体"/>
                <w:i w:val="0"/>
                <w:iCs w:val="0"/>
                <w:color w:val="000000"/>
                <w:kern w:val="0"/>
                <w:sz w:val="21"/>
                <w:szCs w:val="21"/>
                <w:u w:val="none"/>
                <w:vertAlign w:val="superscript"/>
                <w:lang w:val="en-US" w:eastAsia="zh-CN" w:bidi="ar"/>
              </w:rPr>
              <w:t>3</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947.27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17.01</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板枋材</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r>
              <w:rPr>
                <w:rFonts w:hint="eastAsia" w:ascii="宋体" w:hAnsi="宋体" w:eastAsia="宋体" w:cs="宋体"/>
                <w:i w:val="0"/>
                <w:iCs w:val="0"/>
                <w:color w:val="000000"/>
                <w:kern w:val="0"/>
                <w:sz w:val="21"/>
                <w:szCs w:val="21"/>
                <w:u w:val="none"/>
                <w:vertAlign w:val="superscript"/>
                <w:lang w:val="en-US" w:eastAsia="zh-CN" w:bidi="ar"/>
              </w:rPr>
              <w:t>3</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1563.67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13.72</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砂砾石料</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m³</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47.76 </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46.24</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1.53</w:t>
            </w:r>
          </w:p>
        </w:tc>
      </w:tr>
    </w:tbl>
    <w:p>
      <w:pPr>
        <w:pStyle w:val="14"/>
        <w:bidi w:val="0"/>
        <w:ind w:left="0" w:leftChars="0" w:firstLine="0" w:firstLineChars="0"/>
        <w:rPr>
          <w:rFonts w:hint="eastAsia" w:ascii="宋体" w:hAnsi="宋体" w:eastAsia="宋体" w:cs="宋体"/>
          <w:sz w:val="21"/>
          <w:szCs w:val="21"/>
        </w:rPr>
      </w:pPr>
    </w:p>
    <w:tbl>
      <w:tblPr>
        <w:tblStyle w:val="8"/>
        <w:tblW w:w="90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
        <w:gridCol w:w="2148"/>
        <w:gridCol w:w="426"/>
        <w:gridCol w:w="1128"/>
        <w:gridCol w:w="1176"/>
        <w:gridCol w:w="846"/>
        <w:gridCol w:w="740"/>
        <w:gridCol w:w="906"/>
        <w:gridCol w:w="12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3" w:hRule="atLeast"/>
          <w:jc w:val="center"/>
        </w:trPr>
        <w:tc>
          <w:tcPr>
            <w:tcW w:w="9060" w:type="dxa"/>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主要材料预算价格汇总表（市场价）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 w:hRule="atLeast"/>
          <w:jc w:val="center"/>
        </w:trPr>
        <w:tc>
          <w:tcPr>
            <w:tcW w:w="42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48"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2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28"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7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40"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06" w:type="dxa"/>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单位:元</w:t>
            </w:r>
          </w:p>
        </w:tc>
        <w:tc>
          <w:tcPr>
            <w:tcW w:w="1264" w:type="dxa"/>
            <w:tcBorders>
              <w:top w:val="nil"/>
              <w:left w:val="nil"/>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jc w:val="center"/>
        </w:trPr>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1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预算价</w:t>
            </w:r>
          </w:p>
        </w:tc>
        <w:tc>
          <w:tcPr>
            <w:tcW w:w="3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w:t>
            </w:r>
          </w:p>
        </w:tc>
        <w:tc>
          <w:tcPr>
            <w:tcW w:w="12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材料</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原价</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运杂费</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运输保险费</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采购及保管费</w:t>
            </w:r>
          </w:p>
        </w:tc>
        <w:tc>
          <w:tcPr>
            <w:tcW w:w="12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普通硅酸盐水泥42.5</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t</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479.58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14.26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15.32</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汽油（92#）</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10917.84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1055</w:t>
            </w:r>
            <w:r>
              <w:rPr>
                <w:rFonts w:hint="eastAsia" w:ascii="宋体" w:hAnsi="宋体" w:cs="宋体"/>
                <w:i w:val="0"/>
                <w:iCs w:val="0"/>
                <w:color w:val="000000"/>
                <w:kern w:val="0"/>
                <w:sz w:val="21"/>
                <w:szCs w:val="21"/>
                <w:u w:val="none"/>
                <w:lang w:val="en-US" w:eastAsia="zh-CN"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348.78</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7842.84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柴油（0#）</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9011.82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870</w:t>
            </w:r>
            <w:r>
              <w:rPr>
                <w:rFonts w:hint="eastAsia" w:ascii="宋体" w:hAnsi="宋体" w:cs="宋体"/>
                <w:i w:val="0"/>
                <w:iCs w:val="0"/>
                <w:color w:val="000000"/>
                <w:kern w:val="0"/>
                <w:sz w:val="21"/>
                <w:szCs w:val="21"/>
                <w:u w:val="none"/>
                <w:lang w:val="en-US" w:eastAsia="zh-CN" w:bidi="ar"/>
              </w:rPr>
              <w:t>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287.89</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4297.96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260.66</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137.30</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原木</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r>
              <w:rPr>
                <w:rFonts w:hint="eastAsia" w:ascii="宋体" w:hAnsi="宋体" w:eastAsia="宋体" w:cs="宋体"/>
                <w:i w:val="0"/>
                <w:iCs w:val="0"/>
                <w:color w:val="000000"/>
                <w:kern w:val="0"/>
                <w:sz w:val="21"/>
                <w:szCs w:val="21"/>
                <w:u w:val="none"/>
                <w:vertAlign w:val="superscript"/>
                <w:lang w:val="en-US" w:eastAsia="zh-CN"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947.27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17.01</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30.26</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板枋材</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r>
              <w:rPr>
                <w:rFonts w:hint="eastAsia" w:ascii="宋体" w:hAnsi="宋体" w:eastAsia="宋体" w:cs="宋体"/>
                <w:i w:val="0"/>
                <w:iCs w:val="0"/>
                <w:color w:val="000000"/>
                <w:kern w:val="0"/>
                <w:sz w:val="21"/>
                <w:szCs w:val="21"/>
                <w:u w:val="none"/>
                <w:vertAlign w:val="superscript"/>
                <w:lang w:val="en-US" w:eastAsia="zh-CN"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1563.67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49.95</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1" w:hRule="atLeast"/>
          <w:jc w:val="center"/>
        </w:trPr>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砂砾石料</w:t>
            </w:r>
          </w:p>
        </w:tc>
        <w:tc>
          <w:tcPr>
            <w:tcW w:w="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w:t>
            </w:r>
            <w:r>
              <w:rPr>
                <w:rFonts w:hint="eastAsia" w:ascii="宋体" w:hAnsi="宋体" w:eastAsia="宋体" w:cs="宋体"/>
                <w:i w:val="0"/>
                <w:iCs w:val="0"/>
                <w:color w:val="000000"/>
                <w:kern w:val="0"/>
                <w:sz w:val="21"/>
                <w:szCs w:val="21"/>
                <w:u w:val="none"/>
                <w:vertAlign w:val="superscript"/>
                <w:lang w:val="en-US" w:eastAsia="zh-CN"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47.76 </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46.24</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1.53</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r>
    </w:tbl>
    <w:p>
      <w:pPr>
        <w:pStyle w:val="14"/>
        <w:bidi w:val="0"/>
        <w:rPr>
          <w:rFonts w:hint="eastAsia" w:ascii="宋体" w:hAnsi="宋体" w:eastAsia="宋体" w:cs="宋体"/>
          <w:sz w:val="21"/>
          <w:szCs w:val="21"/>
        </w:rPr>
      </w:pPr>
    </w:p>
    <w:tbl>
      <w:tblPr>
        <w:tblStyle w:val="8"/>
        <w:tblW w:w="898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3"/>
        <w:gridCol w:w="5447"/>
        <w:gridCol w:w="913"/>
        <w:gridCol w:w="10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jc w:val="center"/>
        </w:trPr>
        <w:tc>
          <w:tcPr>
            <w:tcW w:w="8980" w:type="dxa"/>
            <w:gridSpan w:val="4"/>
            <w:tcBorders>
              <w:top w:val="nil"/>
              <w:left w:val="nil"/>
              <w:bottom w:val="nil"/>
              <w:right w:val="nil"/>
            </w:tcBorders>
            <w:noWrap/>
            <w:vAlign w:val="bottom"/>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电、水、风价计算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(一)电价计算</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施工用电采用电网供电0%。</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电网供电</w:t>
            </w:r>
          </w:p>
        </w:tc>
        <w:tc>
          <w:tcPr>
            <w:tcW w:w="544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0.55/(1-5%)/(1-7%)+0.05=</w:t>
            </w: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0.67</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移动柴油发电机30Kw两台，100%。</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自发电</w:t>
            </w:r>
          </w:p>
        </w:tc>
        <w:tc>
          <w:tcPr>
            <w:tcW w:w="544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(85.71*2)/(30*2*0.85)/(1-5%)/(1-7%)+0.07+0.05=</w:t>
            </w: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3.92</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综合预算电价</w:t>
            </w:r>
          </w:p>
        </w:tc>
        <w:tc>
          <w:tcPr>
            <w:tcW w:w="544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0.67*0%+3.92*100%=</w:t>
            </w: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3.92</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(二)水价计算</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施工用水采用潜水泵2.2kw供水。</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台时总费用</w:t>
            </w: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19.37</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出水量</w:t>
            </w: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 </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运费</w:t>
            </w:r>
          </w:p>
        </w:tc>
        <w:tc>
          <w:tcPr>
            <w:tcW w:w="5447"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预算水价</w:t>
            </w:r>
          </w:p>
        </w:tc>
        <w:tc>
          <w:tcPr>
            <w:tcW w:w="5447"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2.58</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元/m</w:t>
            </w:r>
            <w:r>
              <w:rPr>
                <w:rFonts w:hint="eastAsia" w:ascii="宋体" w:hAnsi="宋体" w:eastAsia="宋体" w:cs="宋体"/>
                <w:i w:val="0"/>
                <w:iCs w:val="0"/>
                <w:color w:val="auto"/>
                <w:kern w:val="0"/>
                <w:sz w:val="21"/>
                <w:szCs w:val="21"/>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5447"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(三)风价计算</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953" w:type="dxa"/>
            <w:gridSpan w:val="3"/>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施工用风采用电动移动式空压机，排风量9m</w:t>
            </w:r>
            <w:r>
              <w:rPr>
                <w:rFonts w:hint="eastAsia" w:ascii="宋体" w:hAnsi="宋体" w:eastAsia="宋体" w:cs="宋体"/>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/min，循环水冷却。</w:t>
            </w: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7040" w:type="dxa"/>
            <w:gridSpan w:val="2"/>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空压机(9m</w:t>
            </w:r>
            <w:r>
              <w:rPr>
                <w:rFonts w:hint="eastAsia" w:ascii="宋体" w:hAnsi="宋体" w:eastAsia="宋体" w:cs="宋体"/>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/分)</w:t>
            </w:r>
          </w:p>
        </w:tc>
        <w:tc>
          <w:tcPr>
            <w:tcW w:w="913"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102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台时总费用</w:t>
            </w:r>
          </w:p>
        </w:tc>
        <w:tc>
          <w:tcPr>
            <w:tcW w:w="5447" w:type="dxa"/>
            <w:tcBorders>
              <w:top w:val="nil"/>
              <w:left w:val="nil"/>
              <w:bottom w:val="nil"/>
              <w:right w:val="nil"/>
            </w:tcBorders>
            <w:noWrap/>
            <w:vAlign w:val="bottom"/>
          </w:tcPr>
          <w:p>
            <w:pPr>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238.14</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总风量</w:t>
            </w:r>
          </w:p>
        </w:tc>
        <w:tc>
          <w:tcPr>
            <w:tcW w:w="544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9*60</w:t>
            </w: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540</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1593"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预算风价</w:t>
            </w:r>
          </w:p>
        </w:tc>
        <w:tc>
          <w:tcPr>
            <w:tcW w:w="5447" w:type="dxa"/>
            <w:tcBorders>
              <w:top w:val="nil"/>
              <w:left w:val="nil"/>
              <w:bottom w:val="nil"/>
              <w:right w:val="nil"/>
            </w:tcBorders>
            <w:noWrap/>
            <w:vAlign w:val="bottom"/>
          </w:tcPr>
          <w:p>
            <w:pPr>
              <w:jc w:val="left"/>
              <w:rPr>
                <w:rFonts w:hint="eastAsia" w:ascii="宋体" w:hAnsi="宋体" w:eastAsia="宋体" w:cs="宋体"/>
                <w:i w:val="0"/>
                <w:iCs w:val="0"/>
                <w:color w:val="auto"/>
                <w:sz w:val="21"/>
                <w:szCs w:val="21"/>
                <w:u w:val="none"/>
              </w:rPr>
            </w:pPr>
          </w:p>
        </w:tc>
        <w:tc>
          <w:tcPr>
            <w:tcW w:w="913" w:type="dxa"/>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0.59</w:t>
            </w:r>
          </w:p>
        </w:tc>
        <w:tc>
          <w:tcPr>
            <w:tcW w:w="1027" w:type="dxa"/>
            <w:tcBorders>
              <w:top w:val="nil"/>
              <w:left w:val="nil"/>
              <w:bottom w:val="nil"/>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元/m</w:t>
            </w:r>
            <w:r>
              <w:rPr>
                <w:rFonts w:hint="eastAsia" w:ascii="宋体" w:hAnsi="宋体" w:eastAsia="宋体" w:cs="宋体"/>
                <w:i w:val="0"/>
                <w:iCs w:val="0"/>
                <w:color w:val="auto"/>
                <w:kern w:val="0"/>
                <w:sz w:val="21"/>
                <w:szCs w:val="21"/>
                <w:u w:val="none"/>
                <w:vertAlign w:val="superscript"/>
                <w:lang w:val="en-US" w:eastAsia="zh-CN" w:bidi="ar"/>
              </w:rPr>
              <w:t>3</w:t>
            </w:r>
          </w:p>
        </w:tc>
      </w:tr>
    </w:tbl>
    <w:p>
      <w:pPr>
        <w:pStyle w:val="2"/>
        <w:rPr>
          <w:rFonts w:hint="eastAsia" w:ascii="宋体" w:hAnsi="宋体" w:eastAsia="宋体" w:cs="宋体"/>
          <w:sz w:val="21"/>
          <w:szCs w:val="21"/>
        </w:rPr>
        <w:sectPr>
          <w:footerReference r:id="rId7" w:type="default"/>
          <w:pgSz w:w="11906" w:h="16838"/>
          <w:pgMar w:top="1440" w:right="1800" w:bottom="1440" w:left="1800" w:header="851" w:footer="992" w:gutter="0"/>
          <w:pgNumType w:fmt="numberInDash" w:start="1"/>
          <w:cols w:space="720" w:num="1"/>
          <w:docGrid w:type="lines" w:linePitch="312" w:charSpace="0"/>
        </w:sectPr>
      </w:pPr>
    </w:p>
    <w:tbl>
      <w:tblPr>
        <w:tblStyle w:val="8"/>
        <w:tblW w:w="14189" w:type="dxa"/>
        <w:jc w:val="righ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9"/>
        <w:gridCol w:w="2634"/>
        <w:gridCol w:w="850"/>
        <w:gridCol w:w="1097"/>
        <w:gridCol w:w="1250"/>
        <w:gridCol w:w="2186"/>
        <w:gridCol w:w="1867"/>
        <w:gridCol w:w="1283"/>
        <w:gridCol w:w="881"/>
        <w:gridCol w:w="1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8" w:hRule="atLeast"/>
          <w:jc w:val="right"/>
        </w:trPr>
        <w:tc>
          <w:tcPr>
            <w:tcW w:w="14189" w:type="dxa"/>
            <w:gridSpan w:val="10"/>
            <w:tcBorders>
              <w:top w:val="nil"/>
              <w:left w:val="nil"/>
              <w:bottom w:val="single" w:color="000000" w:sz="4" w:space="0"/>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施工机械台时费汇总表(基价)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63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台时费</w:t>
            </w:r>
          </w:p>
        </w:tc>
        <w:tc>
          <w:tcPr>
            <w:tcW w:w="10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一类费用</w:t>
            </w: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二类费用</w:t>
            </w:r>
          </w:p>
        </w:tc>
        <w:tc>
          <w:tcPr>
            <w:tcW w:w="7569"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63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9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折旧费除以1.13调整系数</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修理费除以1.09调整系数</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安拆费</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动力燃料费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8028</w:t>
            </w:r>
          </w:p>
        </w:tc>
        <w:tc>
          <w:tcPr>
            <w:tcW w:w="2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柴油发电机 移动式 30kW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41.15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6.40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34.74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1.81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4.00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0.59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12.62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9038</w:t>
            </w:r>
          </w:p>
        </w:tc>
        <w:tc>
          <w:tcPr>
            <w:tcW w:w="2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潜水泵 2.2kW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19.41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2.84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16.57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0.35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1.83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0.66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8017</w:t>
            </w:r>
          </w:p>
        </w:tc>
        <w:tc>
          <w:tcPr>
            <w:tcW w:w="2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空压机 电动 固定式 9.0m3/min</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238.24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6.62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231.63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2.59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3.49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0.54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222.51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1009</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单斗挖掘机 液压 1m3</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120.55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57.07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63.48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31.53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23.36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2.18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44.55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1043</w:t>
            </w:r>
          </w:p>
        </w:tc>
        <w:tc>
          <w:tcPr>
            <w:tcW w:w="2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74kw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87.12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38.60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48.52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16.81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20.93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0.86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1084</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振动碾 凸块 13-14t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164.16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96.49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67.66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65.80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30.70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1062</w:t>
            </w:r>
          </w:p>
        </w:tc>
        <w:tc>
          <w:tcPr>
            <w:tcW w:w="2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拖拉机 履带式 74kw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65.95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19.52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46.43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8.54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10.44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0.54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1095</w:t>
            </w:r>
          </w:p>
        </w:tc>
        <w:tc>
          <w:tcPr>
            <w:tcW w:w="2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蛙式夯实机 2.8kw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24.91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1.08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23.83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0.15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0.93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14.02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1042</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59kw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63.93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21.99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41.94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9.56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11.94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0.49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3015</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自卸汽车 10t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85.18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43.77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41.41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26.98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16.79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3074</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胶轮车</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0.82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0.82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0.23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0.59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2047</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振捣器 插入式 1.1kw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4.54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3.14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0.28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1.12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2080</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风(砂)水枪 6m3/min</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130.35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0.60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129.75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0.21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0.39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2002</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混凝土搅拌机 0.4m3</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51.74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8.88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42.86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2.91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4.90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1.07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2003</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混凝土搅拌机 0.8m3</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90.77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11.01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79.75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3.88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5.78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1.35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混凝土搅拌车3m³</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115.60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76.29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39.31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24.46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48.65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3.18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9147</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钢筋调直机 4-14kW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41.69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4.32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37.37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1.42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0.44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9146</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钢筋切断机 20kW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79.51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2.89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76.61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1.04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1.57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0.28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67.50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9143</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钢筋弯曲机 Φ6-40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34.70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2.04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32.66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0.47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1.33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0.24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9126</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电焊机 交流 25kVA</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57.56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0.66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56.90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0.29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0.28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0.09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9136</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对焊机 电弧型150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341.09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4.60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336.49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2.35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0.76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327.37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3004</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载重汽车 5t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48.09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16.84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31.25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6.88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9.96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4030</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塔式起重机 10t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218.16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55.21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162.95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36.61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15.50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144.03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4085</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汽车起重机 5t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59.59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22.83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36.76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11.43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11.39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2051</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振捣器 平板式 2.2kw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8.19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1.52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6.67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0.38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1.14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1066</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拖拉机 手扶式 11kw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14.83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2.74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12.09 </w:t>
            </w:r>
          </w:p>
        </w:tc>
        <w:tc>
          <w:tcPr>
            <w:tcW w:w="21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0.72 </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1.94 </w:t>
            </w:r>
          </w:p>
        </w:tc>
        <w:tc>
          <w:tcPr>
            <w:tcW w:w="12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0.08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1096</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风钻 手持式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108.97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2.21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106.76 </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0.48 </w:t>
            </w:r>
          </w:p>
        </w:tc>
        <w:tc>
          <w:tcPr>
            <w:tcW w:w="18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1.73 </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1044</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88kw</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105.87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51.38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54.50 </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23.65 </w:t>
            </w:r>
          </w:p>
        </w:tc>
        <w:tc>
          <w:tcPr>
            <w:tcW w:w="18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26.67 </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 </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37.67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right"/>
        </w:trPr>
        <w:tc>
          <w:tcPr>
            <w:tcW w:w="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3013</w:t>
            </w:r>
          </w:p>
        </w:tc>
        <w:tc>
          <w:tcPr>
            <w:tcW w:w="2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自卸汽车 8t</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72.03 </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32.42 </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39.61 </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19.99 </w:t>
            </w:r>
          </w:p>
        </w:tc>
        <w:tc>
          <w:tcPr>
            <w:tcW w:w="18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12.43 </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30.50 </w:t>
            </w:r>
          </w:p>
        </w:tc>
      </w:tr>
    </w:tbl>
    <w:p>
      <w:pPr>
        <w:rPr>
          <w:rFonts w:hint="eastAsia"/>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tbl>
      <w:tblPr>
        <w:tblStyle w:val="8"/>
        <w:tblW w:w="1379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9"/>
        <w:gridCol w:w="2633"/>
        <w:gridCol w:w="1150"/>
        <w:gridCol w:w="1084"/>
        <w:gridCol w:w="1383"/>
        <w:gridCol w:w="1183"/>
        <w:gridCol w:w="1017"/>
        <w:gridCol w:w="1083"/>
        <w:gridCol w:w="1234"/>
        <w:gridCol w:w="1016"/>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8" w:hRule="atLeast"/>
        </w:trPr>
        <w:tc>
          <w:tcPr>
            <w:tcW w:w="13792" w:type="dxa"/>
            <w:gridSpan w:val="11"/>
            <w:tcBorders>
              <w:top w:val="nil"/>
              <w:left w:val="nil"/>
              <w:bottom w:val="single" w:color="000000" w:sz="4" w:space="0"/>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施工机械台时费汇总表(市场价)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6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台时费</w:t>
            </w:r>
          </w:p>
        </w:tc>
        <w:tc>
          <w:tcPr>
            <w:tcW w:w="10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一类费用</w:t>
            </w:r>
          </w:p>
        </w:tc>
        <w:tc>
          <w:tcPr>
            <w:tcW w:w="138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二类费用</w:t>
            </w:r>
          </w:p>
        </w:tc>
        <w:tc>
          <w:tcPr>
            <w:tcW w:w="118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5700"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6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8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折旧费</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修理费</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安拆费</w:t>
            </w:r>
          </w:p>
        </w:tc>
        <w:tc>
          <w:tcPr>
            <w:tcW w:w="1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动力燃料费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8028</w:t>
            </w:r>
          </w:p>
        </w:tc>
        <w:tc>
          <w:tcPr>
            <w:tcW w:w="2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柴油发电机 移动式 30kW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85.71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6.40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79.31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44.56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1.81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4.00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0.59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12.62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9038</w:t>
            </w:r>
          </w:p>
        </w:tc>
        <w:tc>
          <w:tcPr>
            <w:tcW w:w="2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潜水泵 2.2kW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19.41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2.84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16.57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0.35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1.83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0.66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8017</w:t>
            </w:r>
          </w:p>
        </w:tc>
        <w:tc>
          <w:tcPr>
            <w:tcW w:w="2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空压机 电动 固定式 9.0m3/min</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238.24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6.62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231.63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2.59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3.49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0.54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222.51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1009</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单斗挖掘机 液压 1m3</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210.27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57.07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153.20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89.73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31.53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23.36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2.18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134.28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1043</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74kw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150.95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38.60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112.35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63.83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16.81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20.93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0.86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1084</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振动碾 凸块 13-14t</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262.31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96.49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165.82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98.16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65.80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30.70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146.89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1062</w:t>
            </w:r>
          </w:p>
        </w:tc>
        <w:tc>
          <w:tcPr>
            <w:tcW w:w="2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拖拉机 履带式 74kw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125.56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19.52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106.04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59.62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8.54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10.44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0.54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89.22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1095</w:t>
            </w:r>
          </w:p>
        </w:tc>
        <w:tc>
          <w:tcPr>
            <w:tcW w:w="26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蛙式夯实机 2.8kw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24.91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1.08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23.83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0.15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0.93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14.02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1042</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59kw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114.52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21.99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92.52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50.58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9.56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11.94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0.49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75.70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3015</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自卸汽车 10t</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150.21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43.77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106.44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65.04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26.98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16.79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97.33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3074</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胶轮车</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0.82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0.82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0.23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0.59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2047</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振捣器 插入式 1.1kw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4.54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1.40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3.14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0.28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1.12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2080</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风(砂)水枪 6m3/min</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130.35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0.60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129.75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0.21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0.39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2002</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混凝土搅拌机 0.4m3</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51.74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8.88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42.86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2.91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4.90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1.07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2003</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混凝土搅拌机 0.8m3</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90.77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11.01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79.75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3.88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5.78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1.35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2027</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混凝土搅拌车3m³</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176.42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76.29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100.13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60.82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24.46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48.65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3.18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9147</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钢筋调直机 4-14kW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41.69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4.32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37.37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1.42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2.47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0.44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9146</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钢筋切断机 20kW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79.51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2.89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76.61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1.04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1.57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0.28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67.50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9143</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钢筋弯曲机 Φ6-40</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34.70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2.04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32.66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0.47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1.33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0.24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9126</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电焊机 交流 25kVA</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57.56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0.66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56.90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0.29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0.28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0.09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9136</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对焊机 电弧型150</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341.09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4.60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336.49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1.50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2.35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0.76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327.37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3004</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载重汽车 5t</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104.56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16.84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87.72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56.47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6.88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9.96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78.61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4030</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塔式起重机 10t</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218.16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55.21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162.95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36.61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15.50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144.03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4085</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汽车起重机 5t</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105.08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22.83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82.25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45.49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11.43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11.39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18.93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2051</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振捣器 平板式 2.2kw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8.19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1.52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6.67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0.38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1.14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1066</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拖拉机 手扶式 11kw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25.07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2.74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22.33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10.24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0.72 </w:t>
            </w:r>
          </w:p>
        </w:tc>
        <w:tc>
          <w:tcPr>
            <w:tcW w:w="10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1.94 </w:t>
            </w:r>
          </w:p>
        </w:tc>
        <w:tc>
          <w:tcPr>
            <w:tcW w:w="12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0.08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1096</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风钻 手持式 </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108.97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2.21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106.76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0.48 </w:t>
            </w:r>
          </w:p>
        </w:tc>
        <w:tc>
          <w:tcPr>
            <w:tcW w:w="10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1.73 </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1044</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88kw</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181.75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51.38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130.37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75.87 </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23.65 </w:t>
            </w:r>
          </w:p>
        </w:tc>
        <w:tc>
          <w:tcPr>
            <w:tcW w:w="10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26.67 </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1.06 </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16.82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113.55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3013</w:t>
            </w:r>
          </w:p>
        </w:tc>
        <w:tc>
          <w:tcPr>
            <w:tcW w:w="26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自卸汽车 8t</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133.46 </w:t>
            </w:r>
          </w:p>
        </w:tc>
        <w:tc>
          <w:tcPr>
            <w:tcW w:w="10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32.42 </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101.03 </w:t>
            </w:r>
          </w:p>
        </w:tc>
        <w:tc>
          <w:tcPr>
            <w:tcW w:w="11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61.42 </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19.99 </w:t>
            </w:r>
          </w:p>
        </w:tc>
        <w:tc>
          <w:tcPr>
            <w:tcW w:w="10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12.43 </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9.11 </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91.92 </w:t>
            </w:r>
          </w:p>
        </w:tc>
      </w:tr>
    </w:tbl>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sectPr>
          <w:type w:val="continuous"/>
          <w:pgSz w:w="16838" w:h="11906" w:orient="landscape"/>
          <w:pgMar w:top="1800" w:right="1440" w:bottom="1800" w:left="1440" w:header="851" w:footer="992" w:gutter="0"/>
          <w:pgNumType w:fmt="numberInDash"/>
          <w:cols w:space="720" w:num="1"/>
          <w:docGrid w:type="lines" w:linePitch="312" w:charSpace="0"/>
        </w:sectPr>
      </w:pPr>
    </w:p>
    <w:tbl>
      <w:tblPr>
        <w:tblStyle w:val="8"/>
        <w:tblW w:w="918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1156"/>
        <w:gridCol w:w="1140"/>
        <w:gridCol w:w="1320"/>
        <w:gridCol w:w="2168"/>
        <w:gridCol w:w="12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9181" w:type="dxa"/>
            <w:gridSpan w:val="7"/>
            <w:tcBorders>
              <w:top w:val="nil"/>
              <w:left w:val="nil"/>
              <w:bottom w:val="nil"/>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586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混凝土拆除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6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GB4005+20459</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810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弃运3km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直接工程费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6887.14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6388.81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工时 </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零星材料费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机械使用费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5925.97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挖掘机 1m</w:t>
            </w:r>
            <w:r>
              <w:rPr>
                <w:rFonts w:hint="eastAsia" w:ascii="宋体" w:hAnsi="宋体" w:eastAsia="宋体" w:cs="宋体"/>
                <w:i w:val="0"/>
                <w:iCs w:val="0"/>
                <w:color w:val="000000"/>
                <w:kern w:val="0"/>
                <w:sz w:val="21"/>
                <w:szCs w:val="21"/>
                <w:u w:val="none"/>
                <w:vertAlign w:val="superscript"/>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37.84</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120.55</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4561.49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推土机88kw</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105.87</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自卸汽车8t</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16.87</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72.03</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其他直接费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企业利润</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4538.38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挖掘机 1m</w:t>
            </w:r>
            <w:r>
              <w:rPr>
                <w:rFonts w:hint="eastAsia" w:ascii="宋体" w:hAnsi="宋体" w:eastAsia="宋体" w:cs="宋体"/>
                <w:i w:val="0"/>
                <w:iCs w:val="0"/>
                <w:color w:val="000000"/>
                <w:kern w:val="0"/>
                <w:sz w:val="21"/>
                <w:szCs w:val="21"/>
                <w:u w:val="none"/>
                <w:vertAlign w:val="superscript"/>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37.84</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89.73</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3395.20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推土机88kw</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75.87</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自卸汽车8t</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16.87</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61.42</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税金</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13541.58</w:t>
            </w:r>
          </w:p>
        </w:tc>
      </w:tr>
    </w:tbl>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tbl>
      <w:tblPr>
        <w:tblStyle w:val="8"/>
        <w:tblW w:w="848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1156"/>
        <w:gridCol w:w="1140"/>
        <w:gridCol w:w="1320"/>
        <w:gridCol w:w="1313"/>
        <w:gridCol w:w="1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8484" w:type="dxa"/>
            <w:gridSpan w:val="7"/>
            <w:tcBorders>
              <w:top w:val="nil"/>
              <w:left w:val="nil"/>
              <w:bottom w:val="nil"/>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516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砂砾石垫层料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6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30084</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7404"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自料场直接运输上坝，砂石料，震动碾压实，砂砾料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直接工程费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6335.98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5877.53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⑴</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19.70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⑵</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零星材料费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10.00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219.39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⑶</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振动碾 凸块 13-14t</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0.26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164.16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74kw</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0.55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87.12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47.92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蛙式夯实机 2.8kw</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1.09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24.91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27.15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其他机械费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1.00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117.75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⑷</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嵌套项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5636.20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砂石料运输（60km）</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118.00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47.76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5636.20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5877.53 </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458.45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6335.98 </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538.56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企业利润</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6874.54 </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481.22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振动碾 凸块 13-14t</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0.26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98.16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74kw</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0.55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63.83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35.11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蛙式夯实机 2.8kw</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1.09 </w:t>
            </w:r>
          </w:p>
        </w:tc>
        <w:tc>
          <w:tcPr>
            <w:tcW w:w="13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c>
          <w:tcPr>
            <w:tcW w:w="1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税金</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7416.38 </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667.47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8083.86 </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1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8083.86 </w:t>
            </w:r>
          </w:p>
        </w:tc>
      </w:tr>
    </w:tbl>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tbl>
      <w:tblPr>
        <w:tblStyle w:val="8"/>
        <w:tblW w:w="829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2"/>
        <w:gridCol w:w="1142"/>
        <w:gridCol w:w="1195"/>
        <w:gridCol w:w="1177"/>
        <w:gridCol w:w="1154"/>
        <w:gridCol w:w="1157"/>
        <w:gridCol w:w="1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4" w:hRule="atLeast"/>
          <w:jc w:val="center"/>
        </w:trPr>
        <w:tc>
          <w:tcPr>
            <w:tcW w:w="8299"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46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面板混凝土C30F300W6(二级配)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40055</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70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厚度20cm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直接工程费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宋体" w:cs="Times New Roman"/>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宋体" w:cs="Times New Roman"/>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31148.61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仿宋_GB2312" w:hAnsi="Times New Roman" w:eastAsia="仿宋_GB2312" w:cs="仿宋_GB2312"/>
                <w:i w:val="0"/>
                <w:iCs w:val="0"/>
                <w:color w:val="000000"/>
                <w:kern w:val="0"/>
                <w:sz w:val="21"/>
                <w:szCs w:val="21"/>
                <w:u w:val="none"/>
                <w:lang w:val="en-US" w:eastAsia="zh-CN" w:bidi="ar"/>
              </w:rPr>
              <w:t>、</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宋体" w:cs="Times New Roman"/>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宋体" w:cs="Times New Roman"/>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1</w:t>
            </w:r>
            <w:r>
              <w:rPr>
                <w:rFonts w:hint="eastAsia" w:ascii="仿宋_GB2312" w:hAnsi="宋体" w:eastAsia="仿宋_GB2312" w:cs="仿宋_GB2312"/>
                <w:i w:val="0"/>
                <w:iCs w:val="0"/>
                <w:color w:val="000000"/>
                <w:kern w:val="0"/>
                <w:sz w:val="21"/>
                <w:szCs w:val="21"/>
                <w:u w:val="none"/>
                <w:lang w:val="en-US" w:eastAsia="zh-CN" w:bidi="ar"/>
              </w:rPr>
              <w:t>）</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宋体" w:cs="Times New Roman"/>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default" w:ascii="Times New Roman" w:hAnsi="Times New Roman" w:eastAsia="宋体" w:cs="Times New Roman"/>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3132.31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工长</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8.86</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高级工</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8.25</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中级工</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176.40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290.50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2</w:t>
            </w:r>
            <w:r>
              <w:rPr>
                <w:rFonts w:hint="eastAsia" w:ascii="仿宋_GB2312" w:hAnsi="宋体" w:eastAsia="仿宋_GB2312" w:cs="仿宋_GB2312"/>
                <w:i w:val="0"/>
                <w:iCs w:val="0"/>
                <w:color w:val="000000"/>
                <w:kern w:val="0"/>
                <w:sz w:val="21"/>
                <w:szCs w:val="21"/>
                <w:u w:val="none"/>
                <w:lang w:val="en-US" w:eastAsia="zh-CN" w:bidi="ar"/>
              </w:rPr>
              <w:t>）</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20539.98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m3</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185.81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19323.96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m3</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其他材料费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19749.98</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3</w:t>
            </w:r>
            <w:r>
              <w:rPr>
                <w:rFonts w:hint="eastAsia" w:ascii="仿宋_GB2312" w:hAnsi="宋体" w:eastAsia="仿宋_GB2312" w:cs="仿宋_GB2312"/>
                <w:i w:val="0"/>
                <w:iCs w:val="0"/>
                <w:color w:val="000000"/>
                <w:kern w:val="0"/>
                <w:sz w:val="21"/>
                <w:szCs w:val="21"/>
                <w:u w:val="none"/>
                <w:lang w:val="en-US" w:eastAsia="zh-CN" w:bidi="ar"/>
              </w:rPr>
              <w:t>）</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振捣器 插入式 1.1kw</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40.60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4.54</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风(砂)水枪 6m3/min</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130.35</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其他机械费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184.40</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嵌套项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5028.91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混凝土拌制</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m3</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22.30</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混凝土运输</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m3</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26.05</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仿宋_GB2312" w:hAnsi="Times New Roman" w:eastAsia="仿宋_GB2312" w:cs="仿宋_GB2312"/>
                <w:i w:val="0"/>
                <w:iCs w:val="0"/>
                <w:color w:val="000000"/>
                <w:kern w:val="0"/>
                <w:sz w:val="21"/>
                <w:szCs w:val="21"/>
                <w:u w:val="none"/>
                <w:lang w:val="en-US" w:eastAsia="zh-CN" w:bidi="ar"/>
              </w:rPr>
              <w:t>、</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其他直接费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28894.81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间接费</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31148.61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企业利润</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33329.01</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16201.13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w:t>
            </w:r>
          </w:p>
        </w:tc>
        <w:tc>
          <w:tcPr>
            <w:tcW w:w="11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m3</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104.00</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144.16</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混凝土搅拌车3m³</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19.86</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60.82</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税金</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51863.18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4667.69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56530.86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w:t>
            </w:r>
          </w:p>
        </w:tc>
        <w:tc>
          <w:tcPr>
            <w:tcW w:w="23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56530.86</w:t>
            </w:r>
          </w:p>
        </w:tc>
      </w:tr>
    </w:tbl>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tbl>
      <w:tblPr>
        <w:tblStyle w:val="8"/>
        <w:tblW w:w="839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6"/>
        <w:gridCol w:w="858"/>
        <w:gridCol w:w="1335"/>
        <w:gridCol w:w="1142"/>
        <w:gridCol w:w="1159"/>
        <w:gridCol w:w="1166"/>
        <w:gridCol w:w="1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35" w:hRule="atLeast"/>
          <w:jc w:val="center"/>
        </w:trPr>
        <w:tc>
          <w:tcPr>
            <w:tcW w:w="8399"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49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搅拌机拌制混凝土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4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40172</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71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0.8m³搅拌机拌制。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2230.18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中级工</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工时 </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93.80</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7.01</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工时 </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124.40</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零星材料费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机械使用费</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 0.8m</w:t>
            </w:r>
            <w:r>
              <w:rPr>
                <w:rFonts w:hint="eastAsia" w:ascii="宋体" w:hAnsi="宋体" w:eastAsia="宋体" w:cs="宋体"/>
                <w:i w:val="0"/>
                <w:iCs w:val="0"/>
                <w:color w:val="000000"/>
                <w:kern w:val="0"/>
                <w:sz w:val="21"/>
                <w:szCs w:val="21"/>
                <w:u w:val="none"/>
                <w:vertAlign w:val="superscript"/>
                <w:lang w:val="en-US" w:eastAsia="zh-CN" w:bidi="ar"/>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9.07</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90.77</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胶轮车</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87.15</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58" w:type="dxa"/>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35" w:type="dxa"/>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93"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搅拌机 0.8m</w:t>
            </w:r>
            <w:r>
              <w:rPr>
                <w:rFonts w:hint="eastAsia" w:ascii="宋体" w:hAnsi="宋体" w:eastAsia="宋体" w:cs="宋体"/>
                <w:i w:val="0"/>
                <w:iCs w:val="0"/>
                <w:color w:val="000000"/>
                <w:kern w:val="0"/>
                <w:sz w:val="21"/>
                <w:szCs w:val="21"/>
                <w:u w:val="none"/>
                <w:vertAlign w:val="superscript"/>
                <w:lang w:val="en-US" w:eastAsia="zh-CN" w:bidi="ar"/>
              </w:rPr>
              <w:t>3</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9.07</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3" w:hRule="atLeast"/>
          <w:jc w:val="center"/>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21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工程单价</w:t>
            </w:r>
          </w:p>
        </w:tc>
        <w:tc>
          <w:tcPr>
            <w:tcW w:w="11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2230.18 </w:t>
            </w:r>
          </w:p>
        </w:tc>
      </w:tr>
    </w:tbl>
    <w:p>
      <w:pPr>
        <w:tabs>
          <w:tab w:val="left" w:pos="1080"/>
          <w:tab w:val="left" w:pos="2160"/>
          <w:tab w:val="left" w:pos="3316"/>
          <w:tab w:val="left" w:pos="4456"/>
          <w:tab w:val="left" w:pos="5776"/>
          <w:tab w:val="left" w:pos="7944"/>
        </w:tabs>
        <w:jc w:val="both"/>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tbl>
      <w:tblPr>
        <w:tblStyle w:val="8"/>
        <w:tblW w:w="831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5"/>
        <w:gridCol w:w="852"/>
        <w:gridCol w:w="1321"/>
        <w:gridCol w:w="1131"/>
        <w:gridCol w:w="1148"/>
        <w:gridCol w:w="1153"/>
        <w:gridCol w:w="1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54" w:hRule="atLeast"/>
          <w:jc w:val="center"/>
        </w:trPr>
        <w:tc>
          <w:tcPr>
            <w:tcW w:w="8319"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49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搅拌车+泻槽运混凝土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45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40217+40210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71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搅拌车运1km，泻槽运9m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2605.30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中级工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工时 </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14.90 </w:t>
            </w:r>
          </w:p>
        </w:tc>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工时 </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47.40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零星材料费</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机械使用费</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混凝土搅拌车3m³</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115.60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1"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混凝土搅拌车3m³</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19.10</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60.82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8" w:hRule="atLeast"/>
          <w:jc w:val="center"/>
        </w:trPr>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21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工程单价</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3766.97 </w:t>
            </w:r>
          </w:p>
        </w:tc>
      </w:tr>
    </w:tbl>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p>
    <w:p>
      <w:pPr>
        <w:tabs>
          <w:tab w:val="left" w:pos="1080"/>
          <w:tab w:val="left" w:pos="2160"/>
          <w:tab w:val="left" w:pos="3316"/>
          <w:tab w:val="left" w:pos="4456"/>
          <w:tab w:val="left" w:pos="5776"/>
          <w:tab w:val="left" w:pos="7944"/>
        </w:tabs>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r>
        <w:rPr>
          <w:rFonts w:hint="eastAsia" w:ascii="宋体" w:hAnsi="宋体" w:eastAsia="宋体" w:cs="宋体"/>
          <w:b/>
          <w:bCs/>
          <w:color w:val="auto"/>
          <w:kern w:val="0"/>
          <w:sz w:val="24"/>
          <w:szCs w:val="24"/>
          <w:lang w:val="en-US" w:eastAsia="zh-CN" w:bidi="ar"/>
        </w:rPr>
        <w:t>建筑工程单价表</w:t>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r>
        <w:rPr>
          <w:rFonts w:hint="eastAsia" w:ascii="宋体" w:hAnsi="宋体" w:eastAsia="宋体" w:cs="宋体"/>
          <w:i w:val="0"/>
          <w:iCs w:val="0"/>
          <w:color w:val="000000"/>
          <w:sz w:val="21"/>
          <w:szCs w:val="21"/>
          <w:u w:val="none"/>
        </w:rPr>
        <w:tab/>
      </w:r>
    </w:p>
    <w:tbl>
      <w:tblPr>
        <w:tblStyle w:val="8"/>
        <w:tblW w:w="846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1156"/>
        <w:gridCol w:w="1140"/>
        <w:gridCol w:w="1320"/>
        <w:gridCol w:w="1561"/>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514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普通模板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6"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6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50001+50062</w:t>
            </w: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7382"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标准钢模板一般部位，适用范围：1.标准钢模板：直墙、挡土墙、防浪墙、闸墩、底板、趾板、板、梁、柱等。模板安装、拆除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直接工程费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4510.07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4156.75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1327.45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工长</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14.60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8.86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高级工</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49.50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8.25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408.38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中级工</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83.70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7.01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586.74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39.80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202.98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2089.27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组合钢模板</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81.00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526.50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型钢</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44.00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286.00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卡扣件</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26.00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156.00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铁件</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126.00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6.50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819.00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预制混凝土柱</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800.00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电焊条</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2.60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8.00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其他材料费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2048.30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40.97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740.03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汽车起重机 5t</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8.75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59.59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521.41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电焊机 交流 25kVA</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2.06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57.56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钢筋切断机 20kW</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0.07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79.51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载重汽车5t</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0.37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48.09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17.79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电焊机 交流 25kVA</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0.72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57.56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其他机械费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5.00 </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704.79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35.24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w:t>
            </w: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4156.75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353.32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4510.07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270.60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3"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企业利润</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4780.67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334.65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418.92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汽车起重机 5t</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8.75</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45.49</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398.02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电焊机 交流 25kVA</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载重汽车 5t</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0.37</w:t>
            </w:r>
          </w:p>
        </w:tc>
        <w:tc>
          <w:tcPr>
            <w:tcW w:w="15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56.47</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20.89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税金</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w:t>
            </w: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5534.24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498.08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6032.32 </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56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6032.32 </w:t>
            </w:r>
          </w:p>
        </w:tc>
      </w:tr>
    </w:tbl>
    <w:p/>
    <w:tbl>
      <w:tblPr>
        <w:tblStyle w:val="8"/>
        <w:tblW w:w="8308" w:type="dxa"/>
        <w:jc w:val="center"/>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65"/>
        <w:gridCol w:w="1080"/>
        <w:gridCol w:w="1080"/>
        <w:gridCol w:w="1080"/>
        <w:gridCol w:w="1080"/>
        <w:gridCol w:w="1080"/>
        <w:gridCol w:w="1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64" w:hRule="atLeast"/>
          <w:jc w:val="center"/>
        </w:trPr>
        <w:tc>
          <w:tcPr>
            <w:tcW w:w="830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项目名称</w:t>
            </w:r>
          </w:p>
        </w:tc>
        <w:tc>
          <w:tcPr>
            <w:tcW w:w="478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混凝土凿除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定额编号</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GB4004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定额单位</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施工方法</w:t>
            </w:r>
          </w:p>
        </w:tc>
        <w:tc>
          <w:tcPr>
            <w:tcW w:w="694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left"/>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编号</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名称及规格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单价（元）</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直接工程费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44298.3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41093.04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vertAlign w:val="superscript"/>
                <w:lang w:val="en-US" w:eastAsia="zh-CN" w:bidi="ar"/>
              </w:rPr>
              <w:t>-1</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20241.66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工长</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78.2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8.86</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692.85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初级工</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3833.1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5.1</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19548.81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合金钻头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24.29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空心钢</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kg</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44.48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6.5</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m³</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25.26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2.58</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其他材料费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2297.54</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机械使用费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18438.97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风钻  手持式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145.83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108.97</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15890.82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风镐</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36.46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45.81</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其他机械费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17560.92</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878.05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其他直接费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7.80%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3205.26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间接费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3100.88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企业利润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3317.94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税金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4564.54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jc w:val="center"/>
        </w:trPr>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五</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55281.67</w:t>
            </w:r>
          </w:p>
        </w:tc>
      </w:tr>
    </w:tbl>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tbl>
      <w:tblPr>
        <w:tblStyle w:val="8"/>
        <w:tblW w:w="8415" w:type="dxa"/>
        <w:tblInd w:w="-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50"/>
        <w:gridCol w:w="563"/>
        <w:gridCol w:w="1080"/>
        <w:gridCol w:w="1080"/>
        <w:gridCol w:w="1080"/>
        <w:gridCol w:w="1080"/>
        <w:gridCol w:w="18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0" w:hRule="atLeast"/>
        </w:trPr>
        <w:tc>
          <w:tcPr>
            <w:tcW w:w="841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单价编号</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项目名称</w:t>
            </w:r>
          </w:p>
        </w:tc>
        <w:tc>
          <w:tcPr>
            <w:tcW w:w="512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混凝土凿毛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定额编号</w:t>
            </w:r>
          </w:p>
        </w:tc>
        <w:tc>
          <w:tcPr>
            <w:tcW w:w="38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GB4002</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定额单位</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100m2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施工方法</w:t>
            </w:r>
          </w:p>
        </w:tc>
        <w:tc>
          <w:tcPr>
            <w:tcW w:w="676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凿毛深度2-3cm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编号</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名称及规格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单价（元）</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直接工程费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1365.82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1266.99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初级工</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236.6</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5.1</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零星材料费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机械使用费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挖掘机 1m</w:t>
            </w:r>
            <w:r>
              <w:rPr>
                <w:rFonts w:hint="eastAsia" w:ascii="宋体" w:hAnsi="宋体" w:eastAsia="宋体" w:cs="宋体"/>
                <w:i w:val="0"/>
                <w:color w:val="000000"/>
                <w:kern w:val="0"/>
                <w:sz w:val="21"/>
                <w:szCs w:val="21"/>
                <w:u w:val="none"/>
                <w:vertAlign w:val="superscript"/>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120.55</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推土机88kw</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105.87</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自卸汽车8t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72.03</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其他直接费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7.80%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间接费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企业利润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材料补差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挖掘机 1m</w:t>
            </w:r>
            <w:r>
              <w:rPr>
                <w:rFonts w:hint="eastAsia" w:ascii="宋体" w:hAnsi="宋体" w:eastAsia="宋体" w:cs="宋体"/>
                <w:i w:val="0"/>
                <w:color w:val="000000"/>
                <w:kern w:val="0"/>
                <w:sz w:val="21"/>
                <w:szCs w:val="21"/>
                <w:u w:val="none"/>
                <w:vertAlign w:val="superscript"/>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89.73</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推土机88kw</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75.87</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自卸汽车8t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台时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61.42</w:t>
            </w: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五</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税金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六</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七</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center"/>
              <w:rPr>
                <w:rFonts w:hint="eastAsia" w:ascii="宋体" w:hAnsi="宋体" w:eastAsia="宋体" w:cs="宋体"/>
                <w:i w:val="0"/>
                <w:color w:val="000000"/>
                <w:sz w:val="21"/>
                <w:szCs w:val="21"/>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1704.46</w:t>
            </w:r>
          </w:p>
        </w:tc>
      </w:tr>
    </w:tbl>
    <w:p>
      <w:pPr>
        <w:jc w:val="center"/>
        <w:rPr>
          <w:rFonts w:hint="eastAsia" w:ascii="宋体" w:hAnsi="宋体" w:eastAsia="宋体" w:cs="宋体"/>
          <w:sz w:val="21"/>
          <w:szCs w:val="21"/>
        </w:rPr>
      </w:pPr>
    </w:p>
    <w:tbl>
      <w:tblPr>
        <w:tblStyle w:val="8"/>
        <w:tblW w:w="918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1156"/>
        <w:gridCol w:w="1140"/>
        <w:gridCol w:w="1320"/>
        <w:gridCol w:w="2168"/>
        <w:gridCol w:w="12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9181" w:type="dxa"/>
            <w:gridSpan w:val="7"/>
            <w:tcBorders>
              <w:top w:val="nil"/>
              <w:left w:val="nil"/>
              <w:bottom w:val="single" w:color="000000" w:sz="4" w:space="0"/>
              <w:right w:val="nil"/>
            </w:tcBorders>
            <w:noWrap w:val="0"/>
            <w:vAlign w:val="center"/>
          </w:tcPr>
          <w:p>
            <w:pPr>
              <w:keepNext w:val="0"/>
              <w:keepLines w:val="0"/>
              <w:pageBreakBefore/>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建筑工程单价表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单价编号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586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推土机推土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46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10520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定额单位</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施工方法</w:t>
            </w:r>
          </w:p>
        </w:tc>
        <w:tc>
          <w:tcPr>
            <w:tcW w:w="810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推运100m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编号</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名称及规格</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直接工程费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初级工</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21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w:t>
            </w: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零星材料费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21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467.21</w:t>
            </w: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74kw</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21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87.12</w:t>
            </w:r>
          </w:p>
        </w:tc>
        <w:tc>
          <w:tcPr>
            <w:tcW w:w="12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嵌套项</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材料补差</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2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推土机 74kw</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台时</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63.83</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8"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223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工程单价</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132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1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2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833.09</w:t>
            </w:r>
          </w:p>
        </w:tc>
      </w:tr>
    </w:tbl>
    <w:p>
      <w:pPr>
        <w:pStyle w:val="2"/>
        <w:rPr>
          <w:rFonts w:hint="eastAsia" w:ascii="宋体" w:hAnsi="宋体" w:eastAsia="宋体" w:cs="宋体"/>
          <w:sz w:val="21"/>
          <w:szCs w:val="21"/>
        </w:rPr>
      </w:pPr>
    </w:p>
    <w:p>
      <w:pPr>
        <w:rPr>
          <w:rFonts w:hint="eastAsia" w:ascii="宋体" w:hAnsi="宋体" w:eastAsia="宋体" w:cs="宋体"/>
          <w:sz w:val="24"/>
          <w:szCs w:val="24"/>
        </w:rPr>
      </w:pPr>
    </w:p>
    <w:p/>
    <w:sectPr>
      <w:type w:val="continuous"/>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EFF" w:usb1="4000785B"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等线 Light">
    <w:altName w:val="宋体"/>
    <w:panose1 w:val="02010600030101010101"/>
    <w:charset w:val="86"/>
    <w:family w:val="auto"/>
    <w:pitch w:val="default"/>
    <w:sig w:usb0="00000000" w:usb1="00000000" w:usb2="00000016" w:usb3="00000000" w:csb0="0004000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2628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47650" cy="262890"/>
                      </a:xfrm>
                      <a:prstGeom prst="rect">
                        <a:avLst/>
                      </a:prstGeom>
                      <a:noFill/>
                      <a:ln>
                        <a:noFill/>
                      </a:ln>
                    </wps:spPr>
                    <wps:txbx>
                      <w:txbxContent>
                        <w:p>
                          <w:pPr>
                            <w:pStyle w:val="5"/>
                          </w:pPr>
                          <w:r>
                            <w:fldChar w:fldCharType="begin"/>
                          </w:r>
                          <w:r>
                            <w:instrText xml:space="preserve"> PAGE  \* MERGEFORMAT </w:instrText>
                          </w:r>
                          <w:r>
                            <w:fldChar w:fldCharType="separate"/>
                          </w:r>
                          <w:r>
                            <w:t>- 30 -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19.5pt;mso-position-horizontal:center;mso-position-horizontal-relative:margin;mso-wrap-style:none;z-index:251659264;mso-width-relative:page;mso-height-relative:page;" filled="f" stroked="f" coordsize="21600,21600" o:gfxdata="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UTQ0QAA&#10;AAMBAAAPAAAAAAAAAAEAIAAAACIAAABkcnMvZG93bnJldi54bWxQSwECFAAUAAAACACHTuJAoyKB&#10;QbMBAABJAwAADgAAAAAAAAABACAAAAAgAQAAZHJzL2Uyb0RvYy54bWxQSwUGAAAAAAYABgBZAQAA&#10;RQU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- 30 -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p>
  <w:p>
    <w:pPr>
      <w:pStyle w:val="6"/>
      <w:jc w:val="center"/>
      <w:rPr>
        <w:rFonts w:hint="eastAsia"/>
      </w:rPr>
    </w:pPr>
  </w:p>
  <w:p>
    <w:pPr>
      <w:pStyle w:val="6"/>
      <w:jc w:val="center"/>
      <w:rPr>
        <w:rFonts w:hint="eastAsia"/>
      </w:rPr>
    </w:pPr>
  </w:p>
  <w:p>
    <w:pPr>
      <w:pStyle w:val="6"/>
      <w:jc w:val="center"/>
    </w:pPr>
    <w:r>
      <w:rPr>
        <w:rFonts w:hint="eastAsia"/>
      </w:rPr>
      <w:t>阿勒泰地区乌伦古河流域水管站2024年度小型水库维修养护工程实施方案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rPr>
    </w:pPr>
  </w:p>
  <w:p>
    <w:pPr>
      <w:pStyle w:val="6"/>
      <w:jc w:val="center"/>
      <w:rPr>
        <w:rFonts w:hint="eastAsia"/>
      </w:rPr>
    </w:pPr>
  </w:p>
  <w:p>
    <w:pPr>
      <w:pStyle w:val="6"/>
      <w:jc w:val="center"/>
      <w:rPr>
        <w:rFonts w:hint="eastAsia"/>
      </w:rPr>
    </w:pPr>
  </w:p>
  <w:p>
    <w:pPr>
      <w:pStyle w:val="6"/>
      <w:jc w:val="center"/>
    </w:pPr>
    <w:r>
      <w:rPr>
        <w:rFonts w:hint="eastAsia"/>
      </w:rPr>
      <w:t>阿勒泰地区乌伦古河流域水管站2024年度小型水库维修养护工程实施方案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MzVkZWQ5ZWQzZTFmYmU3YjZkN2NjZWRkYThmYjkifQ=="/>
  </w:docVars>
  <w:rsids>
    <w:rsidRoot w:val="5E276045"/>
    <w:rsid w:val="00326776"/>
    <w:rsid w:val="00637E90"/>
    <w:rsid w:val="00767095"/>
    <w:rsid w:val="007B0947"/>
    <w:rsid w:val="007F790D"/>
    <w:rsid w:val="008761D2"/>
    <w:rsid w:val="00AD73E6"/>
    <w:rsid w:val="013742B9"/>
    <w:rsid w:val="01D90888"/>
    <w:rsid w:val="020E132E"/>
    <w:rsid w:val="02491CD9"/>
    <w:rsid w:val="02712E83"/>
    <w:rsid w:val="0286538A"/>
    <w:rsid w:val="0296329F"/>
    <w:rsid w:val="02B25761"/>
    <w:rsid w:val="02BF157D"/>
    <w:rsid w:val="02CB5691"/>
    <w:rsid w:val="03307163"/>
    <w:rsid w:val="0341600D"/>
    <w:rsid w:val="038F1B26"/>
    <w:rsid w:val="03F67AC4"/>
    <w:rsid w:val="046E5030"/>
    <w:rsid w:val="0474772A"/>
    <w:rsid w:val="04FC088E"/>
    <w:rsid w:val="05864C90"/>
    <w:rsid w:val="05B41979"/>
    <w:rsid w:val="05BF21F8"/>
    <w:rsid w:val="05D84DB8"/>
    <w:rsid w:val="06283B50"/>
    <w:rsid w:val="064843FA"/>
    <w:rsid w:val="066C42E3"/>
    <w:rsid w:val="06A20FC1"/>
    <w:rsid w:val="07944AF2"/>
    <w:rsid w:val="07A22906"/>
    <w:rsid w:val="08330242"/>
    <w:rsid w:val="084A5E69"/>
    <w:rsid w:val="08820914"/>
    <w:rsid w:val="08CC68B9"/>
    <w:rsid w:val="09407450"/>
    <w:rsid w:val="094270BD"/>
    <w:rsid w:val="095B101E"/>
    <w:rsid w:val="09782D76"/>
    <w:rsid w:val="0A0B7FBA"/>
    <w:rsid w:val="0A615381"/>
    <w:rsid w:val="0ACA6D38"/>
    <w:rsid w:val="0AD27E3F"/>
    <w:rsid w:val="0AE73C74"/>
    <w:rsid w:val="0AFC388E"/>
    <w:rsid w:val="0B1260B9"/>
    <w:rsid w:val="0B177CB0"/>
    <w:rsid w:val="0B2D253C"/>
    <w:rsid w:val="0BAA5A72"/>
    <w:rsid w:val="0BAA758B"/>
    <w:rsid w:val="0BC447FC"/>
    <w:rsid w:val="0BC9147C"/>
    <w:rsid w:val="0BEB03C4"/>
    <w:rsid w:val="0BFF3081"/>
    <w:rsid w:val="0C2A0667"/>
    <w:rsid w:val="0C5204CF"/>
    <w:rsid w:val="0CA32524"/>
    <w:rsid w:val="0CCC593D"/>
    <w:rsid w:val="0CE661AC"/>
    <w:rsid w:val="0D0E01E4"/>
    <w:rsid w:val="0D283706"/>
    <w:rsid w:val="0D544015"/>
    <w:rsid w:val="0D641F6E"/>
    <w:rsid w:val="0D6E60A1"/>
    <w:rsid w:val="0D8002B8"/>
    <w:rsid w:val="0DFF3918"/>
    <w:rsid w:val="0E0A0686"/>
    <w:rsid w:val="0E187DC4"/>
    <w:rsid w:val="0E2764F4"/>
    <w:rsid w:val="0E5C5C44"/>
    <w:rsid w:val="0F096DA4"/>
    <w:rsid w:val="0FDD2CC0"/>
    <w:rsid w:val="0FEA240C"/>
    <w:rsid w:val="10157847"/>
    <w:rsid w:val="101F0EEF"/>
    <w:rsid w:val="1021647E"/>
    <w:rsid w:val="1022318A"/>
    <w:rsid w:val="102869DB"/>
    <w:rsid w:val="109671E9"/>
    <w:rsid w:val="110C004D"/>
    <w:rsid w:val="11844344"/>
    <w:rsid w:val="119E0502"/>
    <w:rsid w:val="11C64843"/>
    <w:rsid w:val="122601A4"/>
    <w:rsid w:val="123E5D72"/>
    <w:rsid w:val="12567D2A"/>
    <w:rsid w:val="128575BC"/>
    <w:rsid w:val="128E6652"/>
    <w:rsid w:val="12B8718A"/>
    <w:rsid w:val="12EC73A1"/>
    <w:rsid w:val="1332549A"/>
    <w:rsid w:val="1339408B"/>
    <w:rsid w:val="136C3083"/>
    <w:rsid w:val="139B725D"/>
    <w:rsid w:val="13A0721B"/>
    <w:rsid w:val="13C007FF"/>
    <w:rsid w:val="13C05914"/>
    <w:rsid w:val="13DB72DA"/>
    <w:rsid w:val="14002E96"/>
    <w:rsid w:val="140D0325"/>
    <w:rsid w:val="141D6D37"/>
    <w:rsid w:val="14826370"/>
    <w:rsid w:val="149E75B7"/>
    <w:rsid w:val="14BC1B0C"/>
    <w:rsid w:val="14D85923"/>
    <w:rsid w:val="14F5746F"/>
    <w:rsid w:val="15175270"/>
    <w:rsid w:val="154E53B5"/>
    <w:rsid w:val="15776E3B"/>
    <w:rsid w:val="165273CD"/>
    <w:rsid w:val="16737EDB"/>
    <w:rsid w:val="171F4829"/>
    <w:rsid w:val="173574A1"/>
    <w:rsid w:val="17956BE0"/>
    <w:rsid w:val="17AF4D96"/>
    <w:rsid w:val="17B11408"/>
    <w:rsid w:val="17B47A60"/>
    <w:rsid w:val="17C4166C"/>
    <w:rsid w:val="17EE4066"/>
    <w:rsid w:val="17F542D6"/>
    <w:rsid w:val="180F42B8"/>
    <w:rsid w:val="18155A97"/>
    <w:rsid w:val="187A468B"/>
    <w:rsid w:val="187C11B8"/>
    <w:rsid w:val="18E644DC"/>
    <w:rsid w:val="18E7051E"/>
    <w:rsid w:val="18F107AC"/>
    <w:rsid w:val="18F92DD6"/>
    <w:rsid w:val="19306D90"/>
    <w:rsid w:val="193439A2"/>
    <w:rsid w:val="193E6637"/>
    <w:rsid w:val="198C1D05"/>
    <w:rsid w:val="19D56F7E"/>
    <w:rsid w:val="19DC7664"/>
    <w:rsid w:val="19E56676"/>
    <w:rsid w:val="1A512D4B"/>
    <w:rsid w:val="1AB42315"/>
    <w:rsid w:val="1AB45F27"/>
    <w:rsid w:val="1AC0077A"/>
    <w:rsid w:val="1B727EA0"/>
    <w:rsid w:val="1BC36721"/>
    <w:rsid w:val="1C196B6E"/>
    <w:rsid w:val="1CAE516A"/>
    <w:rsid w:val="1CB8459E"/>
    <w:rsid w:val="1CCE61E5"/>
    <w:rsid w:val="1CDE0CA7"/>
    <w:rsid w:val="1CE8715D"/>
    <w:rsid w:val="1CF73540"/>
    <w:rsid w:val="1D1C4863"/>
    <w:rsid w:val="1D673FB6"/>
    <w:rsid w:val="1D6D54D7"/>
    <w:rsid w:val="1D8F21E3"/>
    <w:rsid w:val="1DBE454E"/>
    <w:rsid w:val="1E2A1B70"/>
    <w:rsid w:val="1E2F0736"/>
    <w:rsid w:val="1E3551B7"/>
    <w:rsid w:val="1E636E30"/>
    <w:rsid w:val="1E7F0FE5"/>
    <w:rsid w:val="1EDB4EA8"/>
    <w:rsid w:val="1F505FE7"/>
    <w:rsid w:val="1F5C22CE"/>
    <w:rsid w:val="1F8D5CF8"/>
    <w:rsid w:val="1FA7449F"/>
    <w:rsid w:val="200045A9"/>
    <w:rsid w:val="20514DC4"/>
    <w:rsid w:val="2093568E"/>
    <w:rsid w:val="20B6252D"/>
    <w:rsid w:val="20F96DC0"/>
    <w:rsid w:val="2146066C"/>
    <w:rsid w:val="215C18CF"/>
    <w:rsid w:val="21D45A8B"/>
    <w:rsid w:val="2248306B"/>
    <w:rsid w:val="22504A96"/>
    <w:rsid w:val="225E5D85"/>
    <w:rsid w:val="228F27CE"/>
    <w:rsid w:val="22FF6A04"/>
    <w:rsid w:val="231C18F5"/>
    <w:rsid w:val="232C133B"/>
    <w:rsid w:val="236C0269"/>
    <w:rsid w:val="237467B1"/>
    <w:rsid w:val="2375388E"/>
    <w:rsid w:val="23C26BDB"/>
    <w:rsid w:val="243E65FA"/>
    <w:rsid w:val="244A0295"/>
    <w:rsid w:val="24B26373"/>
    <w:rsid w:val="24DA31EF"/>
    <w:rsid w:val="24DA5FBD"/>
    <w:rsid w:val="24E17E50"/>
    <w:rsid w:val="255A5AE5"/>
    <w:rsid w:val="25722D00"/>
    <w:rsid w:val="25795963"/>
    <w:rsid w:val="25FF7AFD"/>
    <w:rsid w:val="26041020"/>
    <w:rsid w:val="26482040"/>
    <w:rsid w:val="26921D5C"/>
    <w:rsid w:val="26AC7240"/>
    <w:rsid w:val="26DA21D8"/>
    <w:rsid w:val="26DF764B"/>
    <w:rsid w:val="27176FDB"/>
    <w:rsid w:val="27221132"/>
    <w:rsid w:val="27853579"/>
    <w:rsid w:val="278E16DE"/>
    <w:rsid w:val="27CE6E3F"/>
    <w:rsid w:val="282615FA"/>
    <w:rsid w:val="287560DE"/>
    <w:rsid w:val="28EC5E4D"/>
    <w:rsid w:val="290D042C"/>
    <w:rsid w:val="293121F6"/>
    <w:rsid w:val="29327ABB"/>
    <w:rsid w:val="293550B0"/>
    <w:rsid w:val="294A65B2"/>
    <w:rsid w:val="2950531B"/>
    <w:rsid w:val="297C4ABC"/>
    <w:rsid w:val="29D25AAA"/>
    <w:rsid w:val="29E76B67"/>
    <w:rsid w:val="2A0F07A3"/>
    <w:rsid w:val="2A2070D0"/>
    <w:rsid w:val="2A8F45BA"/>
    <w:rsid w:val="2ADB1E44"/>
    <w:rsid w:val="2AF63634"/>
    <w:rsid w:val="2AFF0A60"/>
    <w:rsid w:val="2B147E30"/>
    <w:rsid w:val="2B51652E"/>
    <w:rsid w:val="2BA01EFF"/>
    <w:rsid w:val="2C1274F8"/>
    <w:rsid w:val="2C3853D1"/>
    <w:rsid w:val="2C743411"/>
    <w:rsid w:val="2CB43A85"/>
    <w:rsid w:val="2CCB09C2"/>
    <w:rsid w:val="2CD8032B"/>
    <w:rsid w:val="2D1C66B8"/>
    <w:rsid w:val="2DF629EC"/>
    <w:rsid w:val="2E112405"/>
    <w:rsid w:val="2E305AF9"/>
    <w:rsid w:val="2E84543F"/>
    <w:rsid w:val="2E8B7B4D"/>
    <w:rsid w:val="2EBB271E"/>
    <w:rsid w:val="2F0C243E"/>
    <w:rsid w:val="2F22690E"/>
    <w:rsid w:val="2F2B0BAF"/>
    <w:rsid w:val="2F320885"/>
    <w:rsid w:val="2F36544A"/>
    <w:rsid w:val="2F48565A"/>
    <w:rsid w:val="2F62721B"/>
    <w:rsid w:val="2F6E3726"/>
    <w:rsid w:val="2F8977CF"/>
    <w:rsid w:val="2F927575"/>
    <w:rsid w:val="300A1A04"/>
    <w:rsid w:val="30695296"/>
    <w:rsid w:val="30A21A3A"/>
    <w:rsid w:val="30BF0098"/>
    <w:rsid w:val="30D70084"/>
    <w:rsid w:val="30ED53AB"/>
    <w:rsid w:val="3131307A"/>
    <w:rsid w:val="31442AF1"/>
    <w:rsid w:val="31442BCC"/>
    <w:rsid w:val="317634BA"/>
    <w:rsid w:val="31790D83"/>
    <w:rsid w:val="319B1B71"/>
    <w:rsid w:val="31A65AD5"/>
    <w:rsid w:val="31D43C7D"/>
    <w:rsid w:val="31FD26F3"/>
    <w:rsid w:val="31FE3222"/>
    <w:rsid w:val="325E0574"/>
    <w:rsid w:val="32627F73"/>
    <w:rsid w:val="32784D40"/>
    <w:rsid w:val="327A36C7"/>
    <w:rsid w:val="328D310A"/>
    <w:rsid w:val="32BD48A1"/>
    <w:rsid w:val="32C42270"/>
    <w:rsid w:val="331A4917"/>
    <w:rsid w:val="333560EC"/>
    <w:rsid w:val="33D53366"/>
    <w:rsid w:val="340275DA"/>
    <w:rsid w:val="341B3D19"/>
    <w:rsid w:val="345F4E9C"/>
    <w:rsid w:val="34762481"/>
    <w:rsid w:val="34796F56"/>
    <w:rsid w:val="34BB752F"/>
    <w:rsid w:val="34BC3279"/>
    <w:rsid w:val="34E22D4D"/>
    <w:rsid w:val="34E66D84"/>
    <w:rsid w:val="3504064F"/>
    <w:rsid w:val="350E3E29"/>
    <w:rsid w:val="35143900"/>
    <w:rsid w:val="3522586C"/>
    <w:rsid w:val="352D14DA"/>
    <w:rsid w:val="356419B4"/>
    <w:rsid w:val="35C60F97"/>
    <w:rsid w:val="35D46E09"/>
    <w:rsid w:val="35FF5AAC"/>
    <w:rsid w:val="366E4426"/>
    <w:rsid w:val="36A43CD5"/>
    <w:rsid w:val="36B335DA"/>
    <w:rsid w:val="36B93513"/>
    <w:rsid w:val="36FF4A43"/>
    <w:rsid w:val="372376B1"/>
    <w:rsid w:val="37243676"/>
    <w:rsid w:val="372501D2"/>
    <w:rsid w:val="376B702A"/>
    <w:rsid w:val="377F3E4B"/>
    <w:rsid w:val="37FC5ED4"/>
    <w:rsid w:val="380B71D9"/>
    <w:rsid w:val="383E49BD"/>
    <w:rsid w:val="385C08DA"/>
    <w:rsid w:val="386B6052"/>
    <w:rsid w:val="38751CF8"/>
    <w:rsid w:val="388A1731"/>
    <w:rsid w:val="388E6FDE"/>
    <w:rsid w:val="39092C62"/>
    <w:rsid w:val="390D79FE"/>
    <w:rsid w:val="39227BBC"/>
    <w:rsid w:val="39232CB6"/>
    <w:rsid w:val="3954044E"/>
    <w:rsid w:val="39756C34"/>
    <w:rsid w:val="39781BB3"/>
    <w:rsid w:val="397B60BA"/>
    <w:rsid w:val="39BF2C75"/>
    <w:rsid w:val="3A075D30"/>
    <w:rsid w:val="3A0F5093"/>
    <w:rsid w:val="3A274115"/>
    <w:rsid w:val="3A554CB4"/>
    <w:rsid w:val="3A670FA8"/>
    <w:rsid w:val="3A7431E1"/>
    <w:rsid w:val="3A993EAE"/>
    <w:rsid w:val="3AAD0162"/>
    <w:rsid w:val="3AB92E82"/>
    <w:rsid w:val="3B7B2ABD"/>
    <w:rsid w:val="3B9201C0"/>
    <w:rsid w:val="3B936299"/>
    <w:rsid w:val="3BC067A8"/>
    <w:rsid w:val="3C1B20DA"/>
    <w:rsid w:val="3C7F5809"/>
    <w:rsid w:val="3C887032"/>
    <w:rsid w:val="3CAB74F6"/>
    <w:rsid w:val="3CF472C8"/>
    <w:rsid w:val="3D1526A4"/>
    <w:rsid w:val="3D3F24F3"/>
    <w:rsid w:val="3D6267D9"/>
    <w:rsid w:val="3D766F74"/>
    <w:rsid w:val="3D7A4056"/>
    <w:rsid w:val="3DBF2FBC"/>
    <w:rsid w:val="3E270481"/>
    <w:rsid w:val="3E953C71"/>
    <w:rsid w:val="3EE65AEC"/>
    <w:rsid w:val="3EFE7DC8"/>
    <w:rsid w:val="3F085288"/>
    <w:rsid w:val="3F3137C0"/>
    <w:rsid w:val="3F46779F"/>
    <w:rsid w:val="3F5057E8"/>
    <w:rsid w:val="3F575936"/>
    <w:rsid w:val="3F7F139D"/>
    <w:rsid w:val="3F7F1E7F"/>
    <w:rsid w:val="3F806E7E"/>
    <w:rsid w:val="3FCF6352"/>
    <w:rsid w:val="3FE202F1"/>
    <w:rsid w:val="3FE67B95"/>
    <w:rsid w:val="407707ED"/>
    <w:rsid w:val="413E0AE5"/>
    <w:rsid w:val="417D3844"/>
    <w:rsid w:val="41B717DE"/>
    <w:rsid w:val="41D8350E"/>
    <w:rsid w:val="41EA4A24"/>
    <w:rsid w:val="426D1821"/>
    <w:rsid w:val="42734FE4"/>
    <w:rsid w:val="427870D3"/>
    <w:rsid w:val="42D138AC"/>
    <w:rsid w:val="42E44134"/>
    <w:rsid w:val="42FC4E90"/>
    <w:rsid w:val="430427B7"/>
    <w:rsid w:val="43212A79"/>
    <w:rsid w:val="432804C5"/>
    <w:rsid w:val="432E0049"/>
    <w:rsid w:val="4362402E"/>
    <w:rsid w:val="43643BF0"/>
    <w:rsid w:val="436C6603"/>
    <w:rsid w:val="437D2BBD"/>
    <w:rsid w:val="43C1749B"/>
    <w:rsid w:val="43C64675"/>
    <w:rsid w:val="43DF4416"/>
    <w:rsid w:val="43EF46D3"/>
    <w:rsid w:val="440445DB"/>
    <w:rsid w:val="4427377D"/>
    <w:rsid w:val="445A59E4"/>
    <w:rsid w:val="445B73CF"/>
    <w:rsid w:val="44942295"/>
    <w:rsid w:val="44C14EE7"/>
    <w:rsid w:val="44F763E8"/>
    <w:rsid w:val="454E497B"/>
    <w:rsid w:val="457C0E6B"/>
    <w:rsid w:val="4596060A"/>
    <w:rsid w:val="45CE3319"/>
    <w:rsid w:val="45DE3495"/>
    <w:rsid w:val="45FB682B"/>
    <w:rsid w:val="460C5CDF"/>
    <w:rsid w:val="462E5DF2"/>
    <w:rsid w:val="46432A27"/>
    <w:rsid w:val="465A6BE7"/>
    <w:rsid w:val="46970CA8"/>
    <w:rsid w:val="46C33382"/>
    <w:rsid w:val="46C76F99"/>
    <w:rsid w:val="46DE5ACF"/>
    <w:rsid w:val="46F5463B"/>
    <w:rsid w:val="472C01BC"/>
    <w:rsid w:val="477F2EE0"/>
    <w:rsid w:val="47862FCF"/>
    <w:rsid w:val="47B30423"/>
    <w:rsid w:val="47D24F46"/>
    <w:rsid w:val="47EE6517"/>
    <w:rsid w:val="47FC7A2D"/>
    <w:rsid w:val="47FE437A"/>
    <w:rsid w:val="47FF0B70"/>
    <w:rsid w:val="48257363"/>
    <w:rsid w:val="482C2098"/>
    <w:rsid w:val="48491721"/>
    <w:rsid w:val="48662E55"/>
    <w:rsid w:val="48BB7299"/>
    <w:rsid w:val="49527DD1"/>
    <w:rsid w:val="4981092F"/>
    <w:rsid w:val="49845D29"/>
    <w:rsid w:val="49D02626"/>
    <w:rsid w:val="49D722FD"/>
    <w:rsid w:val="49DE42A2"/>
    <w:rsid w:val="49E43059"/>
    <w:rsid w:val="49E43743"/>
    <w:rsid w:val="49FB269C"/>
    <w:rsid w:val="4A28716D"/>
    <w:rsid w:val="4A393B7B"/>
    <w:rsid w:val="4A3A2DF8"/>
    <w:rsid w:val="4AC13065"/>
    <w:rsid w:val="4AD05CCA"/>
    <w:rsid w:val="4AF47489"/>
    <w:rsid w:val="4B3551B7"/>
    <w:rsid w:val="4BE42167"/>
    <w:rsid w:val="4C146ADC"/>
    <w:rsid w:val="4C2B0D3A"/>
    <w:rsid w:val="4C3273D2"/>
    <w:rsid w:val="4C7C718B"/>
    <w:rsid w:val="4CBE14AF"/>
    <w:rsid w:val="4CFB25FD"/>
    <w:rsid w:val="4D177EE3"/>
    <w:rsid w:val="4D187362"/>
    <w:rsid w:val="4D562F5C"/>
    <w:rsid w:val="4DB135B2"/>
    <w:rsid w:val="4DF85990"/>
    <w:rsid w:val="4E0F0211"/>
    <w:rsid w:val="4E3A116C"/>
    <w:rsid w:val="4E5E6B5C"/>
    <w:rsid w:val="4E995FC0"/>
    <w:rsid w:val="4EB57395"/>
    <w:rsid w:val="4EC6444B"/>
    <w:rsid w:val="4EF3337A"/>
    <w:rsid w:val="4F136DC7"/>
    <w:rsid w:val="4F20075B"/>
    <w:rsid w:val="4F2F5D8C"/>
    <w:rsid w:val="4FA65697"/>
    <w:rsid w:val="4FD56955"/>
    <w:rsid w:val="4FDB4C34"/>
    <w:rsid w:val="4FFA228B"/>
    <w:rsid w:val="500029BE"/>
    <w:rsid w:val="50647B5C"/>
    <w:rsid w:val="508F2260"/>
    <w:rsid w:val="50DE6667"/>
    <w:rsid w:val="50F42AEC"/>
    <w:rsid w:val="511107EA"/>
    <w:rsid w:val="513A6E88"/>
    <w:rsid w:val="51607BF1"/>
    <w:rsid w:val="51625889"/>
    <w:rsid w:val="516826DD"/>
    <w:rsid w:val="518956B7"/>
    <w:rsid w:val="51924422"/>
    <w:rsid w:val="52091D06"/>
    <w:rsid w:val="52261413"/>
    <w:rsid w:val="53441581"/>
    <w:rsid w:val="53865B52"/>
    <w:rsid w:val="54506D64"/>
    <w:rsid w:val="548D7D2A"/>
    <w:rsid w:val="54A96AB8"/>
    <w:rsid w:val="54D8623F"/>
    <w:rsid w:val="55230AEC"/>
    <w:rsid w:val="557B7463"/>
    <w:rsid w:val="56133C16"/>
    <w:rsid w:val="56262642"/>
    <w:rsid w:val="56952086"/>
    <w:rsid w:val="569A2D06"/>
    <w:rsid w:val="56C43C09"/>
    <w:rsid w:val="5714707A"/>
    <w:rsid w:val="572B48B9"/>
    <w:rsid w:val="575925A3"/>
    <w:rsid w:val="5777644B"/>
    <w:rsid w:val="57DB5D16"/>
    <w:rsid w:val="57E347D0"/>
    <w:rsid w:val="57E40474"/>
    <w:rsid w:val="586B1077"/>
    <w:rsid w:val="5886434D"/>
    <w:rsid w:val="58864A59"/>
    <w:rsid w:val="58B00DAC"/>
    <w:rsid w:val="58B90175"/>
    <w:rsid w:val="58CA7457"/>
    <w:rsid w:val="59462FFB"/>
    <w:rsid w:val="59862B74"/>
    <w:rsid w:val="599A6240"/>
    <w:rsid w:val="59BB31F8"/>
    <w:rsid w:val="59EA0165"/>
    <w:rsid w:val="59EE6E2F"/>
    <w:rsid w:val="5A3F3DF6"/>
    <w:rsid w:val="5A944EA3"/>
    <w:rsid w:val="5A9B12F5"/>
    <w:rsid w:val="5AB43503"/>
    <w:rsid w:val="5AF86A49"/>
    <w:rsid w:val="5B485B14"/>
    <w:rsid w:val="5B59222C"/>
    <w:rsid w:val="5BA5675E"/>
    <w:rsid w:val="5BB65DE7"/>
    <w:rsid w:val="5BBD462B"/>
    <w:rsid w:val="5BD60FBC"/>
    <w:rsid w:val="5C0464FE"/>
    <w:rsid w:val="5C0A2310"/>
    <w:rsid w:val="5C0C4088"/>
    <w:rsid w:val="5C27639E"/>
    <w:rsid w:val="5C463774"/>
    <w:rsid w:val="5C690230"/>
    <w:rsid w:val="5CCD16F1"/>
    <w:rsid w:val="5CE50F51"/>
    <w:rsid w:val="5D1C2ADB"/>
    <w:rsid w:val="5D3E6660"/>
    <w:rsid w:val="5D955B46"/>
    <w:rsid w:val="5DA219A4"/>
    <w:rsid w:val="5DDA4703"/>
    <w:rsid w:val="5DF20716"/>
    <w:rsid w:val="5DF9688E"/>
    <w:rsid w:val="5E276045"/>
    <w:rsid w:val="5E30608B"/>
    <w:rsid w:val="5E533B48"/>
    <w:rsid w:val="5E700488"/>
    <w:rsid w:val="5EA57BF5"/>
    <w:rsid w:val="5F9D1991"/>
    <w:rsid w:val="5FDE77A2"/>
    <w:rsid w:val="60076D25"/>
    <w:rsid w:val="60833A81"/>
    <w:rsid w:val="60844AAE"/>
    <w:rsid w:val="60BC115E"/>
    <w:rsid w:val="60F34620"/>
    <w:rsid w:val="61462903"/>
    <w:rsid w:val="614671C2"/>
    <w:rsid w:val="61A604D3"/>
    <w:rsid w:val="61D50226"/>
    <w:rsid w:val="61D9668C"/>
    <w:rsid w:val="61E53522"/>
    <w:rsid w:val="61E635CD"/>
    <w:rsid w:val="621352B4"/>
    <w:rsid w:val="624F46EE"/>
    <w:rsid w:val="62515C50"/>
    <w:rsid w:val="62B9554F"/>
    <w:rsid w:val="630329B5"/>
    <w:rsid w:val="631C14AF"/>
    <w:rsid w:val="63B55E9D"/>
    <w:rsid w:val="64123730"/>
    <w:rsid w:val="64203670"/>
    <w:rsid w:val="64DE2BA7"/>
    <w:rsid w:val="64F658D5"/>
    <w:rsid w:val="65396D38"/>
    <w:rsid w:val="65821319"/>
    <w:rsid w:val="65FB74D3"/>
    <w:rsid w:val="66172CCD"/>
    <w:rsid w:val="661A691E"/>
    <w:rsid w:val="6642662D"/>
    <w:rsid w:val="66455DC1"/>
    <w:rsid w:val="665E2F63"/>
    <w:rsid w:val="67017732"/>
    <w:rsid w:val="67234EC6"/>
    <w:rsid w:val="6723693A"/>
    <w:rsid w:val="672B60CF"/>
    <w:rsid w:val="673A09D6"/>
    <w:rsid w:val="674C29C7"/>
    <w:rsid w:val="675C03A7"/>
    <w:rsid w:val="678E2BC6"/>
    <w:rsid w:val="67F24D26"/>
    <w:rsid w:val="67F726EE"/>
    <w:rsid w:val="684E77D6"/>
    <w:rsid w:val="68B50A1C"/>
    <w:rsid w:val="68CE6BFA"/>
    <w:rsid w:val="68DB132A"/>
    <w:rsid w:val="68DF389F"/>
    <w:rsid w:val="69080D7C"/>
    <w:rsid w:val="69291A87"/>
    <w:rsid w:val="695459E4"/>
    <w:rsid w:val="69AC0686"/>
    <w:rsid w:val="6A055E09"/>
    <w:rsid w:val="6A6256DC"/>
    <w:rsid w:val="6A8F5DBC"/>
    <w:rsid w:val="6AE81031"/>
    <w:rsid w:val="6AFA59F3"/>
    <w:rsid w:val="6B3735E0"/>
    <w:rsid w:val="6BA70DF9"/>
    <w:rsid w:val="6BCB36ED"/>
    <w:rsid w:val="6C126BF9"/>
    <w:rsid w:val="6C2B67B9"/>
    <w:rsid w:val="6C620FED"/>
    <w:rsid w:val="6C645447"/>
    <w:rsid w:val="6C65268D"/>
    <w:rsid w:val="6C83366B"/>
    <w:rsid w:val="6C90660F"/>
    <w:rsid w:val="6CAC2C09"/>
    <w:rsid w:val="6CBB0CDE"/>
    <w:rsid w:val="6CE42E0B"/>
    <w:rsid w:val="6D000B7C"/>
    <w:rsid w:val="6DA17992"/>
    <w:rsid w:val="6DD33391"/>
    <w:rsid w:val="6DD4666F"/>
    <w:rsid w:val="6DE901DC"/>
    <w:rsid w:val="6E17339D"/>
    <w:rsid w:val="6E8A6E68"/>
    <w:rsid w:val="6E8B30C1"/>
    <w:rsid w:val="6E973714"/>
    <w:rsid w:val="6EE124B0"/>
    <w:rsid w:val="6EFC751A"/>
    <w:rsid w:val="6F082B13"/>
    <w:rsid w:val="6F0F3585"/>
    <w:rsid w:val="6F394D3C"/>
    <w:rsid w:val="6F6E4BFB"/>
    <w:rsid w:val="6F8053F4"/>
    <w:rsid w:val="6FA1740B"/>
    <w:rsid w:val="6FA31161"/>
    <w:rsid w:val="6FD34ED2"/>
    <w:rsid w:val="6FF91E41"/>
    <w:rsid w:val="702A0A9E"/>
    <w:rsid w:val="703342DF"/>
    <w:rsid w:val="70565E05"/>
    <w:rsid w:val="708446CE"/>
    <w:rsid w:val="70F12042"/>
    <w:rsid w:val="714C7CAF"/>
    <w:rsid w:val="71743E93"/>
    <w:rsid w:val="71926749"/>
    <w:rsid w:val="726D04CE"/>
    <w:rsid w:val="727D3192"/>
    <w:rsid w:val="72B93EA8"/>
    <w:rsid w:val="7370319A"/>
    <w:rsid w:val="738E2AEC"/>
    <w:rsid w:val="73B50F29"/>
    <w:rsid w:val="73C97E7A"/>
    <w:rsid w:val="740748AB"/>
    <w:rsid w:val="740A5833"/>
    <w:rsid w:val="74145E9E"/>
    <w:rsid w:val="745F5F47"/>
    <w:rsid w:val="74630203"/>
    <w:rsid w:val="746F3052"/>
    <w:rsid w:val="747B4628"/>
    <w:rsid w:val="74CD4834"/>
    <w:rsid w:val="75233256"/>
    <w:rsid w:val="75442922"/>
    <w:rsid w:val="7552524E"/>
    <w:rsid w:val="7564300D"/>
    <w:rsid w:val="75B503D0"/>
    <w:rsid w:val="75BC6B6D"/>
    <w:rsid w:val="75D52BEB"/>
    <w:rsid w:val="762E78E5"/>
    <w:rsid w:val="764C01CF"/>
    <w:rsid w:val="767E5BB6"/>
    <w:rsid w:val="768217EE"/>
    <w:rsid w:val="77464ECE"/>
    <w:rsid w:val="775251F2"/>
    <w:rsid w:val="78430A3F"/>
    <w:rsid w:val="785C4565"/>
    <w:rsid w:val="785F5657"/>
    <w:rsid w:val="78762C49"/>
    <w:rsid w:val="78D438B5"/>
    <w:rsid w:val="790D5354"/>
    <w:rsid w:val="791365FE"/>
    <w:rsid w:val="792E3BF9"/>
    <w:rsid w:val="794951F2"/>
    <w:rsid w:val="795032E4"/>
    <w:rsid w:val="796E7CD8"/>
    <w:rsid w:val="79786CF9"/>
    <w:rsid w:val="79D76E77"/>
    <w:rsid w:val="79E6721A"/>
    <w:rsid w:val="7A4E6A86"/>
    <w:rsid w:val="7AA24E8C"/>
    <w:rsid w:val="7AB507DE"/>
    <w:rsid w:val="7ADB2D4D"/>
    <w:rsid w:val="7ADC3F30"/>
    <w:rsid w:val="7B07695A"/>
    <w:rsid w:val="7BCA245B"/>
    <w:rsid w:val="7BD27F14"/>
    <w:rsid w:val="7BE05D8E"/>
    <w:rsid w:val="7C652B2F"/>
    <w:rsid w:val="7CAE3E52"/>
    <w:rsid w:val="7CB37D56"/>
    <w:rsid w:val="7CF642DC"/>
    <w:rsid w:val="7CFA0831"/>
    <w:rsid w:val="7D2008EE"/>
    <w:rsid w:val="7D2E7A77"/>
    <w:rsid w:val="7D632DA9"/>
    <w:rsid w:val="7D71212D"/>
    <w:rsid w:val="7D7772B1"/>
    <w:rsid w:val="7DB12579"/>
    <w:rsid w:val="7DBC4953"/>
    <w:rsid w:val="7DE339EE"/>
    <w:rsid w:val="7DE853B0"/>
    <w:rsid w:val="7DEF7D2D"/>
    <w:rsid w:val="7DF913EF"/>
    <w:rsid w:val="7E24655E"/>
    <w:rsid w:val="7E6C6CC1"/>
    <w:rsid w:val="7E8F30F4"/>
    <w:rsid w:val="7E922A92"/>
    <w:rsid w:val="7EAC6D33"/>
    <w:rsid w:val="7ECB0430"/>
    <w:rsid w:val="7EE73026"/>
    <w:rsid w:val="7F005F07"/>
    <w:rsid w:val="7FB72FE6"/>
    <w:rsid w:val="7FB942FC"/>
    <w:rsid w:val="7FC07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5" w:lineRule="auto"/>
      <w:outlineLvl w:val="1"/>
    </w:pPr>
    <w:rPr>
      <w:rFonts w:ascii="Cambria" w:hAnsi="Cambria" w:eastAsia="宋体" w:cs="Times New Roman"/>
      <w:b/>
      <w:bCs/>
      <w:sz w:val="32"/>
      <w:szCs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unhideWhenUsed/>
    <w:qFormat/>
    <w:uiPriority w:val="99"/>
    <w:pPr>
      <w:spacing w:line="360" w:lineRule="auto"/>
      <w:ind w:firstLine="420" w:firstLineChars="200"/>
    </w:pPr>
    <w:rPr>
      <w:sz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10">
    <w:name w:val="Emphasis"/>
    <w:basedOn w:val="9"/>
    <w:qFormat/>
    <w:uiPriority w:val="0"/>
    <w:rPr>
      <w:i/>
    </w:rPr>
  </w:style>
  <w:style w:type="paragraph" w:customStyle="1" w:styleId="11">
    <w:name w:val="WPSOffice手动目录 1"/>
    <w:qFormat/>
    <w:uiPriority w:val="0"/>
    <w:rPr>
      <w:rFonts w:ascii="Times New Roman" w:hAnsi="Times New Roman" w:eastAsia="宋体" w:cs="Times New Roman"/>
      <w:lang w:val="en-US" w:eastAsia="zh-CN" w:bidi="ar-SA"/>
    </w:rPr>
  </w:style>
  <w:style w:type="paragraph" w:customStyle="1" w:styleId="1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3">
    <w:name w:val="WPSOffice手动目录 3"/>
    <w:qFormat/>
    <w:uiPriority w:val="0"/>
    <w:pPr>
      <w:ind w:leftChars="400"/>
    </w:pPr>
    <w:rPr>
      <w:rFonts w:ascii="Times New Roman" w:hAnsi="Times New Roman" w:eastAsia="宋体" w:cs="Times New Roman"/>
      <w:lang w:val="en-US" w:eastAsia="zh-CN" w:bidi="ar-SA"/>
    </w:rPr>
  </w:style>
  <w:style w:type="paragraph" w:customStyle="1" w:styleId="14">
    <w:name w:val="标题3"/>
    <w:basedOn w:val="15"/>
    <w:qFormat/>
    <w:uiPriority w:val="0"/>
    <w:pPr>
      <w:adjustRightInd w:val="0"/>
      <w:snapToGrid w:val="0"/>
      <w:spacing w:line="360" w:lineRule="auto"/>
      <w:ind w:left="480" w:leftChars="200"/>
    </w:pPr>
    <w:rPr>
      <w:rFonts w:ascii="宋体"/>
      <w:bCs/>
      <w:sz w:val="24"/>
    </w:rPr>
  </w:style>
  <w:style w:type="paragraph" w:customStyle="1" w:styleId="15">
    <w:name w:val="标题三"/>
    <w:basedOn w:val="1"/>
    <w:qFormat/>
    <w:uiPriority w:val="0"/>
    <w:pPr>
      <w:adjustRightInd/>
      <w:snapToGrid/>
      <w:spacing w:line="240" w:lineRule="auto"/>
      <w:ind w:firstLine="0" w:firstLineChars="0"/>
    </w:pPr>
    <w:rPr>
      <w:rFonts w:ascii="Times New Roman"/>
      <w:b/>
      <w:sz w:val="21"/>
    </w:rPr>
  </w:style>
  <w:style w:type="paragraph" w:customStyle="1" w:styleId="16">
    <w:name w:val="正文111"/>
    <w:basedOn w:val="1"/>
    <w:qFormat/>
    <w:uiPriority w:val="0"/>
    <w:pPr>
      <w:spacing w:line="360" w:lineRule="auto"/>
      <w:ind w:firstLine="200" w:firstLineChars="200"/>
    </w:pPr>
    <w:rPr>
      <w:rFonts w:ascii="宋体" w:hAnsi="宋体"/>
      <w:b/>
      <w:sz w:val="24"/>
    </w:rPr>
  </w:style>
  <w:style w:type="paragraph" w:customStyle="1" w:styleId="17">
    <w:name w:val="L正文"/>
    <w:next w:val="1"/>
    <w:qFormat/>
    <w:uiPriority w:val="0"/>
    <w:pPr>
      <w:spacing w:line="560" w:lineRule="exact"/>
      <w:ind w:firstLine="200" w:firstLineChars="200"/>
    </w:pPr>
    <w:rPr>
      <w:rFonts w:ascii="宋体" w:hAnsi="Calibri" w:eastAsia="宋体" w:cs="Times New Roman"/>
      <w:bCs/>
      <w:kern w:val="2"/>
      <w:sz w:val="28"/>
      <w:szCs w:val="28"/>
      <w:lang w:val="en-US" w:eastAsia="zh-CN" w:bidi="ar-SA"/>
    </w:rPr>
  </w:style>
  <w:style w:type="character" w:customStyle="1" w:styleId="18">
    <w:name w:val="font21"/>
    <w:basedOn w:val="9"/>
    <w:qFormat/>
    <w:uiPriority w:val="0"/>
    <w:rPr>
      <w:rFonts w:hint="eastAsia" w:ascii="宋体" w:hAnsi="宋体" w:eastAsia="宋体" w:cs="宋体"/>
      <w:b/>
      <w:bCs/>
      <w:color w:val="000000"/>
      <w:sz w:val="24"/>
      <w:szCs w:val="24"/>
      <w:u w:val="none"/>
    </w:rPr>
  </w:style>
  <w:style w:type="character" w:customStyle="1" w:styleId="19">
    <w:name w:val="font81"/>
    <w:basedOn w:val="9"/>
    <w:qFormat/>
    <w:uiPriority w:val="0"/>
    <w:rPr>
      <w:rFonts w:hint="eastAsia" w:ascii="宋体" w:hAnsi="宋体" w:eastAsia="宋体" w:cs="宋体"/>
      <w:b/>
      <w:bCs/>
      <w:color w:val="000000"/>
      <w:sz w:val="21"/>
      <w:szCs w:val="21"/>
      <w:u w:val="none"/>
    </w:rPr>
  </w:style>
  <w:style w:type="character" w:customStyle="1" w:styleId="20">
    <w:name w:val="font51"/>
    <w:basedOn w:val="9"/>
    <w:qFormat/>
    <w:uiPriority w:val="0"/>
    <w:rPr>
      <w:rFonts w:hint="eastAsia" w:ascii="宋体" w:hAnsi="宋体" w:eastAsia="宋体" w:cs="宋体"/>
      <w:color w:val="000000"/>
      <w:sz w:val="22"/>
      <w:szCs w:val="22"/>
      <w:u w:val="none"/>
    </w:rPr>
  </w:style>
  <w:style w:type="character" w:customStyle="1" w:styleId="21">
    <w:name w:val="font11"/>
    <w:basedOn w:val="9"/>
    <w:qFormat/>
    <w:uiPriority w:val="0"/>
    <w:rPr>
      <w:rFonts w:hint="eastAsia" w:ascii="宋体" w:hAnsi="宋体" w:eastAsia="宋体" w:cs="宋体"/>
      <w:b/>
      <w:bCs/>
      <w:color w:val="000000"/>
      <w:sz w:val="28"/>
      <w:szCs w:val="28"/>
      <w:u w:val="none"/>
    </w:rPr>
  </w:style>
  <w:style w:type="character" w:customStyle="1" w:styleId="22">
    <w:name w:val="font31"/>
    <w:basedOn w:val="9"/>
    <w:qFormat/>
    <w:uiPriority w:val="0"/>
    <w:rPr>
      <w:rFonts w:hint="eastAsia" w:ascii="宋体" w:hAnsi="宋体" w:eastAsia="宋体" w:cs="宋体"/>
      <w:b/>
      <w:bCs/>
      <w:color w:val="000000"/>
      <w:sz w:val="21"/>
      <w:szCs w:val="21"/>
      <w:u w:val="none"/>
    </w:rPr>
  </w:style>
  <w:style w:type="character" w:customStyle="1" w:styleId="23">
    <w:name w:val="font41"/>
    <w:basedOn w:val="9"/>
    <w:qFormat/>
    <w:uiPriority w:val="0"/>
    <w:rPr>
      <w:rFonts w:hint="eastAsia" w:ascii="宋体" w:hAnsi="宋体" w:eastAsia="宋体" w:cs="宋体"/>
      <w:color w:val="000000"/>
      <w:sz w:val="21"/>
      <w:szCs w:val="21"/>
      <w:u w:val="none"/>
      <w:vertAlign w:val="superscript"/>
    </w:rPr>
  </w:style>
  <w:style w:type="character" w:customStyle="1" w:styleId="24">
    <w:name w:val="font0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21703</Words>
  <Characters>30299</Characters>
  <Lines>0</Lines>
  <Paragraphs>0</Paragraphs>
  <TotalTime>3</TotalTime>
  <ScaleCrop>false</ScaleCrop>
  <LinksUpToDate>false</LinksUpToDate>
  <CharactersWithSpaces>31592</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2024-02-22T10:30:00Z</dcterms:created>
  <dc:creator>Administrator</dc:creator>
  <cp:lastModifiedBy>Administrator</cp:lastModifiedBy>
  <dcterms:modified xsi:type="dcterms:W3CDTF">2024-06-13T09:27:39Z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CF03B18F5A1A435AAE099995D49627E8_13</vt:lpwstr>
  </property>
</Properties>
</file>