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6"/>
          <w:rFonts w:hint="eastAsia" w:ascii="方正小标宋简体" w:hAnsi="方正小标宋简体" w:eastAsia="方正小标宋简体" w:cs="方正小标宋简体"/>
          <w:b w:val="0"/>
          <w:bCs/>
          <w:i w:val="0"/>
          <w:caps w:val="0"/>
          <w:spacing w:val="0"/>
          <w:w w:val="100"/>
          <w:kern w:val="2"/>
          <w:sz w:val="28"/>
          <w:szCs w:val="28"/>
          <w:lang w:val="en-US" w:eastAsia="zh-CN" w:bidi="ar-SA"/>
        </w:rPr>
      </w:pPr>
      <w:r>
        <w:rPr>
          <w:rStyle w:val="6"/>
          <w:rFonts w:hint="eastAsia" w:ascii="方正小标宋简体" w:hAnsi="方正小标宋简体" w:eastAsia="方正小标宋简体" w:cs="方正小标宋简体"/>
          <w:b w:val="0"/>
          <w:bCs/>
          <w:i w:val="0"/>
          <w:caps w:val="0"/>
          <w:spacing w:val="0"/>
          <w:w w:val="100"/>
          <w:kern w:val="2"/>
          <w:sz w:val="28"/>
          <w:szCs w:val="28"/>
          <w:lang w:val="en-US" w:eastAsia="zh-CN" w:bidi="ar-SA"/>
        </w:rPr>
        <w:t>阿勒泰地区人民医院污水在线检测运维合同</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bookmarkStart w:id="0" w:name="_GoBack"/>
      <w:bookmarkEnd w:id="0"/>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甲方： 阿勒泰地区人民医院</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乙方：</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为保证阿勒泰地区人民医院（分院）污水处理站水质自动监控设备（COD、氨氮、总磷、总氮、流量计、PH计）正常稳定运行。甲方委托乙方对目前的自动监测设备进行专业化运维管理，具体协议内容如下：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一、专业化运营定义：</w:t>
      </w: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在线监控设施专业化运营，是指运营企业利用自己的专业知识和专业技术，通过对自动监控设备实施有效的维护和维修，保证设备稳定正常运行，真实反映医院污染状况，为环保部门提供客观公正管理依据的有偿服务。</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二、专业化运营的内涵：</w:t>
      </w: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1.运营企业的技术人员必须具有专业知识和专业技术；</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2.自动监控设备的使用、运行、维护应制订明确的技术规范；</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3.严格按照要求，定期进行对比测试、校准等；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4.建立自动监控设备运行记录；</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5.自动监控设备因故障不能正常传输数据时，应及时检修并向环境监察机构汇报，必要时采取手动检测，保证污水排放数据连续准确，确保污水排放数据向环保部门汇报。</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baseline"/>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三、运营模式：巡检式运营：</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设备由医院定员看管，我公司委派技术人员，自合同生效日起计算至少每周定时到现场对设备进行察看、记录，并按技术规范要求，定期对设备进行维护。出现故障，随叫随到，四小时内到达现场排除。差旅费（食、住、行）由乙方自行承担。</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2" w:firstLineChars="200"/>
        <w:jc w:val="both"/>
        <w:textAlignment w:val="baseline"/>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四、日常维护的基本内容：</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对污染源自动监控系统的维护按照系统的维护规范和各种仪器相应的维护规范进行，但必须包含以下基本内容：</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（一）废水污染源自动监控系统日常维护</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1、每日远程检查系统运行状态。</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2、每7日至少到现场对整个系统（包括采样系统、分析仪器系统、数据存储/控制系统）进行一次检查和维护。</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3、每1个月至少进行一次手动对仪器进行校准。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4、保持仪器设备的清洁。</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5、设备仪器日常维护：</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1）定期检查分析仪器准确性和稳定性，检测光源强度。</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2）定期检查、定期更换系统所必须的易损设备，如供给软管、排水管、工作电极等，保证系统正常运行。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3）至少1个月对仪器进行一次零点和量程的手动校准。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6、pH仪器日常维护。每半月至少用酸液清洗一次电极，每1个月至少用标准液进行一次校准。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7、流量计的维护及其他设备按相应维护规范进行。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2"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五、系统的检修：</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为了使污染源自动监控系统能维持完整的数据获取率，需具备迅速的故障排除、充足的备品备件、便捷的交通和通讯工作工具等必要的保证条件。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1、发现故障或接到故障通知，专业技术人员需在四小时内到现场进行处理。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2、对于一些容易诊断的故障应在当天进行维修，对不易诊断和维修的仪器故障，应在2天内完成维修。</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3、若监测仪器进行了更换在正常使用和运行之前必须对仪器进行一次对比监测和校验。</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4、备有常用的备品备件，对其使用情况进行定期清点，并根据实际需要进行增购，以不断调整和补充各种备品备件的存储数量。</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2"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六、建立仪器档案文件：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系统技术文件的健全是对污染源连续排放监测系统中的监测仪器进行科学管理的体现，运营机构需对各个污染源连续排放子系统和系统中的各台仪器设备建立严格的技术档案。</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技术档案内容：</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仪器的生产厂家、系统的安装单位和竣工验收记录。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2、标准气体、标准液体的购置记录和配置记录。</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3、药剂添加、更换记录。</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4、监测仪器零点和量程漂移的例行检查报表。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5、监测（监控）仪器的例行检查记录。</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6、仪器设备的检修更换记录。</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7、各种仪器的操作、使用、维护规范。</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baseline"/>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七、运维管理工作职责：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1、数据获取率必须达到90％以上。</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2、所有的技术档案接受环保部门的定期检查和不定期抽查。</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3、每月向环保部门书面汇报运营工作。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4、若污染源自动监控系统产生重大故障，致使监测数据缺少1天以上，需将故障原因和处理方案及时上报环保部门。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5、接受监督核查部门的定期考核。</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baseline"/>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八、运维管理工作的技术考核（每扣1分，处罚10元，以此类推）：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一个运营周期结束后，由环保部门对运营单位的运营管理工作进行考核。其中技术考核以每个污染源在线监测子系统为单位从仪器档案、维护情况、维修情况等方面进行考核，考核总分为100分。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1、数据获取率（15分）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企业端的数据获取率未达到90％，扣15分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2、仪器技术档案（20分）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本技术规范所规定的技术档案内容每缺少一项，扣2分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3、维护考核（40分）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1）本技术规范“日常维护的基本内容”规定中的各项维护内容每缺少一次，视实际情况扣2－l0分；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2）因维护不善而影响仪器的正常运行、影响监测数据的科学准确性达10天以上的，视实际情况扣5－15分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4、检修考核（25分）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 xml:space="preserve">1）因备品备件不足、未及时到达现场、未及时更换配件等主观原因，致使一些易诊断修复的故障当天无法修复，扣5分。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2）若修复后的仪器在运行之前未进行必要的检测和校准，扣5分；苦更换的新仪器在运行之前未对仪器进行对比监测和校验，扣10分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3）若因数据存储／控制仪器故障，致使环境保护部门无法获取监测数据达3天以上，扣5分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5、单个子系统的技术档案、维护、维修三项内容的分数之和为运营机构对该子系统的运营得分，每项内容的得分扣至零为止。</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6、运营周期结束后将征求医院的意见，作为考核的内容之一。</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九、运营收费标准：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双方约定阿勒泰地区人民医院（分院）污水处理站污水在线监测设备交与乙方运营维护，运维管理费用为全年合计</w:t>
      </w:r>
      <w:r>
        <w:rPr>
          <w:rStyle w:val="6"/>
          <w:rFonts w:hint="eastAsia" w:ascii="仿宋_GB2312" w:hAnsi="仿宋_GB2312" w:eastAsia="仿宋_GB2312" w:cs="仿宋_GB2312"/>
          <w:b w:val="0"/>
          <w:bCs/>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6"/>
          <w:rFonts w:hint="eastAsia" w:ascii="仿宋_GB2312" w:hAnsi="仿宋_GB2312" w:eastAsia="仿宋_GB2312" w:cs="仿宋_GB2312"/>
          <w:b w:val="0"/>
          <w:bCs/>
          <w:i w:val="0"/>
          <w:caps w:val="0"/>
          <w:color w:val="000000" w:themeColor="text1"/>
          <w:spacing w:val="0"/>
          <w:w w:val="100"/>
          <w:kern w:val="2"/>
          <w:sz w:val="24"/>
          <w:szCs w:val="24"/>
          <w:u w:val="none" w:color="auto"/>
          <w:lang w:val="en-US" w:eastAsia="zh-CN" w:bidi="ar-SA"/>
          <w14:textFill>
            <w14:solidFill>
              <w14:schemeClr w14:val="tx1"/>
            </w14:solidFill>
          </w14:textFill>
        </w:rPr>
        <w:t>万元</w:t>
      </w: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，该运营费中包含试剂及2000元以内的配件由乙方自行承担。</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baseline"/>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十、服务期</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Chars="200"/>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服务期三年，合同一年一签。</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baseline"/>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十一、付款方式：</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双方合同签订生效后付款方式，方式一：签订合同后甲方支付合同总额的50%，运营六个月后，甲方支付合同总额的30%，全年运营维护结束，甲方支付合同总额的20%，乙方开具全额技术服务发票。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baseline"/>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十二、合同解除与补充：</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80"/>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1、合同签订之日起三个月试用，在试用期内达不到甲方要求，可解除本合同。</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80"/>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2、因乙方重大过错给甲方造成损失，乙方赔偿损失并自行解除本合同。</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80"/>
        <w:jc w:val="left"/>
        <w:textAlignment w:val="baseline"/>
        <w:rPr>
          <w:rStyle w:val="6"/>
          <w:rFonts w:hint="default"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3、本合同未详尽事宜，在运行过程中甲乙双方协商补充，补充协议和本合同具有同等法律效力。</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baseline"/>
        <w:rPr>
          <w:rStyle w:val="6"/>
          <w:rFonts w:hint="default"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十三、争议：</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执行本合同发生争议，由甲乙双方协商解决。协商不成的，任何一方可向甲方所在地人民法院提起诉议。</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baseline"/>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bCs w:val="0"/>
          <w:i w:val="0"/>
          <w:caps w:val="0"/>
          <w:color w:val="000000" w:themeColor="text1"/>
          <w:spacing w:val="0"/>
          <w:w w:val="100"/>
          <w:kern w:val="2"/>
          <w:sz w:val="24"/>
          <w:szCs w:val="24"/>
          <w:lang w:val="en-US" w:eastAsia="zh-CN" w:bidi="ar-SA"/>
          <w14:textFill>
            <w14:solidFill>
              <w14:schemeClr w14:val="tx1"/>
            </w14:solidFill>
          </w14:textFill>
        </w:rPr>
        <w:t>十四、本合同一式肆份，甲乙双方各执两份。</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hanging="5481"/>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 xml:space="preserve">甲方：新疆云泰环保投资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hanging="5481"/>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hanging="5481"/>
        <w:jc w:val="both"/>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甲方：                                                   甲方（盖章）：                 乙方（盖章）：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法定代表（或委托代理）人签字：         法定代表（或委托代理）人签字：</w:t>
      </w:r>
    </w:p>
    <w:p>
      <w:pPr>
        <w:keepNext w:val="0"/>
        <w:keepLines w:val="0"/>
        <w:pageBreakBefore w:val="0"/>
        <w:widowControl/>
        <w:tabs>
          <w:tab w:val="center" w:pos="4153"/>
        </w:tabs>
        <w:kinsoku/>
        <w:wordWrap/>
        <w:overflowPunct/>
        <w:topLinePunct w:val="0"/>
        <w:autoSpaceDE/>
        <w:autoSpaceDN/>
        <w:bidi w:val="0"/>
        <w:adjustRightInd/>
        <w:snapToGrid/>
        <w:spacing w:before="0" w:beforeAutospacing="0" w:after="0" w:afterAutospacing="0" w:line="560" w:lineRule="exact"/>
        <w:ind w:left="0" w:firstLine="480" w:firstLineChars="200"/>
        <w:jc w:val="left"/>
        <w:textAlignment w:val="baseline"/>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 xml:space="preserve">    签订日期：</w:t>
      </w: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ab/>
      </w:r>
      <w:r>
        <w:rPr>
          <w:rStyle w:val="6"/>
          <w:rFonts w:hint="eastAsia" w:ascii="仿宋_GB2312" w:hAnsi="仿宋_GB2312" w:eastAsia="仿宋_GB2312" w:cs="仿宋_GB2312"/>
          <w:b w:val="0"/>
          <w:bCs/>
          <w:i w:val="0"/>
          <w:caps w:val="0"/>
          <w:color w:val="000000" w:themeColor="text1"/>
          <w:spacing w:val="0"/>
          <w:w w:val="100"/>
          <w:kern w:val="2"/>
          <w:sz w:val="24"/>
          <w:szCs w:val="24"/>
          <w:lang w:val="en-US" w:eastAsia="zh-CN" w:bidi="ar-SA"/>
          <w14:textFill>
            <w14:solidFill>
              <w14:schemeClr w14:val="tx1"/>
            </w14:solidFill>
          </w14:textFill>
        </w:rPr>
        <w:t xml:space="preserve">                             签订日期：</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jc w:val="left"/>
        <w:textAlignment w:val="baseline"/>
        <w:rPr>
          <w:rStyle w:val="6"/>
          <w:rFonts w:hint="default" w:ascii="仿宋_GB2312" w:hAnsi="仿宋_GB2312" w:eastAsia="仿宋_GB2312" w:cs="仿宋_GB2312"/>
          <w:b w:val="0"/>
          <w:bCs/>
          <w:i w:val="0"/>
          <w:caps w:val="0"/>
          <w:color w:val="000000" w:themeColor="text1"/>
          <w:spacing w:val="0"/>
          <w:w w:val="100"/>
          <w:kern w:val="2"/>
          <w:sz w:val="32"/>
          <w:szCs w:val="32"/>
          <w:lang w:val="en-US" w:eastAsia="zh-CN" w:bidi="ar-SA"/>
          <w14:textFill>
            <w14:solidFill>
              <w14:schemeClr w14:val="tx1"/>
            </w14:solidFill>
          </w14:textFill>
        </w:rPr>
      </w:pPr>
      <w:r>
        <w:rPr>
          <w:rStyle w:val="6"/>
          <w:rFonts w:hint="eastAsia" w:ascii="仿宋_GB2312" w:hAnsi="仿宋_GB2312" w:eastAsia="仿宋_GB2312" w:cs="仿宋_GB2312"/>
          <w:b w:val="0"/>
          <w:bCs/>
          <w:i w:val="0"/>
          <w:caps w:val="0"/>
          <w:color w:val="000000" w:themeColor="text1"/>
          <w:spacing w:val="0"/>
          <w:w w:val="100"/>
          <w:kern w:val="2"/>
          <w:sz w:val="32"/>
          <w:szCs w:val="32"/>
          <w:lang w:val="en-US" w:eastAsia="zh-CN" w:bidi="ar-SA"/>
          <w14:textFill>
            <w14:solidFill>
              <w14:schemeClr w14:val="tx1"/>
            </w14:solidFill>
          </w14:textFill>
        </w:rPr>
        <w:t xml:space="preserve">   </w:t>
      </w:r>
    </w:p>
    <w:sectPr>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33DDB"/>
    <w:multiLevelType w:val="singleLevel"/>
    <w:tmpl w:val="C7133D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7BCC"/>
    <w:rsid w:val="003E7DE1"/>
    <w:rsid w:val="00442C54"/>
    <w:rsid w:val="004B0A85"/>
    <w:rsid w:val="004F3162"/>
    <w:rsid w:val="00741C75"/>
    <w:rsid w:val="007C5AA2"/>
    <w:rsid w:val="00843ADA"/>
    <w:rsid w:val="00921EF0"/>
    <w:rsid w:val="009A4975"/>
    <w:rsid w:val="00D57174"/>
    <w:rsid w:val="00DF5B3D"/>
    <w:rsid w:val="00EA4B98"/>
    <w:rsid w:val="00FD307A"/>
    <w:rsid w:val="065D09C8"/>
    <w:rsid w:val="075F6C2D"/>
    <w:rsid w:val="0A7C55E1"/>
    <w:rsid w:val="14734788"/>
    <w:rsid w:val="2EDC1CCE"/>
    <w:rsid w:val="41246FCB"/>
    <w:rsid w:val="561B6B7F"/>
    <w:rsid w:val="765E6845"/>
    <w:rsid w:val="7A85434F"/>
    <w:rsid w:val="7D072577"/>
    <w:rsid w:val="7D5512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8"/>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semiHidden/>
    <w:uiPriority w:val="0"/>
  </w:style>
  <w:style w:type="table" w:customStyle="1" w:styleId="7">
    <w:name w:val="TableNormal"/>
    <w:uiPriority w:val="0"/>
  </w:style>
  <w:style w:type="character" w:customStyle="1" w:styleId="8">
    <w:name w:val="UserStyle_0"/>
    <w:link w:val="3"/>
    <w:semiHidden/>
    <w:qFormat/>
    <w:uiPriority w:val="0"/>
    <w:rPr>
      <w:kern w:val="2"/>
      <w:sz w:val="18"/>
      <w:szCs w:val="18"/>
    </w:rPr>
  </w:style>
  <w:style w:type="character" w:customStyle="1" w:styleId="9">
    <w:name w:val="UserStyle_1"/>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2022-09-08T09:14:00Z</dcterms:created>
  <dc:creator>Administrator</dc:creator>
  <cp:lastModifiedBy>Administrator</cp:lastModifiedBy>
  <dcterms:modified xsi:type="dcterms:W3CDTF">2024-03-02T03:33:19Z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