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10B28">
      <w:pPr>
        <w:jc w:val="center"/>
        <w:rPr>
          <w:rFonts w:asciiTheme="minorEastAsia" w:hAnsiTheme="minorEastAsia" w:eastAsiaTheme="minorEastAsia"/>
          <w:b/>
          <w:szCs w:val="21"/>
        </w:rPr>
      </w:pPr>
      <w:r>
        <w:rPr>
          <w:rFonts w:hint="eastAsia" w:asciiTheme="minorEastAsia" w:hAnsiTheme="minorEastAsia" w:eastAsiaTheme="minorEastAsia"/>
          <w:b/>
          <w:szCs w:val="21"/>
        </w:rPr>
        <w:t>采购</w:t>
      </w:r>
      <w:r>
        <w:rPr>
          <w:rFonts w:asciiTheme="minorEastAsia" w:hAnsiTheme="minorEastAsia" w:eastAsiaTheme="minorEastAsia"/>
          <w:b/>
          <w:szCs w:val="21"/>
        </w:rPr>
        <w:t>需求</w:t>
      </w:r>
    </w:p>
    <w:tbl>
      <w:tblPr>
        <w:tblStyle w:val="8"/>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95"/>
        <w:gridCol w:w="8403"/>
        <w:gridCol w:w="850"/>
      </w:tblGrid>
      <w:tr w14:paraId="0FB6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14:paraId="2A3D3B34">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1095" w:type="dxa"/>
            <w:shd w:val="clear" w:color="auto" w:fill="auto"/>
            <w:vAlign w:val="center"/>
          </w:tcPr>
          <w:p w14:paraId="2B772D54">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产品名称</w:t>
            </w:r>
          </w:p>
        </w:tc>
        <w:tc>
          <w:tcPr>
            <w:tcW w:w="8403" w:type="dxa"/>
            <w:shd w:val="clear" w:color="auto" w:fill="auto"/>
            <w:vAlign w:val="center"/>
          </w:tcPr>
          <w:p w14:paraId="5FD71243">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技术参数</w:t>
            </w:r>
          </w:p>
        </w:tc>
        <w:tc>
          <w:tcPr>
            <w:tcW w:w="850" w:type="dxa"/>
            <w:shd w:val="clear" w:color="auto" w:fill="auto"/>
            <w:vAlign w:val="center"/>
          </w:tcPr>
          <w:p w14:paraId="0003CF09">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数量</w:t>
            </w:r>
          </w:p>
          <w:p w14:paraId="231AD030">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（套）</w:t>
            </w:r>
          </w:p>
        </w:tc>
      </w:tr>
      <w:tr w14:paraId="3B7E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6" w:hRule="atLeast"/>
          <w:jc w:val="center"/>
        </w:trPr>
        <w:tc>
          <w:tcPr>
            <w:tcW w:w="562" w:type="dxa"/>
            <w:vAlign w:val="center"/>
          </w:tcPr>
          <w:p w14:paraId="74D687B4">
            <w:pPr>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1095" w:type="dxa"/>
            <w:vAlign w:val="center"/>
          </w:tcPr>
          <w:p w14:paraId="68AF3C7C">
            <w:pPr>
              <w:jc w:val="center"/>
              <w:rPr>
                <w:rFonts w:asciiTheme="minorEastAsia" w:hAnsiTheme="minorEastAsia" w:eastAsiaTheme="minorEastAsia"/>
                <w:szCs w:val="21"/>
              </w:rPr>
            </w:pPr>
            <w:r>
              <w:rPr>
                <w:rFonts w:hint="eastAsia" w:cs="Arial" w:asciiTheme="minorEastAsia" w:hAnsiTheme="minorEastAsia" w:eastAsiaTheme="minorEastAsia"/>
                <w:szCs w:val="21"/>
              </w:rPr>
              <w:t>LED教室灯</w:t>
            </w:r>
          </w:p>
        </w:tc>
        <w:tc>
          <w:tcPr>
            <w:tcW w:w="8403" w:type="dxa"/>
            <w:vAlign w:val="center"/>
          </w:tcPr>
          <w:p w14:paraId="71E30A45">
            <w:pPr>
              <w:jc w:val="left"/>
              <w:rPr>
                <w:rFonts w:hint="eastAsia" w:cs="Arial" w:asciiTheme="minorEastAsia" w:hAnsiTheme="minorEastAsia" w:eastAsiaTheme="minorEastAsia"/>
                <w:b/>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1</w:t>
            </w:r>
            <w:r>
              <w:rPr>
                <w:rFonts w:hint="eastAsia" w:cs="Arial" w:asciiTheme="minorEastAsia" w:hAnsiTheme="minorEastAsia" w:eastAsiaTheme="minorEastAsia"/>
                <w:szCs w:val="21"/>
              </w:rPr>
              <w:t>、LED教室灯显色指数Ra≥9</w:t>
            </w:r>
            <w:r>
              <w:rPr>
                <w:rFonts w:cs="Arial" w:asciiTheme="minorEastAsia" w:hAnsiTheme="minorEastAsia" w:eastAsiaTheme="minorEastAsia"/>
                <w:szCs w:val="21"/>
              </w:rPr>
              <w:t>7</w:t>
            </w:r>
            <w:r>
              <w:rPr>
                <w:rFonts w:hint="eastAsia" w:cs="Arial" w:asciiTheme="minorEastAsia" w:hAnsiTheme="minorEastAsia" w:eastAsiaTheme="minorEastAsia"/>
                <w:szCs w:val="21"/>
              </w:rPr>
              <w:t>、R9≥</w:t>
            </w:r>
            <w:r>
              <w:rPr>
                <w:rFonts w:cs="Arial" w:asciiTheme="minorEastAsia" w:hAnsiTheme="minorEastAsia" w:eastAsiaTheme="minorEastAsia"/>
                <w:szCs w:val="21"/>
              </w:rPr>
              <w:t>92、</w:t>
            </w:r>
            <w:r>
              <w:rPr>
                <w:rFonts w:hint="eastAsia" w:cs="Arial" w:asciiTheme="minorEastAsia" w:hAnsiTheme="minorEastAsia" w:eastAsiaTheme="minorEastAsia"/>
                <w:szCs w:val="21"/>
              </w:rPr>
              <w:t>R</w:t>
            </w:r>
            <w:r>
              <w:rPr>
                <w:rFonts w:cs="Arial" w:asciiTheme="minorEastAsia" w:hAnsiTheme="minorEastAsia" w:eastAsiaTheme="minorEastAsia"/>
                <w:szCs w:val="21"/>
              </w:rPr>
              <w:t>15</w:t>
            </w:r>
            <w:r>
              <w:rPr>
                <w:rFonts w:hint="eastAsia" w:cs="Arial" w:asciiTheme="minorEastAsia" w:hAnsiTheme="minorEastAsia" w:eastAsiaTheme="minorEastAsia"/>
                <w:szCs w:val="21"/>
              </w:rPr>
              <w:t>≥</w:t>
            </w:r>
            <w:r>
              <w:rPr>
                <w:rFonts w:cs="Arial" w:asciiTheme="minorEastAsia" w:hAnsiTheme="minorEastAsia" w:eastAsiaTheme="minorEastAsia"/>
                <w:szCs w:val="21"/>
              </w:rPr>
              <w:t>96</w:t>
            </w:r>
            <w:r>
              <w:rPr>
                <w:rFonts w:hint="eastAsia" w:cs="Arial" w:asciiTheme="minorEastAsia" w:hAnsiTheme="minorEastAsia" w:eastAsiaTheme="minorEastAsia"/>
                <w:szCs w:val="21"/>
              </w:rPr>
              <w:t>，色温（或相关色温）</w:t>
            </w:r>
            <w:r>
              <w:rPr>
                <w:rFonts w:cs="Arial" w:asciiTheme="minorEastAsia" w:hAnsiTheme="minorEastAsia" w:eastAsiaTheme="minorEastAsia"/>
                <w:szCs w:val="21"/>
              </w:rPr>
              <w:t>5000±100</w:t>
            </w:r>
            <w:r>
              <w:rPr>
                <w:rFonts w:hint="eastAsia" w:cs="Arial" w:asciiTheme="minorEastAsia" w:hAnsiTheme="minorEastAsia" w:eastAsiaTheme="minorEastAsia"/>
                <w:szCs w:val="21"/>
              </w:rPr>
              <w:t>K，色容差≤</w:t>
            </w:r>
            <w:r>
              <w:rPr>
                <w:rFonts w:cs="Arial" w:asciiTheme="minorEastAsia" w:hAnsiTheme="minorEastAsia" w:eastAsiaTheme="minorEastAsia"/>
                <w:szCs w:val="21"/>
              </w:rPr>
              <w:t>3</w:t>
            </w:r>
            <w:r>
              <w:rPr>
                <w:rFonts w:hint="eastAsia" w:cs="Arial" w:asciiTheme="minorEastAsia" w:hAnsiTheme="minorEastAsia" w:eastAsiaTheme="minorEastAsia"/>
                <w:szCs w:val="21"/>
              </w:rPr>
              <w:t xml:space="preserve"> SDCM，色品空间不一致性≤0</w:t>
            </w:r>
            <w:r>
              <w:rPr>
                <w:rFonts w:cs="Arial" w:asciiTheme="minorEastAsia" w:hAnsiTheme="minorEastAsia" w:eastAsiaTheme="minorEastAsia"/>
                <w:szCs w:val="21"/>
              </w:rPr>
              <w:t>.002</w:t>
            </w:r>
            <w:r>
              <w:rPr>
                <w:rFonts w:hint="eastAsia" w:cs="Arial" w:asciiTheme="minorEastAsia" w:hAnsiTheme="minorEastAsia" w:eastAsiaTheme="minorEastAsia"/>
                <w:szCs w:val="21"/>
              </w:rPr>
              <w:t>，光通量≥3</w:t>
            </w:r>
            <w:r>
              <w:rPr>
                <w:rFonts w:cs="Arial" w:asciiTheme="minorEastAsia" w:hAnsiTheme="minorEastAsia" w:eastAsiaTheme="minorEastAsia"/>
                <w:szCs w:val="21"/>
              </w:rPr>
              <w:t>600lm,光效</w:t>
            </w:r>
            <w:r>
              <w:rPr>
                <w:rFonts w:hint="eastAsia" w:cs="Arial" w:asciiTheme="minorEastAsia" w:hAnsiTheme="minorEastAsia" w:eastAsiaTheme="minorEastAsia"/>
                <w:szCs w:val="21"/>
              </w:rPr>
              <w:t>≥9</w:t>
            </w:r>
            <w:r>
              <w:rPr>
                <w:rFonts w:cs="Arial" w:asciiTheme="minorEastAsia" w:hAnsiTheme="minorEastAsia" w:eastAsiaTheme="minorEastAsia"/>
                <w:szCs w:val="21"/>
              </w:rPr>
              <w:t>2lm/W</w:t>
            </w:r>
            <w:r>
              <w:rPr>
                <w:rFonts w:hint="eastAsia" w:cs="Arial" w:asciiTheme="minorEastAsia" w:hAnsiTheme="minorEastAsia" w:eastAsiaTheme="minorEastAsia"/>
                <w:szCs w:val="21"/>
              </w:rPr>
              <w:t>；</w:t>
            </w:r>
            <w:r>
              <w:rPr>
                <w:rFonts w:hint="eastAsia" w:asciiTheme="minorEastAsia" w:hAnsiTheme="minorEastAsia" w:eastAsiaTheme="minorEastAsia"/>
              </w:rPr>
              <w:t>在C90-C270 面的光束角满足</w:t>
            </w:r>
            <w:r>
              <w:rPr>
                <w:rFonts w:asciiTheme="minorEastAsia" w:hAnsiTheme="minorEastAsia" w:eastAsiaTheme="minorEastAsia"/>
              </w:rPr>
              <w:t>85</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°，在C0-C180 面的光束角满足</w:t>
            </w:r>
            <w:r>
              <w:rPr>
                <w:rFonts w:asciiTheme="minorEastAsia" w:hAnsiTheme="minorEastAsia" w:eastAsiaTheme="minorEastAsia"/>
              </w:rPr>
              <w:t>100</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°；闪烁波动深度</w:t>
            </w:r>
            <w:r>
              <w:rPr>
                <w:rFonts w:hint="eastAsia" w:cs="Arial" w:asciiTheme="minorEastAsia" w:hAnsiTheme="minorEastAsia" w:eastAsiaTheme="minorEastAsia"/>
                <w:szCs w:val="21"/>
              </w:rPr>
              <w:t>≤0</w:t>
            </w:r>
            <w:r>
              <w:rPr>
                <w:rFonts w:cs="Arial" w:asciiTheme="minorEastAsia" w:hAnsiTheme="minorEastAsia" w:eastAsiaTheme="minorEastAsia"/>
                <w:szCs w:val="21"/>
              </w:rPr>
              <w:t>.3%</w:t>
            </w:r>
            <w:r>
              <w:rPr>
                <w:rFonts w:hint="eastAsia" w:asciiTheme="minorEastAsia" w:hAnsiTheme="minorEastAsia" w:eastAsiaTheme="minorEastAsia"/>
              </w:rPr>
              <w:t>；视网膜蓝光危害为R</w:t>
            </w:r>
            <w:r>
              <w:rPr>
                <w:rFonts w:asciiTheme="minorEastAsia" w:hAnsiTheme="minorEastAsia" w:eastAsiaTheme="minorEastAsia"/>
              </w:rPr>
              <w:t>G0，且真实亮度（</w:t>
            </w:r>
            <w:r>
              <w:rPr>
                <w:rFonts w:hint="eastAsia" w:asciiTheme="minorEastAsia" w:hAnsiTheme="minorEastAsia" w:eastAsiaTheme="minorEastAsia"/>
              </w:rPr>
              <w:t>L</w:t>
            </w:r>
            <w:r>
              <w:rPr>
                <w:rFonts w:asciiTheme="minorEastAsia" w:hAnsiTheme="minorEastAsia" w:eastAsiaTheme="minorEastAsia"/>
              </w:rPr>
              <w:t>）≥6500cd/m</w:t>
            </w:r>
            <w:r>
              <w:rPr>
                <w:rFonts w:asciiTheme="minorEastAsia" w:hAnsiTheme="minorEastAsia" w:eastAsiaTheme="minorEastAsia"/>
                <w:vertAlign w:val="superscript"/>
              </w:rPr>
              <w:t>2</w:t>
            </w:r>
            <w:r>
              <w:rPr>
                <w:rFonts w:hint="eastAsia" w:asciiTheme="minorEastAsia" w:hAnsiTheme="minorEastAsia" w:eastAsiaTheme="minorEastAsia"/>
              </w:rPr>
              <w:t>；通过机械加载≥1</w:t>
            </w:r>
            <w:r>
              <w:rPr>
                <w:rFonts w:asciiTheme="minorEastAsia" w:hAnsiTheme="minorEastAsia" w:eastAsiaTheme="minorEastAsia"/>
              </w:rPr>
              <w:t>0倍重量，灯具悬挂和调节装置未产生变形，且光生物安全等级为无危险类</w:t>
            </w:r>
            <w:r>
              <w:rPr>
                <w:rFonts w:hint="eastAsia" w:cs="Arial" w:asciiTheme="minorEastAsia" w:hAnsiTheme="minorEastAsia" w:eastAsiaTheme="minorEastAsia"/>
                <w:szCs w:val="21"/>
              </w:rPr>
              <w:t>。</w:t>
            </w:r>
            <w:r>
              <w:rPr>
                <w:rFonts w:cs="Arial" w:asciiTheme="minorEastAsia" w:hAnsiTheme="minorEastAsia" w:eastAsiaTheme="minorEastAsia"/>
                <w:b/>
                <w:szCs w:val="21"/>
              </w:rPr>
              <w:t>须</w:t>
            </w:r>
            <w:r>
              <w:rPr>
                <w:rFonts w:hint="eastAsia" w:cs="Arial" w:asciiTheme="minorEastAsia" w:hAnsiTheme="minorEastAsia" w:eastAsiaTheme="minorEastAsia"/>
                <w:b/>
                <w:szCs w:val="21"/>
              </w:rPr>
              <w:t>提供第三方检测机构出具的封面带有CMA及C</w:t>
            </w:r>
            <w:r>
              <w:rPr>
                <w:rFonts w:cs="Arial" w:asciiTheme="minorEastAsia" w:hAnsiTheme="minorEastAsia" w:eastAsiaTheme="minorEastAsia"/>
                <w:b/>
                <w:szCs w:val="21"/>
              </w:rPr>
              <w:t>NAS</w:t>
            </w:r>
            <w:r>
              <w:rPr>
                <w:rFonts w:hint="eastAsia" w:cs="Arial" w:asciiTheme="minorEastAsia" w:hAnsiTheme="minorEastAsia" w:eastAsiaTheme="minorEastAsia"/>
                <w:b/>
                <w:szCs w:val="21"/>
              </w:rPr>
              <w:t>标志的检测报告（以上指标在同一份报告中体现）及检测报告编号在全国认证认可信息公共服务平台的查询证明复印件，同时提供报告所引用检测标准依据在中国合格评定国家认可委员会官网查询的能力范围证明复印件。</w:t>
            </w:r>
          </w:p>
          <w:p w14:paraId="7A74079B">
            <w:pPr>
              <w:wordWrap w:val="0"/>
              <w:jc w:val="left"/>
              <w:rPr>
                <w:rFonts w:cs="Arial" w:asciiTheme="minorEastAsia" w:hAnsiTheme="minorEastAsia" w:eastAsiaTheme="minorEastAsia"/>
                <w:b/>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2</w:t>
            </w:r>
            <w:r>
              <w:rPr>
                <w:rFonts w:hint="eastAsia" w:cs="Arial" w:asciiTheme="minorEastAsia" w:hAnsiTheme="minorEastAsia" w:eastAsiaTheme="minorEastAsia"/>
                <w:szCs w:val="21"/>
              </w:rPr>
              <w:t xml:space="preserve">、LED教室灯依据《GB/T </w:t>
            </w:r>
            <w:r>
              <w:rPr>
                <w:rFonts w:cs="Arial" w:asciiTheme="minorEastAsia" w:hAnsiTheme="minorEastAsia" w:eastAsiaTheme="minorEastAsia"/>
                <w:szCs w:val="21"/>
              </w:rPr>
              <w:t>17743-2021</w:t>
            </w:r>
            <w:r>
              <w:rPr>
                <w:rFonts w:hint="eastAsia" w:cs="Arial" w:asciiTheme="minorEastAsia" w:hAnsiTheme="minorEastAsia" w:eastAsiaTheme="minorEastAsia"/>
                <w:szCs w:val="21"/>
              </w:rPr>
              <w:t xml:space="preserve">》及《GB/T </w:t>
            </w:r>
            <w:r>
              <w:rPr>
                <w:rFonts w:cs="Arial" w:asciiTheme="minorEastAsia" w:hAnsiTheme="minorEastAsia" w:eastAsiaTheme="minorEastAsia"/>
                <w:szCs w:val="21"/>
              </w:rPr>
              <w:t>31275-2020</w:t>
            </w:r>
            <w:r>
              <w:rPr>
                <w:rFonts w:hint="eastAsia" w:cs="Arial" w:asciiTheme="minorEastAsia" w:hAnsiTheme="minorEastAsia" w:eastAsiaTheme="minorEastAsia"/>
                <w:szCs w:val="21"/>
              </w:rPr>
              <w:t>》等标准</w:t>
            </w:r>
            <w:r>
              <w:rPr>
                <w:rFonts w:hint="eastAsia" w:asciiTheme="minorEastAsia" w:hAnsiTheme="minorEastAsia" w:eastAsiaTheme="minorEastAsia"/>
              </w:rPr>
              <w:t>通过人体电磁辐射测试，且灯具电源端传导骚扰电压（或电源接口骚扰电压）、外壳端口辐射骚扰、感应电流密度检测结果皆为合格（或通过或判定为P）。</w:t>
            </w:r>
            <w:r>
              <w:rPr>
                <w:rFonts w:cs="Arial" w:asciiTheme="minorEastAsia" w:hAnsiTheme="minorEastAsia" w:eastAsiaTheme="minorEastAsia"/>
                <w:b/>
                <w:szCs w:val="21"/>
              </w:rPr>
              <w:t>须</w:t>
            </w:r>
            <w:r>
              <w:rPr>
                <w:rFonts w:hint="eastAsia" w:cs="Arial" w:asciiTheme="minorEastAsia" w:hAnsiTheme="minorEastAsia" w:eastAsiaTheme="minorEastAsia"/>
                <w:b/>
                <w:szCs w:val="21"/>
              </w:rPr>
              <w:t>提供第三方检测机构出具的封面带有CMA及C</w:t>
            </w:r>
            <w:r>
              <w:rPr>
                <w:rFonts w:cs="Arial" w:asciiTheme="minorEastAsia" w:hAnsiTheme="minorEastAsia" w:eastAsiaTheme="minorEastAsia"/>
                <w:b/>
                <w:szCs w:val="21"/>
              </w:rPr>
              <w:t>NAS</w:t>
            </w:r>
            <w:r>
              <w:rPr>
                <w:rFonts w:hint="eastAsia" w:cs="Arial" w:asciiTheme="minorEastAsia" w:hAnsiTheme="minorEastAsia" w:eastAsiaTheme="minorEastAsia"/>
                <w:b/>
                <w:szCs w:val="21"/>
              </w:rPr>
              <w:t>标志的检测报告及检测报告编号在全国认证认可信息公共服务平台的查询证明复印件，同时提供报告所引用检测标准依据在中国合格评定国家认可委员会官网查询的能力范围证明复印件。</w:t>
            </w:r>
          </w:p>
          <w:p w14:paraId="085E5AE7">
            <w:pPr>
              <w:wordWrap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3</w:t>
            </w:r>
            <w:r>
              <w:rPr>
                <w:rFonts w:hint="eastAsia" w:cs="Arial" w:asciiTheme="minorEastAsia" w:hAnsiTheme="minorEastAsia" w:eastAsiaTheme="minorEastAsia"/>
                <w:szCs w:val="21"/>
              </w:rPr>
              <w:t>、LED教室灯额定功率＜</w:t>
            </w:r>
            <w:r>
              <w:rPr>
                <w:rFonts w:cs="Arial" w:asciiTheme="minorEastAsia" w:hAnsiTheme="minorEastAsia" w:eastAsiaTheme="minorEastAsia"/>
                <w:szCs w:val="21"/>
              </w:rPr>
              <w:t>40</w:t>
            </w:r>
            <w:r>
              <w:rPr>
                <w:rFonts w:hint="eastAsia" w:cs="Arial" w:asciiTheme="minorEastAsia" w:hAnsiTheme="minorEastAsia" w:eastAsiaTheme="minorEastAsia"/>
                <w:szCs w:val="21"/>
              </w:rPr>
              <w:t>W，单颗光源功率≥1</w:t>
            </w:r>
            <w:r>
              <w:rPr>
                <w:rFonts w:cs="Arial" w:asciiTheme="minorEastAsia" w:hAnsiTheme="minorEastAsia" w:eastAsiaTheme="minorEastAsia"/>
                <w:szCs w:val="21"/>
              </w:rPr>
              <w:t>W，</w:t>
            </w:r>
            <w:r>
              <w:rPr>
                <w:rFonts w:hint="eastAsia" w:cs="Arial" w:asciiTheme="minorEastAsia" w:hAnsiTheme="minorEastAsia" w:eastAsiaTheme="minorEastAsia"/>
                <w:szCs w:val="21"/>
              </w:rPr>
              <w:t>光源额定总功率是灯具额定功率的</w:t>
            </w:r>
            <w:r>
              <w:rPr>
                <w:rFonts w:cs="Arial" w:asciiTheme="minorEastAsia" w:hAnsiTheme="minorEastAsia" w:eastAsiaTheme="minorEastAsia"/>
                <w:szCs w:val="21"/>
              </w:rPr>
              <w:t>2</w:t>
            </w:r>
            <w:r>
              <w:rPr>
                <w:rFonts w:hint="eastAsia" w:cs="Arial" w:asciiTheme="minorEastAsia" w:hAnsiTheme="minorEastAsia" w:eastAsiaTheme="minorEastAsia"/>
                <w:szCs w:val="21"/>
              </w:rPr>
              <w:t>倍或以上。</w:t>
            </w:r>
          </w:p>
          <w:p w14:paraId="7471219C">
            <w:pPr>
              <w:jc w:val="left"/>
              <w:rPr>
                <w:rFonts w:cs="Arial" w:asciiTheme="minorEastAsia" w:hAnsiTheme="minorEastAsia" w:eastAsiaTheme="minorEastAsia"/>
                <w:szCs w:val="21"/>
              </w:rPr>
            </w:pPr>
            <w:r>
              <w:rPr>
                <w:rFonts w:cs="Arial" w:asciiTheme="minorEastAsia" w:hAnsiTheme="minorEastAsia" w:eastAsiaTheme="minorEastAsia"/>
                <w:szCs w:val="21"/>
              </w:rPr>
              <w:t>4</w:t>
            </w:r>
            <w:r>
              <w:rPr>
                <w:rFonts w:hint="eastAsia" w:cs="Arial" w:asciiTheme="minorEastAsia" w:hAnsiTheme="minorEastAsia" w:eastAsiaTheme="minorEastAsia"/>
                <w:szCs w:val="21"/>
              </w:rPr>
              <w:t>、LED教室灯依据《GB/T 26572</w:t>
            </w:r>
            <w:r>
              <w:rPr>
                <w:rFonts w:cs="Arial" w:asciiTheme="minorEastAsia" w:hAnsiTheme="minorEastAsia" w:eastAsiaTheme="minorEastAsia"/>
                <w:szCs w:val="21"/>
              </w:rPr>
              <w:t>-2011</w:t>
            </w:r>
            <w:r>
              <w:rPr>
                <w:rFonts w:hint="eastAsia" w:cs="Arial" w:asciiTheme="minorEastAsia" w:hAnsiTheme="minorEastAsia" w:eastAsiaTheme="minorEastAsia"/>
                <w:szCs w:val="21"/>
              </w:rPr>
              <w:t>》等标准通过电器电子产品认证。</w:t>
            </w:r>
          </w:p>
          <w:p w14:paraId="1C09751D">
            <w:pPr>
              <w:wordWrap w:val="0"/>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5</w:t>
            </w:r>
            <w:r>
              <w:rPr>
                <w:rFonts w:hint="eastAsia" w:cs="Arial" w:asciiTheme="minorEastAsia" w:hAnsiTheme="minorEastAsia" w:eastAsiaTheme="minorEastAsia"/>
                <w:szCs w:val="21"/>
              </w:rPr>
              <w:t>、LED教室灯</w:t>
            </w:r>
            <w:r>
              <w:rPr>
                <w:rFonts w:hint="eastAsia" w:asciiTheme="minorEastAsia" w:hAnsiTheme="minorEastAsia" w:eastAsiaTheme="minorEastAsia"/>
                <w:szCs w:val="21"/>
              </w:rPr>
              <w:t>在大气压力≥100kPa，平均湿度≥50%RH、极值空气温度≤-20℃及相对温差≥33℃的实地自然环境条件下至少持续运行</w:t>
            </w:r>
            <w:r>
              <w:rPr>
                <w:rFonts w:asciiTheme="minorEastAsia" w:hAnsiTheme="minorEastAsia" w:eastAsiaTheme="minorEastAsia"/>
                <w:szCs w:val="21"/>
              </w:rPr>
              <w:t>400</w:t>
            </w:r>
            <w:r>
              <w:rPr>
                <w:rFonts w:hint="eastAsia" w:asciiTheme="minorEastAsia" w:hAnsiTheme="minorEastAsia" w:eastAsiaTheme="minorEastAsia"/>
                <w:szCs w:val="21"/>
              </w:rPr>
              <w:t>小时</w:t>
            </w:r>
            <w:r>
              <w:rPr>
                <w:rFonts w:hint="eastAsia" w:cs="Arial" w:asciiTheme="minorEastAsia" w:hAnsiTheme="minorEastAsia" w:eastAsiaTheme="minorEastAsia"/>
                <w:szCs w:val="21"/>
              </w:rPr>
              <w:t xml:space="preserve">，依据《GB/T </w:t>
            </w:r>
            <w:r>
              <w:rPr>
                <w:rFonts w:cs="Arial" w:asciiTheme="minorEastAsia" w:hAnsiTheme="minorEastAsia" w:eastAsiaTheme="minorEastAsia"/>
                <w:szCs w:val="21"/>
              </w:rPr>
              <w:t>18595</w:t>
            </w:r>
            <w:r>
              <w:rPr>
                <w:rFonts w:asciiTheme="minorEastAsia" w:hAnsiTheme="minorEastAsia" w:eastAsiaTheme="minorEastAsia"/>
                <w:szCs w:val="21"/>
              </w:rPr>
              <w:t>-2014</w:t>
            </w:r>
            <w:r>
              <w:rPr>
                <w:rFonts w:hint="eastAsia" w:cs="Arial" w:asciiTheme="minorEastAsia" w:hAnsiTheme="minorEastAsia" w:eastAsiaTheme="minorEastAsia"/>
                <w:szCs w:val="21"/>
              </w:rPr>
              <w:t>》等标准满足</w:t>
            </w:r>
            <w:r>
              <w:rPr>
                <w:rFonts w:hint="eastAsia" w:asciiTheme="minorEastAsia" w:hAnsiTheme="minorEastAsia" w:eastAsiaTheme="minorEastAsia"/>
                <w:szCs w:val="21"/>
              </w:rPr>
              <w:t>浪涌性能达到C或以上等级</w:t>
            </w:r>
            <w:r>
              <w:rPr>
                <w:rFonts w:hint="eastAsia" w:cs="Arial" w:asciiTheme="minorEastAsia" w:hAnsiTheme="minorEastAsia" w:eastAsiaTheme="minorEastAsia"/>
                <w:szCs w:val="21"/>
              </w:rPr>
              <w:t>及依据《GB/T6882</w:t>
            </w:r>
            <w:r>
              <w:rPr>
                <w:rFonts w:cs="Arial" w:asciiTheme="minorEastAsia" w:hAnsiTheme="minorEastAsia" w:eastAsiaTheme="minorEastAsia"/>
                <w:szCs w:val="21"/>
              </w:rPr>
              <w:t>-2016</w:t>
            </w:r>
            <w:r>
              <w:rPr>
                <w:rFonts w:hint="eastAsia" w:cs="Arial" w:asciiTheme="minorEastAsia" w:hAnsiTheme="minorEastAsia" w:eastAsiaTheme="minorEastAsia"/>
                <w:szCs w:val="21"/>
              </w:rPr>
              <w:t>》等标准满足噪声＜17dB（A）。</w:t>
            </w:r>
          </w:p>
          <w:p w14:paraId="128A9749">
            <w:pPr>
              <w:wordWrap w:val="0"/>
              <w:adjustRightInd w:val="0"/>
              <w:snapToGrid w:val="0"/>
              <w:jc w:val="left"/>
              <w:rPr>
                <w:rFonts w:asciiTheme="minorEastAsia" w:hAnsiTheme="minorEastAsia" w:eastAsiaTheme="minorEastAsia"/>
                <w:spacing w:val="-1"/>
                <w:szCs w:val="21"/>
              </w:rPr>
            </w:pPr>
            <w:r>
              <w:rPr>
                <w:rFonts w:hint="eastAsia" w:cs="Arial" w:asciiTheme="minorEastAsia" w:hAnsiTheme="minorEastAsia" w:eastAsiaTheme="minorEastAsia"/>
                <w:szCs w:val="21"/>
              </w:rPr>
              <w:t>★</w:t>
            </w:r>
            <w:r>
              <w:rPr>
                <w:rFonts w:asciiTheme="minorEastAsia" w:hAnsiTheme="minorEastAsia" w:eastAsiaTheme="minorEastAsia"/>
                <w:spacing w:val="-1"/>
                <w:szCs w:val="21"/>
              </w:rPr>
              <w:t>6、为</w:t>
            </w:r>
            <w:r>
              <w:rPr>
                <w:rFonts w:hint="eastAsia" w:asciiTheme="minorEastAsia" w:hAnsiTheme="minorEastAsia" w:eastAsiaTheme="minorEastAsia"/>
                <w:spacing w:val="-1"/>
                <w:szCs w:val="21"/>
              </w:rPr>
              <w:t>确保</w:t>
            </w:r>
            <w:r>
              <w:rPr>
                <w:rFonts w:asciiTheme="minorEastAsia" w:hAnsiTheme="minorEastAsia" w:eastAsiaTheme="minorEastAsia"/>
                <w:spacing w:val="-1"/>
                <w:szCs w:val="21"/>
              </w:rPr>
              <w:t>灯具使用寿命，LED教室灯</w:t>
            </w:r>
            <w:r>
              <w:rPr>
                <w:rFonts w:hint="eastAsia" w:asciiTheme="minorEastAsia" w:hAnsiTheme="minorEastAsia" w:eastAsiaTheme="minorEastAsia"/>
                <w:spacing w:val="-1"/>
                <w:szCs w:val="21"/>
              </w:rPr>
              <w:t>符合《LED灯具可靠性试验方法》第6章电源开关试验要求，且环境适应性满足防护等级≥IP40，</w:t>
            </w:r>
            <w:r>
              <w:rPr>
                <w:rFonts w:asciiTheme="minorEastAsia" w:hAnsiTheme="minorEastAsia" w:eastAsiaTheme="minorEastAsia"/>
                <w:spacing w:val="-1"/>
                <w:szCs w:val="21"/>
              </w:rPr>
              <w:t>t</w:t>
            </w:r>
            <w:r>
              <w:rPr>
                <w:rFonts w:hint="eastAsia" w:asciiTheme="minorEastAsia" w:hAnsiTheme="minorEastAsia" w:eastAsiaTheme="minorEastAsia"/>
                <w:spacing w:val="-1"/>
                <w:szCs w:val="21"/>
              </w:rPr>
              <w:t>a≥50℃</w:t>
            </w:r>
            <w:r>
              <w:rPr>
                <w:rFonts w:asciiTheme="minorEastAsia" w:hAnsiTheme="minorEastAsia" w:eastAsiaTheme="minorEastAsia"/>
                <w:spacing w:val="-1"/>
                <w:szCs w:val="21"/>
              </w:rPr>
              <w:t>。</w:t>
            </w:r>
          </w:p>
          <w:p w14:paraId="29208EF5">
            <w:pPr>
              <w:widowControl/>
              <w:numPr>
                <w:ilvl w:val="0"/>
                <w:numId w:val="0"/>
              </w:numPr>
              <w:rPr>
                <w:rFonts w:hint="eastAsia" w:asciiTheme="minorEastAsia" w:hAnsiTheme="minorEastAsia" w:eastAsiaTheme="minorEastAsia"/>
                <w:color w:val="C00000"/>
                <w:spacing w:val="-1"/>
                <w:szCs w:val="21"/>
                <w:lang w:val="en-US" w:eastAsia="zh-CN"/>
              </w:rPr>
            </w:pPr>
            <w:r>
              <w:rPr>
                <w:rFonts w:hint="eastAsia" w:asciiTheme="minorEastAsia" w:hAnsiTheme="minorEastAsia" w:eastAsiaTheme="minorEastAsia"/>
                <w:color w:val="C00000"/>
                <w:spacing w:val="-1"/>
                <w:szCs w:val="21"/>
                <w:lang w:val="en-US" w:eastAsia="zh-CN"/>
              </w:rPr>
              <w:t>7、以国家《中小学校教师采光和照明卫生标准》（GB7793-2010）\《儿童青少年学习用品近视防控卫生要求》（GB40070-2021）和自治区《中小学校教室照明技术规范》（DB65/T4622-2022）等为改造标准和技术依据:实现课桌面平均照度≥500lx，照度均匀度≥0.7；黑板面平均照度≥750lx，照度均匀度≥0.8；光源色温3300K～5300K；统一眩光值≤16；频闪灯指标达标。LED教室灯通过CCC认证及节能认。</w:t>
            </w:r>
          </w:p>
          <w:p w14:paraId="38B2A848">
            <w:pPr>
              <w:widowControl/>
              <w:numPr>
                <w:ilvl w:val="0"/>
                <w:numId w:val="0"/>
              </w:numPr>
              <w:rPr>
                <w:rFonts w:cs="Arial" w:asciiTheme="minorEastAsia" w:hAnsiTheme="minorEastAsia" w:eastAsiaTheme="minorEastAsia"/>
                <w:szCs w:val="21"/>
              </w:rPr>
            </w:pPr>
            <w:r>
              <w:rPr>
                <w:rFonts w:cs="Arial" w:asciiTheme="minorEastAsia" w:hAnsiTheme="minorEastAsia" w:eastAsiaTheme="minorEastAsia"/>
                <w:szCs w:val="21"/>
              </w:rPr>
              <w:t>8、</w:t>
            </w:r>
            <w:r>
              <w:rPr>
                <w:rFonts w:hint="eastAsia" w:cs="Arial" w:asciiTheme="minorEastAsia" w:hAnsiTheme="minorEastAsia" w:eastAsiaTheme="minorEastAsia"/>
                <w:szCs w:val="21"/>
              </w:rPr>
              <w:t>LED教室灯</w:t>
            </w:r>
            <w:r>
              <w:rPr>
                <w:rFonts w:hint="eastAsia" w:asciiTheme="minorEastAsia" w:hAnsiTheme="minorEastAsia" w:eastAsiaTheme="minorEastAsia"/>
                <w:spacing w:val="-1"/>
                <w:szCs w:val="21"/>
              </w:rPr>
              <w:t>至少</w:t>
            </w:r>
            <w:r>
              <w:rPr>
                <w:rFonts w:hint="eastAsia" w:cs="Arial" w:asciiTheme="minorEastAsia" w:hAnsiTheme="minorEastAsia" w:eastAsiaTheme="minorEastAsia"/>
                <w:szCs w:val="21"/>
              </w:rPr>
              <w:t>依据《GB</w:t>
            </w:r>
            <w:r>
              <w:rPr>
                <w:rFonts w:cs="Arial" w:asciiTheme="minorEastAsia" w:hAnsiTheme="minorEastAsia" w:eastAsiaTheme="minorEastAsia"/>
                <w:szCs w:val="21"/>
              </w:rPr>
              <w:t>4</w:t>
            </w:r>
            <w:r>
              <w:rPr>
                <w:rFonts w:hint="eastAsia" w:cs="Arial" w:asciiTheme="minorEastAsia" w:hAnsiTheme="minorEastAsia" w:eastAsiaTheme="minorEastAsia"/>
                <w:szCs w:val="21"/>
              </w:rPr>
              <w:t>0070</w:t>
            </w:r>
            <w:r>
              <w:rPr>
                <w:rFonts w:cs="Arial" w:asciiTheme="minorEastAsia" w:hAnsiTheme="minorEastAsia" w:eastAsiaTheme="minorEastAsia"/>
                <w:szCs w:val="21"/>
              </w:rPr>
              <w:t>-2021</w:t>
            </w:r>
            <w:r>
              <w:rPr>
                <w:rFonts w:hint="eastAsia" w:cs="Arial" w:asciiTheme="minorEastAsia" w:hAnsiTheme="minorEastAsia" w:eastAsiaTheme="minorEastAsia"/>
                <w:szCs w:val="21"/>
              </w:rPr>
              <w:t>》</w:t>
            </w:r>
            <w:r>
              <w:rPr>
                <w:rFonts w:hint="eastAsia" w:asciiTheme="minorEastAsia" w:hAnsiTheme="minorEastAsia" w:eastAsiaTheme="minorEastAsia"/>
                <w:spacing w:val="-1"/>
                <w:szCs w:val="21"/>
              </w:rPr>
              <w:t>标准</w:t>
            </w:r>
            <w:r>
              <w:rPr>
                <w:rFonts w:hint="eastAsia" w:cs="Arial" w:asciiTheme="minorEastAsia" w:hAnsiTheme="minorEastAsia" w:eastAsiaTheme="minorEastAsia"/>
                <w:szCs w:val="21"/>
              </w:rPr>
              <w:t>通过近视防控认证。</w:t>
            </w:r>
          </w:p>
          <w:p w14:paraId="33E3870E">
            <w:pPr>
              <w:wordWrap w:val="0"/>
              <w:adjustRightInd w:val="0"/>
              <w:snapToGrid w:val="0"/>
              <w:jc w:val="left"/>
              <w:rPr>
                <w:rFonts w:cs="Arial" w:asciiTheme="minorEastAsia" w:hAnsiTheme="minorEastAsia" w:eastAsiaTheme="minorEastAsia"/>
                <w:szCs w:val="21"/>
              </w:rPr>
            </w:pPr>
            <w:r>
              <w:rPr>
                <w:rFonts w:cs="Arial" w:asciiTheme="minorEastAsia" w:hAnsiTheme="minorEastAsia" w:eastAsiaTheme="minorEastAsia"/>
                <w:szCs w:val="21"/>
              </w:rPr>
              <w:t>9、</w:t>
            </w:r>
            <w:r>
              <w:rPr>
                <w:rFonts w:asciiTheme="minorEastAsia" w:hAnsiTheme="minorEastAsia" w:eastAsiaTheme="minorEastAsia"/>
                <w:spacing w:val="-1"/>
                <w:szCs w:val="21"/>
              </w:rPr>
              <w:t>为</w:t>
            </w:r>
            <w:r>
              <w:rPr>
                <w:rFonts w:hint="eastAsia" w:asciiTheme="minorEastAsia" w:hAnsiTheme="minorEastAsia" w:eastAsiaTheme="minorEastAsia"/>
                <w:spacing w:val="-1"/>
                <w:szCs w:val="21"/>
              </w:rPr>
              <w:t>确保</w:t>
            </w:r>
            <w:r>
              <w:rPr>
                <w:rFonts w:asciiTheme="minorEastAsia" w:hAnsiTheme="minorEastAsia" w:eastAsiaTheme="minorEastAsia"/>
                <w:spacing w:val="-1"/>
                <w:szCs w:val="21"/>
              </w:rPr>
              <w:t>灯具使用寿命，LED</w:t>
            </w:r>
            <w:r>
              <w:rPr>
                <w:rFonts w:asciiTheme="minorEastAsia" w:hAnsiTheme="minorEastAsia" w:eastAsiaTheme="minorEastAsia"/>
                <w:spacing w:val="-3"/>
                <w:szCs w:val="21"/>
              </w:rPr>
              <w:t>教室</w:t>
            </w:r>
            <w:r>
              <w:rPr>
                <w:rFonts w:asciiTheme="minorEastAsia" w:hAnsiTheme="minorEastAsia" w:eastAsiaTheme="minorEastAsia"/>
                <w:spacing w:val="-1"/>
                <w:szCs w:val="21"/>
              </w:rPr>
              <w:t>灯</w:t>
            </w:r>
            <w:r>
              <w:rPr>
                <w:rFonts w:hint="eastAsia" w:asciiTheme="minorEastAsia" w:hAnsiTheme="minorEastAsia" w:eastAsiaTheme="minorEastAsia"/>
                <w:spacing w:val="-1"/>
                <w:szCs w:val="21"/>
              </w:rPr>
              <w:t>至少依据《GB/T33721</w:t>
            </w:r>
            <w:r>
              <w:rPr>
                <w:rFonts w:asciiTheme="minorEastAsia" w:hAnsiTheme="minorEastAsia" w:eastAsiaTheme="minorEastAsia"/>
                <w:spacing w:val="-1"/>
                <w:szCs w:val="21"/>
              </w:rPr>
              <w:t>-2017</w:t>
            </w:r>
            <w:r>
              <w:rPr>
                <w:rFonts w:hint="eastAsia" w:asciiTheme="minorEastAsia" w:hAnsiTheme="minorEastAsia" w:eastAsiaTheme="minorEastAsia"/>
                <w:spacing w:val="-1"/>
                <w:szCs w:val="21"/>
              </w:rPr>
              <w:t>》标准满足光通维持寿命≥50000小时</w:t>
            </w:r>
            <w:r>
              <w:rPr>
                <w:rFonts w:asciiTheme="minorEastAsia" w:hAnsiTheme="minorEastAsia" w:eastAsiaTheme="minorEastAsia"/>
                <w:spacing w:val="-1"/>
                <w:szCs w:val="21"/>
              </w:rPr>
              <w:t>。</w:t>
            </w:r>
          </w:p>
          <w:p w14:paraId="5994D13C">
            <w:pPr>
              <w:jc w:val="left"/>
              <w:rPr>
                <w:rFonts w:cs="Arial" w:asciiTheme="minorEastAsia" w:hAnsiTheme="minorEastAsia" w:eastAsiaTheme="minorEastAsia"/>
                <w:szCs w:val="21"/>
              </w:rPr>
            </w:pPr>
            <w:r>
              <w:rPr>
                <w:rFonts w:hint="eastAsia" w:cs="Arial" w:asciiTheme="minorEastAsia" w:hAnsiTheme="minorEastAsia" w:eastAsiaTheme="minorEastAsia"/>
                <w:b/>
                <w:szCs w:val="21"/>
              </w:rPr>
              <w:t>备注：序号</w:t>
            </w:r>
            <w:r>
              <w:rPr>
                <w:rFonts w:cs="Arial" w:asciiTheme="minorEastAsia" w:hAnsiTheme="minorEastAsia" w:eastAsiaTheme="minorEastAsia"/>
                <w:b/>
                <w:szCs w:val="21"/>
              </w:rPr>
              <w:t>3-序号</w:t>
            </w:r>
            <w:r>
              <w:rPr>
                <w:rFonts w:hint="eastAsia" w:cs="Arial" w:asciiTheme="minorEastAsia" w:hAnsiTheme="minorEastAsia" w:eastAsiaTheme="minorEastAsia"/>
                <w:b/>
                <w:szCs w:val="21"/>
              </w:rPr>
              <w:t>9</w:t>
            </w:r>
            <w:r>
              <w:rPr>
                <w:rFonts w:cs="Arial" w:asciiTheme="minorEastAsia" w:hAnsiTheme="minorEastAsia" w:eastAsiaTheme="minorEastAsia"/>
                <w:b/>
                <w:szCs w:val="21"/>
              </w:rPr>
              <w:t>须</w:t>
            </w:r>
            <w:r>
              <w:rPr>
                <w:rFonts w:hint="eastAsia" w:cs="Arial" w:asciiTheme="minorEastAsia" w:hAnsiTheme="minorEastAsia" w:eastAsiaTheme="minorEastAsia"/>
                <w:b/>
                <w:szCs w:val="21"/>
              </w:rPr>
              <w:t>提供第三方认证机构出具的认证证书及全国认证认可信息公共服务平台证书状态为“有效”查询证明复印件（证书与查询证明文件上均须同时体现产品型号及认证标准；若有要求实地自然环境条件的，证书上须体现“实地验证检测方式”）。</w:t>
            </w:r>
          </w:p>
          <w:p w14:paraId="248F79D3">
            <w:pPr>
              <w:wordWrap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10</w:t>
            </w:r>
            <w:r>
              <w:rPr>
                <w:rFonts w:hint="eastAsia" w:cs="Arial" w:asciiTheme="minorEastAsia" w:hAnsiTheme="minorEastAsia" w:eastAsiaTheme="minorEastAsia"/>
                <w:szCs w:val="21"/>
              </w:rPr>
              <w:t>、LED教室灯长宽</w:t>
            </w:r>
            <w:r>
              <w:rPr>
                <w:rFonts w:cs="Arial" w:asciiTheme="minorEastAsia" w:hAnsiTheme="minorEastAsia" w:eastAsiaTheme="minorEastAsia"/>
                <w:szCs w:val="21"/>
              </w:rPr>
              <w:t>尺寸为</w:t>
            </w:r>
            <w:r>
              <w:rPr>
                <w:rFonts w:hint="eastAsia" w:cs="Arial" w:asciiTheme="minorEastAsia" w:hAnsiTheme="minorEastAsia" w:eastAsiaTheme="minorEastAsia"/>
                <w:szCs w:val="21"/>
              </w:rPr>
              <w:t>1195*295±</w:t>
            </w:r>
            <w:r>
              <w:rPr>
                <w:rFonts w:cs="Arial" w:asciiTheme="minorEastAsia" w:hAnsiTheme="minorEastAsia" w:eastAsiaTheme="minorEastAsia"/>
                <w:szCs w:val="21"/>
              </w:rPr>
              <w:t>5</w:t>
            </w:r>
            <w:r>
              <w:rPr>
                <w:rFonts w:hint="eastAsia" w:cs="Arial" w:asciiTheme="minorEastAsia" w:hAnsiTheme="minorEastAsia" w:eastAsiaTheme="minorEastAsia"/>
                <w:szCs w:val="21"/>
              </w:rPr>
              <w:t>m</w:t>
            </w:r>
            <w:r>
              <w:rPr>
                <w:rFonts w:cs="Arial" w:asciiTheme="minorEastAsia" w:hAnsiTheme="minorEastAsia" w:eastAsiaTheme="minorEastAsia"/>
                <w:szCs w:val="21"/>
              </w:rPr>
              <w:t>m</w:t>
            </w:r>
            <w:r>
              <w:rPr>
                <w:rFonts w:hint="eastAsia" w:cs="Arial" w:asciiTheme="minorEastAsia" w:hAnsiTheme="minorEastAsia" w:eastAsiaTheme="minorEastAsia"/>
                <w:szCs w:val="21"/>
              </w:rPr>
              <w:t>，为一体式直下式</w:t>
            </w:r>
            <w:r>
              <w:rPr>
                <w:rFonts w:cs="Arial" w:asciiTheme="minorEastAsia" w:hAnsiTheme="minorEastAsia" w:eastAsiaTheme="minorEastAsia"/>
                <w:szCs w:val="21"/>
              </w:rPr>
              <w:t>微晶防眩灯具，</w:t>
            </w:r>
            <w:r>
              <w:rPr>
                <w:rFonts w:hint="eastAsia" w:cs="Arial" w:asciiTheme="minorEastAsia" w:hAnsiTheme="minorEastAsia" w:eastAsiaTheme="minorEastAsia"/>
                <w:szCs w:val="21"/>
              </w:rPr>
              <w:t>采用长短边结合的棱锥体防眩微晶防眩设计，防眩效果好，长时间使用不变形；采用一体式航空铝型材边框，灯具外形平整，侧表面无螺丝，四面主框架采用铝合金，背板为金属材质（或冷轧钢板材质）冲压成型，背罩工艺静电喷粉。</w:t>
            </w:r>
          </w:p>
          <w:p w14:paraId="0B134636">
            <w:pPr>
              <w:wordWrap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11</w:t>
            </w:r>
            <w:r>
              <w:rPr>
                <w:rFonts w:hint="eastAsia" w:cs="Arial" w:asciiTheme="minorEastAsia" w:hAnsiTheme="minorEastAsia" w:eastAsiaTheme="minorEastAsia"/>
                <w:szCs w:val="21"/>
              </w:rPr>
              <w:t>、为了保证灯体的散热性良好，LED教室灯光源条采用均匀打胶的方式，防止光源条掉落，增加散热面积；为了保证吊装灯具的牢固性和安全性，固定支架与金属边框连接固定，单个支架与边框的连接至少4个螺丝或铆钉固定，加强吊装的安全性，防止掉落风险。</w:t>
            </w:r>
          </w:p>
          <w:p w14:paraId="2402EC2D">
            <w:pPr>
              <w:jc w:val="left"/>
              <w:rPr>
                <w:rFonts w:cs="Arial" w:asciiTheme="minorEastAsia" w:hAnsiTheme="minorEastAsia" w:eastAsiaTheme="minorEastAsia"/>
                <w:szCs w:val="21"/>
              </w:rPr>
            </w:pPr>
            <w:r>
              <w:rPr>
                <w:rFonts w:hint="eastAsia" w:cs="Arial" w:asciiTheme="minorEastAsia" w:hAnsiTheme="minorEastAsia" w:eastAsiaTheme="minorEastAsia"/>
                <w:b/>
                <w:szCs w:val="21"/>
              </w:rPr>
              <w:t>备注：序号</w:t>
            </w:r>
            <w:r>
              <w:rPr>
                <w:rFonts w:cs="Arial" w:asciiTheme="minorEastAsia" w:hAnsiTheme="minorEastAsia" w:eastAsiaTheme="minorEastAsia"/>
                <w:b/>
                <w:szCs w:val="21"/>
              </w:rPr>
              <w:t>10-序号11须</w:t>
            </w:r>
            <w:r>
              <w:rPr>
                <w:rFonts w:hint="eastAsia" w:cs="Arial" w:asciiTheme="minorEastAsia" w:hAnsiTheme="minorEastAsia" w:eastAsiaTheme="minorEastAsia"/>
                <w:b/>
                <w:szCs w:val="21"/>
              </w:rPr>
              <w:t>提供相关佐证材料，包含但不限于产品彩页或技术参数确认函。</w:t>
            </w:r>
          </w:p>
        </w:tc>
        <w:tc>
          <w:tcPr>
            <w:tcW w:w="850" w:type="dxa"/>
            <w:vAlign w:val="center"/>
          </w:tcPr>
          <w:p w14:paraId="0C932E8E">
            <w:pPr>
              <w:jc w:val="center"/>
              <w:rPr>
                <w:rFonts w:cs="Arial" w:asciiTheme="minorEastAsia" w:hAnsiTheme="minorEastAsia" w:eastAsiaTheme="minorEastAsia"/>
                <w:kern w:val="0"/>
                <w:szCs w:val="21"/>
              </w:rPr>
            </w:pPr>
          </w:p>
        </w:tc>
      </w:tr>
      <w:tr w14:paraId="4C7F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62" w:type="dxa"/>
            <w:vAlign w:val="center"/>
          </w:tcPr>
          <w:p w14:paraId="5BB3FF61">
            <w:pPr>
              <w:jc w:val="center"/>
              <w:rPr>
                <w:rFonts w:asciiTheme="minorEastAsia" w:hAnsiTheme="minorEastAsia" w:eastAsiaTheme="minorEastAsia"/>
                <w:kern w:val="0"/>
                <w:szCs w:val="21"/>
              </w:rPr>
            </w:pPr>
            <w:r>
              <w:rPr>
                <w:rFonts w:hint="eastAsia" w:asciiTheme="minorEastAsia" w:hAnsiTheme="minorEastAsia" w:eastAsiaTheme="minorEastAsia"/>
                <w:b/>
                <w:kern w:val="0"/>
                <w:szCs w:val="21"/>
              </w:rPr>
              <w:t>序号</w:t>
            </w:r>
          </w:p>
        </w:tc>
        <w:tc>
          <w:tcPr>
            <w:tcW w:w="1095" w:type="dxa"/>
            <w:vAlign w:val="center"/>
          </w:tcPr>
          <w:p w14:paraId="5B6F1FA0">
            <w:pPr>
              <w:jc w:val="center"/>
              <w:rPr>
                <w:rFonts w:hint="eastAsia" w:cs="Arial" w:asciiTheme="minorEastAsia" w:hAnsiTheme="minorEastAsia" w:eastAsiaTheme="minorEastAsia"/>
                <w:szCs w:val="21"/>
              </w:rPr>
            </w:pPr>
            <w:r>
              <w:rPr>
                <w:rFonts w:hint="eastAsia" w:asciiTheme="minorEastAsia" w:hAnsiTheme="minorEastAsia" w:eastAsiaTheme="minorEastAsia"/>
                <w:b/>
                <w:kern w:val="0"/>
                <w:szCs w:val="21"/>
              </w:rPr>
              <w:t>产品名称</w:t>
            </w:r>
          </w:p>
        </w:tc>
        <w:tc>
          <w:tcPr>
            <w:tcW w:w="8403" w:type="dxa"/>
            <w:vAlign w:val="center"/>
          </w:tcPr>
          <w:p w14:paraId="62E95A92">
            <w:pPr>
              <w:jc w:val="center"/>
              <w:rPr>
                <w:rFonts w:hint="eastAsia" w:cs="Arial" w:asciiTheme="minorEastAsia" w:hAnsiTheme="minorEastAsia" w:eastAsiaTheme="minorEastAsia"/>
                <w:b/>
                <w:szCs w:val="21"/>
              </w:rPr>
            </w:pPr>
            <w:r>
              <w:rPr>
                <w:rFonts w:hint="eastAsia" w:asciiTheme="minorEastAsia" w:hAnsiTheme="minorEastAsia" w:eastAsiaTheme="minorEastAsia"/>
                <w:b/>
                <w:kern w:val="0"/>
                <w:szCs w:val="21"/>
              </w:rPr>
              <w:t>技术参数</w:t>
            </w:r>
          </w:p>
        </w:tc>
        <w:tc>
          <w:tcPr>
            <w:tcW w:w="850" w:type="dxa"/>
            <w:vAlign w:val="center"/>
          </w:tcPr>
          <w:p w14:paraId="460713EB">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数量</w:t>
            </w:r>
          </w:p>
          <w:p w14:paraId="30D174C6">
            <w:pPr>
              <w:jc w:val="center"/>
              <w:rPr>
                <w:rFonts w:cs="Arial" w:asciiTheme="minorEastAsia" w:hAnsiTheme="minorEastAsia" w:eastAsiaTheme="minorEastAsia"/>
                <w:kern w:val="0"/>
                <w:szCs w:val="21"/>
              </w:rPr>
            </w:pPr>
            <w:r>
              <w:rPr>
                <w:rFonts w:hint="eastAsia" w:asciiTheme="minorEastAsia" w:hAnsiTheme="minorEastAsia" w:eastAsiaTheme="minorEastAsia"/>
                <w:b/>
                <w:kern w:val="0"/>
                <w:szCs w:val="21"/>
              </w:rPr>
              <w:t>（套）</w:t>
            </w:r>
          </w:p>
        </w:tc>
      </w:tr>
      <w:tr w14:paraId="5F5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41F507D">
            <w:pPr>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1095" w:type="dxa"/>
            <w:vAlign w:val="center"/>
          </w:tcPr>
          <w:p w14:paraId="5F21ABA2">
            <w:pPr>
              <w:jc w:val="center"/>
              <w:rPr>
                <w:rFonts w:cs="Arial" w:asciiTheme="minorEastAsia" w:hAnsiTheme="minorEastAsia"/>
                <w:szCs w:val="21"/>
              </w:rPr>
            </w:pPr>
            <w:r>
              <w:rPr>
                <w:rFonts w:hint="eastAsia" w:cs="Arial" w:asciiTheme="minorEastAsia" w:hAnsiTheme="minorEastAsia"/>
                <w:szCs w:val="21"/>
              </w:rPr>
              <w:t>LED黑板灯</w:t>
            </w:r>
          </w:p>
        </w:tc>
        <w:tc>
          <w:tcPr>
            <w:tcW w:w="8403" w:type="dxa"/>
            <w:vAlign w:val="center"/>
          </w:tcPr>
          <w:p w14:paraId="27828A38">
            <w:pPr>
              <w:jc w:val="left"/>
              <w:rPr>
                <w:rFonts w:hint="eastAsia" w:cs="Arial" w:asciiTheme="minorEastAsia" w:hAnsiTheme="minorEastAsia" w:eastAsiaTheme="minorEastAsia"/>
                <w:b/>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1</w:t>
            </w:r>
            <w:r>
              <w:rPr>
                <w:rFonts w:hint="eastAsia" w:cs="Arial" w:asciiTheme="minorEastAsia" w:hAnsiTheme="minorEastAsia" w:eastAsiaTheme="minorEastAsia"/>
                <w:szCs w:val="21"/>
              </w:rPr>
              <w:t>、LED黑板灯显色指数Ra≥9</w:t>
            </w:r>
            <w:r>
              <w:rPr>
                <w:rFonts w:cs="Arial" w:asciiTheme="minorEastAsia" w:hAnsiTheme="minorEastAsia" w:eastAsiaTheme="minorEastAsia"/>
                <w:szCs w:val="21"/>
              </w:rPr>
              <w:t>7</w:t>
            </w:r>
            <w:r>
              <w:rPr>
                <w:rFonts w:hint="eastAsia" w:cs="Arial" w:asciiTheme="minorEastAsia" w:hAnsiTheme="minorEastAsia" w:eastAsiaTheme="minorEastAsia"/>
                <w:szCs w:val="21"/>
              </w:rPr>
              <w:t>、R9≥</w:t>
            </w:r>
            <w:r>
              <w:rPr>
                <w:rFonts w:cs="Arial" w:asciiTheme="minorEastAsia" w:hAnsiTheme="minorEastAsia" w:eastAsiaTheme="minorEastAsia"/>
                <w:szCs w:val="21"/>
              </w:rPr>
              <w:t>92、</w:t>
            </w:r>
            <w:r>
              <w:rPr>
                <w:rFonts w:hint="eastAsia" w:cs="Arial" w:asciiTheme="minorEastAsia" w:hAnsiTheme="minorEastAsia" w:eastAsiaTheme="minorEastAsia"/>
                <w:szCs w:val="21"/>
              </w:rPr>
              <w:t>R</w:t>
            </w:r>
            <w:r>
              <w:rPr>
                <w:rFonts w:cs="Arial" w:asciiTheme="minorEastAsia" w:hAnsiTheme="minorEastAsia" w:eastAsiaTheme="minorEastAsia"/>
                <w:szCs w:val="21"/>
              </w:rPr>
              <w:t>15</w:t>
            </w:r>
            <w:r>
              <w:rPr>
                <w:rFonts w:hint="eastAsia" w:cs="Arial" w:asciiTheme="minorEastAsia" w:hAnsiTheme="minorEastAsia" w:eastAsiaTheme="minorEastAsia"/>
                <w:szCs w:val="21"/>
              </w:rPr>
              <w:t>≥</w:t>
            </w:r>
            <w:r>
              <w:rPr>
                <w:rFonts w:cs="Arial" w:asciiTheme="minorEastAsia" w:hAnsiTheme="minorEastAsia" w:eastAsiaTheme="minorEastAsia"/>
                <w:szCs w:val="21"/>
              </w:rPr>
              <w:t>96</w:t>
            </w:r>
            <w:r>
              <w:rPr>
                <w:rFonts w:hint="eastAsia" w:cs="Arial" w:asciiTheme="minorEastAsia" w:hAnsiTheme="minorEastAsia" w:eastAsiaTheme="minorEastAsia"/>
                <w:szCs w:val="21"/>
              </w:rPr>
              <w:t>，色温（或相关色温）</w:t>
            </w:r>
            <w:r>
              <w:rPr>
                <w:rFonts w:cs="Arial" w:asciiTheme="minorEastAsia" w:hAnsiTheme="minorEastAsia" w:eastAsiaTheme="minorEastAsia"/>
                <w:szCs w:val="21"/>
              </w:rPr>
              <w:t>5000±100</w:t>
            </w:r>
            <w:r>
              <w:rPr>
                <w:rFonts w:hint="eastAsia" w:cs="Arial" w:asciiTheme="minorEastAsia" w:hAnsiTheme="minorEastAsia" w:eastAsiaTheme="minorEastAsia"/>
                <w:szCs w:val="21"/>
              </w:rPr>
              <w:t>K，色容差≤</w:t>
            </w:r>
            <w:r>
              <w:rPr>
                <w:rFonts w:cs="Arial" w:asciiTheme="minorEastAsia" w:hAnsiTheme="minorEastAsia" w:eastAsiaTheme="minorEastAsia"/>
                <w:szCs w:val="21"/>
              </w:rPr>
              <w:t>3</w:t>
            </w:r>
            <w:r>
              <w:rPr>
                <w:rFonts w:hint="eastAsia" w:cs="Arial" w:asciiTheme="minorEastAsia" w:hAnsiTheme="minorEastAsia" w:eastAsiaTheme="minorEastAsia"/>
                <w:szCs w:val="21"/>
              </w:rPr>
              <w:t xml:space="preserve"> SDCM，色品空间不一致性≤0</w:t>
            </w:r>
            <w:r>
              <w:rPr>
                <w:rFonts w:cs="Arial" w:asciiTheme="minorEastAsia" w:hAnsiTheme="minorEastAsia" w:eastAsiaTheme="minorEastAsia"/>
                <w:szCs w:val="21"/>
              </w:rPr>
              <w:t>.002</w:t>
            </w:r>
            <w:r>
              <w:rPr>
                <w:rFonts w:hint="eastAsia" w:cs="Arial" w:asciiTheme="minorEastAsia" w:hAnsiTheme="minorEastAsia" w:eastAsiaTheme="minorEastAsia"/>
                <w:szCs w:val="21"/>
              </w:rPr>
              <w:t>，光通量≥3</w:t>
            </w:r>
            <w:r>
              <w:rPr>
                <w:rFonts w:cs="Arial" w:asciiTheme="minorEastAsia" w:hAnsiTheme="minorEastAsia" w:eastAsiaTheme="minorEastAsia"/>
                <w:szCs w:val="21"/>
              </w:rPr>
              <w:t>600lm,光效</w:t>
            </w:r>
            <w:r>
              <w:rPr>
                <w:rFonts w:hint="eastAsia" w:cs="Arial" w:asciiTheme="minorEastAsia" w:hAnsiTheme="minorEastAsia" w:eastAsiaTheme="minorEastAsia"/>
                <w:szCs w:val="21"/>
              </w:rPr>
              <w:t>≥9</w:t>
            </w:r>
            <w:r>
              <w:rPr>
                <w:rFonts w:cs="Arial" w:asciiTheme="minorEastAsia" w:hAnsiTheme="minorEastAsia" w:eastAsiaTheme="minorEastAsia"/>
                <w:szCs w:val="21"/>
              </w:rPr>
              <w:t>2lm/W</w:t>
            </w:r>
            <w:r>
              <w:rPr>
                <w:rFonts w:hint="eastAsia" w:cs="Arial" w:asciiTheme="minorEastAsia" w:hAnsiTheme="minorEastAsia" w:eastAsiaTheme="minorEastAsia"/>
                <w:szCs w:val="21"/>
              </w:rPr>
              <w:t>；</w:t>
            </w:r>
            <w:r>
              <w:rPr>
                <w:rFonts w:hint="eastAsia" w:asciiTheme="minorEastAsia" w:hAnsiTheme="minorEastAsia" w:eastAsiaTheme="minorEastAsia"/>
              </w:rPr>
              <w:t>在C90-C270 面的光束角满足</w:t>
            </w:r>
            <w:r>
              <w:rPr>
                <w:rFonts w:asciiTheme="minorEastAsia" w:hAnsiTheme="minorEastAsia" w:eastAsiaTheme="minorEastAsia"/>
              </w:rPr>
              <w:t>60</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°，在C0-C180 面的光束角满足</w:t>
            </w:r>
            <w:r>
              <w:rPr>
                <w:rFonts w:asciiTheme="minorEastAsia" w:hAnsiTheme="minorEastAsia" w:eastAsiaTheme="minorEastAsia"/>
              </w:rPr>
              <w:t>88</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°；闪烁波动深度</w:t>
            </w:r>
            <w:r>
              <w:rPr>
                <w:rFonts w:hint="eastAsia" w:cs="Arial" w:asciiTheme="minorEastAsia" w:hAnsiTheme="minorEastAsia" w:eastAsiaTheme="minorEastAsia"/>
                <w:szCs w:val="21"/>
              </w:rPr>
              <w:t>≤0</w:t>
            </w:r>
            <w:r>
              <w:rPr>
                <w:rFonts w:cs="Arial" w:asciiTheme="minorEastAsia" w:hAnsiTheme="minorEastAsia" w:eastAsiaTheme="minorEastAsia"/>
                <w:szCs w:val="21"/>
              </w:rPr>
              <w:t>.3%</w:t>
            </w:r>
            <w:r>
              <w:rPr>
                <w:rFonts w:hint="eastAsia" w:asciiTheme="minorEastAsia" w:hAnsiTheme="minorEastAsia" w:eastAsiaTheme="minorEastAsia"/>
              </w:rPr>
              <w:t>；视网膜蓝光危害为R</w:t>
            </w:r>
            <w:r>
              <w:rPr>
                <w:rFonts w:asciiTheme="minorEastAsia" w:hAnsiTheme="minorEastAsia" w:eastAsiaTheme="minorEastAsia"/>
              </w:rPr>
              <w:t>G0，且真实亮度（</w:t>
            </w:r>
            <w:r>
              <w:rPr>
                <w:rFonts w:hint="eastAsia" w:asciiTheme="minorEastAsia" w:hAnsiTheme="minorEastAsia" w:eastAsiaTheme="minorEastAsia"/>
              </w:rPr>
              <w:t>L</w:t>
            </w:r>
            <w:r>
              <w:rPr>
                <w:rFonts w:asciiTheme="minorEastAsia" w:hAnsiTheme="minorEastAsia" w:eastAsiaTheme="minorEastAsia"/>
              </w:rPr>
              <w:t>）≥6500cd/m</w:t>
            </w:r>
            <w:r>
              <w:rPr>
                <w:rFonts w:asciiTheme="minorEastAsia" w:hAnsiTheme="minorEastAsia" w:eastAsiaTheme="minorEastAsia"/>
                <w:vertAlign w:val="superscript"/>
              </w:rPr>
              <w:t>2</w:t>
            </w:r>
            <w:r>
              <w:rPr>
                <w:rFonts w:hint="eastAsia" w:asciiTheme="minorEastAsia" w:hAnsiTheme="minorEastAsia" w:eastAsiaTheme="minorEastAsia"/>
              </w:rPr>
              <w:t>；通过机械加载≥1</w:t>
            </w:r>
            <w:r>
              <w:rPr>
                <w:rFonts w:asciiTheme="minorEastAsia" w:hAnsiTheme="minorEastAsia" w:eastAsiaTheme="minorEastAsia"/>
              </w:rPr>
              <w:t>0倍重量，灯具悬挂和调节装置未产生变形，且光生物安全等级为无危险类</w:t>
            </w:r>
            <w:r>
              <w:rPr>
                <w:rFonts w:hint="eastAsia" w:cs="Arial" w:asciiTheme="minorEastAsia" w:hAnsiTheme="minorEastAsia" w:eastAsiaTheme="minorEastAsia"/>
                <w:szCs w:val="21"/>
              </w:rPr>
              <w:t>。</w:t>
            </w:r>
            <w:r>
              <w:rPr>
                <w:rFonts w:cs="Arial" w:asciiTheme="minorEastAsia" w:hAnsiTheme="minorEastAsia" w:eastAsiaTheme="minorEastAsia"/>
                <w:b/>
                <w:szCs w:val="21"/>
              </w:rPr>
              <w:t>须</w:t>
            </w:r>
            <w:r>
              <w:rPr>
                <w:rFonts w:hint="eastAsia" w:cs="Arial" w:asciiTheme="minorEastAsia" w:hAnsiTheme="minorEastAsia" w:eastAsiaTheme="minorEastAsia"/>
                <w:b/>
                <w:szCs w:val="21"/>
              </w:rPr>
              <w:t>提供第三方检测机构出具的封面带有CMA及C</w:t>
            </w:r>
            <w:r>
              <w:rPr>
                <w:rFonts w:cs="Arial" w:asciiTheme="minorEastAsia" w:hAnsiTheme="minorEastAsia" w:eastAsiaTheme="minorEastAsia"/>
                <w:b/>
                <w:szCs w:val="21"/>
              </w:rPr>
              <w:t>NAS</w:t>
            </w:r>
            <w:r>
              <w:rPr>
                <w:rFonts w:hint="eastAsia" w:cs="Arial" w:asciiTheme="minorEastAsia" w:hAnsiTheme="minorEastAsia" w:eastAsiaTheme="minorEastAsia"/>
                <w:b/>
                <w:szCs w:val="21"/>
              </w:rPr>
              <w:t>标志的检测报告（以上指标在同一份报告中体现）及检测报告编号在全国认证认可信息公共服务平台的查询证明复印件，同时提供报告所引用检测标准依据在中国合格评定国家认可委员会官网查询的能力范围证明复印件。</w:t>
            </w:r>
          </w:p>
          <w:p w14:paraId="26BE4CAB">
            <w:pPr>
              <w:wordWrap w:val="0"/>
              <w:jc w:val="left"/>
              <w:rPr>
                <w:rFonts w:cs="Arial" w:asciiTheme="minorEastAsia" w:hAnsiTheme="minorEastAsia" w:eastAsiaTheme="minorEastAsia"/>
                <w:b/>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2</w:t>
            </w:r>
            <w:r>
              <w:rPr>
                <w:rFonts w:hint="eastAsia" w:cs="Arial" w:asciiTheme="minorEastAsia" w:hAnsiTheme="minorEastAsia" w:eastAsiaTheme="minorEastAsia"/>
                <w:szCs w:val="21"/>
              </w:rPr>
              <w:t xml:space="preserve">、LED黑板灯依据《GB/T </w:t>
            </w:r>
            <w:r>
              <w:rPr>
                <w:rFonts w:cs="Arial" w:asciiTheme="minorEastAsia" w:hAnsiTheme="minorEastAsia" w:eastAsiaTheme="minorEastAsia"/>
                <w:szCs w:val="21"/>
              </w:rPr>
              <w:t>17743-2021</w:t>
            </w:r>
            <w:r>
              <w:rPr>
                <w:rFonts w:hint="eastAsia" w:cs="Arial" w:asciiTheme="minorEastAsia" w:hAnsiTheme="minorEastAsia" w:eastAsiaTheme="minorEastAsia"/>
                <w:szCs w:val="21"/>
              </w:rPr>
              <w:t xml:space="preserve">》及《GB/T </w:t>
            </w:r>
            <w:r>
              <w:rPr>
                <w:rFonts w:cs="Arial" w:asciiTheme="minorEastAsia" w:hAnsiTheme="minorEastAsia" w:eastAsiaTheme="minorEastAsia"/>
                <w:szCs w:val="21"/>
              </w:rPr>
              <w:t>31275-2020</w:t>
            </w:r>
            <w:r>
              <w:rPr>
                <w:rFonts w:hint="eastAsia" w:cs="Arial" w:asciiTheme="minorEastAsia" w:hAnsiTheme="minorEastAsia" w:eastAsiaTheme="minorEastAsia"/>
                <w:szCs w:val="21"/>
              </w:rPr>
              <w:t>》等标准</w:t>
            </w:r>
            <w:r>
              <w:rPr>
                <w:rFonts w:hint="eastAsia" w:asciiTheme="minorEastAsia" w:hAnsiTheme="minorEastAsia" w:eastAsiaTheme="minorEastAsia"/>
              </w:rPr>
              <w:t>通过人体电磁辐射测试，且灯具电源端传导骚扰电压（或电源接口骚扰电压）、外壳端口辐射骚扰、感应电流密度检测结果皆为合格（或通过或判定为P）。</w:t>
            </w:r>
            <w:r>
              <w:rPr>
                <w:rFonts w:cs="Arial" w:asciiTheme="minorEastAsia" w:hAnsiTheme="minorEastAsia" w:eastAsiaTheme="minorEastAsia"/>
                <w:b/>
                <w:szCs w:val="21"/>
              </w:rPr>
              <w:t>须</w:t>
            </w:r>
            <w:r>
              <w:rPr>
                <w:rFonts w:hint="eastAsia" w:cs="Arial" w:asciiTheme="minorEastAsia" w:hAnsiTheme="minorEastAsia" w:eastAsiaTheme="minorEastAsia"/>
                <w:b/>
                <w:szCs w:val="21"/>
              </w:rPr>
              <w:t>提供第三方检测机构出具的封面带有CMA及C</w:t>
            </w:r>
            <w:r>
              <w:rPr>
                <w:rFonts w:cs="Arial" w:asciiTheme="minorEastAsia" w:hAnsiTheme="minorEastAsia" w:eastAsiaTheme="minorEastAsia"/>
                <w:b/>
                <w:szCs w:val="21"/>
              </w:rPr>
              <w:t>NAS</w:t>
            </w:r>
            <w:r>
              <w:rPr>
                <w:rFonts w:hint="eastAsia" w:cs="Arial" w:asciiTheme="minorEastAsia" w:hAnsiTheme="minorEastAsia" w:eastAsiaTheme="minorEastAsia"/>
                <w:b/>
                <w:szCs w:val="21"/>
              </w:rPr>
              <w:t>标志的检测报告及检测报告编号在全国认证认可信息公共服务平台的查询证明复印件，同时提供报告所引用检测标准依据在中国合格评定国家认可委员会官网查询的能力范围证明复印件。</w:t>
            </w:r>
          </w:p>
          <w:p w14:paraId="192C2F53">
            <w:pPr>
              <w:wordWrap w:val="0"/>
              <w:jc w:val="left"/>
              <w:rPr>
                <w:rFonts w:cs="Arial" w:asciiTheme="minorEastAsia" w:hAnsiTheme="minorEastAsia"/>
                <w:szCs w:val="21"/>
              </w:rPr>
            </w:pPr>
            <w:r>
              <w:rPr>
                <w:rFonts w:hint="eastAsia" w:ascii="宋体" w:hAnsi="宋体" w:cs="Arial"/>
                <w:szCs w:val="21"/>
              </w:rPr>
              <w:t>★</w:t>
            </w:r>
            <w:r>
              <w:rPr>
                <w:rFonts w:cs="Arial" w:asciiTheme="minorEastAsia" w:hAnsiTheme="minorEastAsia"/>
                <w:szCs w:val="21"/>
              </w:rPr>
              <w:t>3</w:t>
            </w:r>
            <w:r>
              <w:rPr>
                <w:rFonts w:hint="eastAsia" w:cs="Arial" w:asciiTheme="minorEastAsia" w:hAnsiTheme="minorEastAsia"/>
                <w:szCs w:val="21"/>
              </w:rPr>
              <w:t>、LED黑板灯额定功率＜4</w:t>
            </w:r>
            <w:r>
              <w:rPr>
                <w:rFonts w:cs="Arial" w:asciiTheme="minorEastAsia" w:hAnsiTheme="minorEastAsia"/>
                <w:szCs w:val="21"/>
              </w:rPr>
              <w:t>0</w:t>
            </w:r>
            <w:r>
              <w:rPr>
                <w:rFonts w:hint="eastAsia" w:cs="Arial" w:asciiTheme="minorEastAsia" w:hAnsiTheme="minorEastAsia"/>
                <w:szCs w:val="21"/>
              </w:rPr>
              <w:t>W，单颗光源功率≥1</w:t>
            </w:r>
            <w:r>
              <w:rPr>
                <w:rFonts w:cs="Arial" w:asciiTheme="minorEastAsia" w:hAnsiTheme="minorEastAsia"/>
                <w:szCs w:val="21"/>
              </w:rPr>
              <w:t>W，</w:t>
            </w:r>
            <w:r>
              <w:rPr>
                <w:rFonts w:hint="eastAsia" w:cs="Arial" w:asciiTheme="minorEastAsia" w:hAnsiTheme="minorEastAsia"/>
                <w:szCs w:val="21"/>
              </w:rPr>
              <w:t>光源额定总功率是灯具额定功率的</w:t>
            </w:r>
            <w:r>
              <w:rPr>
                <w:rFonts w:cs="Arial" w:asciiTheme="minorEastAsia" w:hAnsiTheme="minorEastAsia"/>
                <w:szCs w:val="21"/>
              </w:rPr>
              <w:t>2</w:t>
            </w:r>
            <w:r>
              <w:rPr>
                <w:rFonts w:hint="eastAsia" w:cs="Arial" w:asciiTheme="minorEastAsia" w:hAnsiTheme="minorEastAsia"/>
                <w:szCs w:val="21"/>
              </w:rPr>
              <w:t>倍或以上。</w:t>
            </w:r>
          </w:p>
          <w:p w14:paraId="60FB7B80">
            <w:pPr>
              <w:jc w:val="left"/>
              <w:rPr>
                <w:rFonts w:cs="Arial" w:asciiTheme="minorEastAsia" w:hAnsiTheme="minorEastAsia"/>
                <w:szCs w:val="21"/>
              </w:rPr>
            </w:pPr>
            <w:r>
              <w:rPr>
                <w:rFonts w:cs="Arial" w:asciiTheme="minorEastAsia" w:hAnsiTheme="minorEastAsia"/>
                <w:szCs w:val="21"/>
              </w:rPr>
              <w:t>4</w:t>
            </w:r>
            <w:r>
              <w:rPr>
                <w:rFonts w:hint="eastAsia" w:cs="Arial" w:asciiTheme="minorEastAsia" w:hAnsiTheme="minorEastAsia"/>
                <w:szCs w:val="21"/>
              </w:rPr>
              <w:t>、LED黑板灯依据《GB/T 26572</w:t>
            </w:r>
            <w:r>
              <w:rPr>
                <w:rFonts w:cs="Arial" w:asciiTheme="minorEastAsia" w:hAnsiTheme="minorEastAsia" w:eastAsiaTheme="minorEastAsia"/>
                <w:szCs w:val="21"/>
              </w:rPr>
              <w:t>-2011</w:t>
            </w:r>
            <w:r>
              <w:rPr>
                <w:rFonts w:hint="eastAsia" w:cs="Arial" w:asciiTheme="minorEastAsia" w:hAnsiTheme="minorEastAsia"/>
                <w:szCs w:val="21"/>
              </w:rPr>
              <w:t>》等标准通过电器电子产品认证。</w:t>
            </w:r>
          </w:p>
          <w:p w14:paraId="3A471B5C">
            <w:pPr>
              <w:wordWrap w:val="0"/>
              <w:adjustRightInd w:val="0"/>
              <w:snapToGrid w:val="0"/>
              <w:jc w:val="left"/>
              <w:rPr>
                <w:rFonts w:cs="Arial" w:asciiTheme="minorEastAsia" w:hAnsiTheme="minorEastAsia" w:eastAsiaTheme="minorEastAsia"/>
                <w:szCs w:val="21"/>
              </w:rPr>
            </w:pPr>
            <w:r>
              <w:rPr>
                <w:rFonts w:hint="eastAsia" w:cs="Arial" w:asciiTheme="minorEastAsia" w:hAnsiTheme="minorEastAsia" w:eastAsiaTheme="minorEastAsia"/>
                <w:szCs w:val="21"/>
              </w:rPr>
              <w:t>★</w:t>
            </w:r>
            <w:r>
              <w:rPr>
                <w:rFonts w:cs="Arial" w:asciiTheme="minorEastAsia" w:hAnsiTheme="minorEastAsia" w:eastAsiaTheme="minorEastAsia"/>
                <w:szCs w:val="21"/>
              </w:rPr>
              <w:t>5</w:t>
            </w:r>
            <w:r>
              <w:rPr>
                <w:rFonts w:hint="eastAsia" w:cs="Arial" w:asciiTheme="minorEastAsia" w:hAnsiTheme="minorEastAsia" w:eastAsiaTheme="minorEastAsia"/>
                <w:szCs w:val="21"/>
              </w:rPr>
              <w:t>、LED</w:t>
            </w:r>
            <w:r>
              <w:rPr>
                <w:rFonts w:hint="eastAsia" w:cs="Arial" w:asciiTheme="minorEastAsia" w:hAnsiTheme="minorEastAsia"/>
                <w:szCs w:val="21"/>
              </w:rPr>
              <w:t>黑板</w:t>
            </w:r>
            <w:r>
              <w:rPr>
                <w:rFonts w:hint="eastAsia" w:cs="Arial" w:asciiTheme="minorEastAsia" w:hAnsiTheme="minorEastAsia" w:eastAsiaTheme="minorEastAsia"/>
                <w:szCs w:val="21"/>
              </w:rPr>
              <w:t>灯</w:t>
            </w:r>
            <w:r>
              <w:rPr>
                <w:rFonts w:hint="eastAsia" w:asciiTheme="minorEastAsia" w:hAnsiTheme="minorEastAsia" w:eastAsiaTheme="minorEastAsia"/>
                <w:szCs w:val="21"/>
              </w:rPr>
              <w:t>在大气压力≥100kPa，平均湿度≥50%RH、极值空气温度≤-20℃及相对温差≥3</w:t>
            </w:r>
            <w:r>
              <w:rPr>
                <w:rFonts w:asciiTheme="minorEastAsia" w:hAnsiTheme="minorEastAsia" w:eastAsiaTheme="minorEastAsia"/>
                <w:szCs w:val="21"/>
              </w:rPr>
              <w:t>3</w:t>
            </w:r>
            <w:r>
              <w:rPr>
                <w:rFonts w:hint="eastAsia" w:asciiTheme="minorEastAsia" w:hAnsiTheme="minorEastAsia" w:eastAsiaTheme="minorEastAsia"/>
                <w:szCs w:val="21"/>
              </w:rPr>
              <w:t>℃的实地自然环境条件下至少持续运行</w:t>
            </w:r>
            <w:r>
              <w:rPr>
                <w:rFonts w:asciiTheme="minorEastAsia" w:hAnsiTheme="minorEastAsia" w:eastAsiaTheme="minorEastAsia"/>
                <w:szCs w:val="21"/>
              </w:rPr>
              <w:t>400</w:t>
            </w:r>
            <w:r>
              <w:rPr>
                <w:rFonts w:hint="eastAsia" w:asciiTheme="minorEastAsia" w:hAnsiTheme="minorEastAsia" w:eastAsiaTheme="minorEastAsia"/>
                <w:szCs w:val="21"/>
              </w:rPr>
              <w:t>小时</w:t>
            </w:r>
            <w:r>
              <w:rPr>
                <w:rFonts w:hint="eastAsia" w:cs="Arial" w:asciiTheme="minorEastAsia" w:hAnsiTheme="minorEastAsia" w:eastAsiaTheme="minorEastAsia"/>
                <w:szCs w:val="21"/>
              </w:rPr>
              <w:t xml:space="preserve">，依据《GB/T </w:t>
            </w:r>
            <w:r>
              <w:rPr>
                <w:rFonts w:cs="Arial" w:asciiTheme="minorEastAsia" w:hAnsiTheme="minorEastAsia" w:eastAsiaTheme="minorEastAsia"/>
                <w:szCs w:val="21"/>
              </w:rPr>
              <w:t>18595</w:t>
            </w:r>
            <w:r>
              <w:rPr>
                <w:rFonts w:asciiTheme="minorEastAsia" w:hAnsiTheme="minorEastAsia" w:eastAsiaTheme="minorEastAsia"/>
                <w:szCs w:val="21"/>
              </w:rPr>
              <w:t>-2014</w:t>
            </w:r>
            <w:r>
              <w:rPr>
                <w:rFonts w:hint="eastAsia" w:cs="Arial" w:asciiTheme="minorEastAsia" w:hAnsiTheme="minorEastAsia" w:eastAsiaTheme="minorEastAsia"/>
                <w:szCs w:val="21"/>
              </w:rPr>
              <w:t>》等标准满足</w:t>
            </w:r>
            <w:r>
              <w:rPr>
                <w:rFonts w:hint="eastAsia" w:asciiTheme="minorEastAsia" w:hAnsiTheme="minorEastAsia" w:eastAsiaTheme="minorEastAsia"/>
                <w:szCs w:val="21"/>
              </w:rPr>
              <w:t>浪涌性能达到C或以上等级</w:t>
            </w:r>
            <w:r>
              <w:rPr>
                <w:rFonts w:hint="eastAsia" w:cs="Arial" w:asciiTheme="minorEastAsia" w:hAnsiTheme="minorEastAsia" w:eastAsiaTheme="minorEastAsia"/>
                <w:szCs w:val="21"/>
              </w:rPr>
              <w:t>及依据《GB/T6882</w:t>
            </w:r>
            <w:r>
              <w:rPr>
                <w:rFonts w:cs="Arial" w:asciiTheme="minorEastAsia" w:hAnsiTheme="minorEastAsia" w:eastAsiaTheme="minorEastAsia"/>
                <w:szCs w:val="21"/>
              </w:rPr>
              <w:t>-2016</w:t>
            </w:r>
            <w:r>
              <w:rPr>
                <w:rFonts w:hint="eastAsia" w:cs="Arial" w:asciiTheme="minorEastAsia" w:hAnsiTheme="minorEastAsia" w:eastAsiaTheme="minorEastAsia"/>
                <w:szCs w:val="21"/>
              </w:rPr>
              <w:t>》等标准满足噪声＜17dB（A）。</w:t>
            </w:r>
          </w:p>
          <w:p w14:paraId="167B7AD3">
            <w:pPr>
              <w:wordWrap w:val="0"/>
              <w:adjustRightInd w:val="0"/>
              <w:snapToGrid w:val="0"/>
              <w:jc w:val="left"/>
              <w:rPr>
                <w:rFonts w:asciiTheme="minorEastAsia" w:hAnsiTheme="minorEastAsia" w:eastAsiaTheme="minorEastAsia"/>
                <w:spacing w:val="-1"/>
                <w:szCs w:val="21"/>
              </w:rPr>
            </w:pPr>
            <w:r>
              <w:rPr>
                <w:rFonts w:hint="eastAsia" w:cs="Arial" w:asciiTheme="minorEastAsia" w:hAnsiTheme="minorEastAsia" w:eastAsiaTheme="minorEastAsia"/>
                <w:szCs w:val="21"/>
              </w:rPr>
              <w:t>★</w:t>
            </w:r>
            <w:r>
              <w:rPr>
                <w:rFonts w:asciiTheme="minorEastAsia" w:hAnsiTheme="minorEastAsia" w:eastAsiaTheme="minorEastAsia"/>
                <w:spacing w:val="-1"/>
                <w:szCs w:val="21"/>
              </w:rPr>
              <w:t>6、为</w:t>
            </w:r>
            <w:r>
              <w:rPr>
                <w:rFonts w:hint="eastAsia" w:asciiTheme="minorEastAsia" w:hAnsiTheme="minorEastAsia" w:eastAsiaTheme="minorEastAsia"/>
                <w:spacing w:val="-1"/>
                <w:szCs w:val="21"/>
              </w:rPr>
              <w:t>确保</w:t>
            </w:r>
            <w:r>
              <w:rPr>
                <w:rFonts w:asciiTheme="minorEastAsia" w:hAnsiTheme="minorEastAsia" w:eastAsiaTheme="minorEastAsia"/>
                <w:spacing w:val="-1"/>
                <w:szCs w:val="21"/>
              </w:rPr>
              <w:t>灯具使用寿命，LED</w:t>
            </w:r>
            <w:r>
              <w:rPr>
                <w:rFonts w:hint="eastAsia" w:cs="Arial" w:asciiTheme="minorEastAsia" w:hAnsiTheme="minorEastAsia"/>
                <w:szCs w:val="21"/>
              </w:rPr>
              <w:t>黑板</w:t>
            </w:r>
            <w:r>
              <w:rPr>
                <w:rFonts w:asciiTheme="minorEastAsia" w:hAnsiTheme="minorEastAsia" w:eastAsiaTheme="minorEastAsia"/>
                <w:spacing w:val="-1"/>
                <w:szCs w:val="21"/>
              </w:rPr>
              <w:t>灯</w:t>
            </w:r>
            <w:r>
              <w:rPr>
                <w:rFonts w:hint="eastAsia" w:asciiTheme="minorEastAsia" w:hAnsiTheme="minorEastAsia" w:eastAsiaTheme="minorEastAsia"/>
                <w:spacing w:val="-1"/>
                <w:szCs w:val="21"/>
              </w:rPr>
              <w:t>符合《LED灯具可靠性试验方法》第6章电源开关试验要求，且环境适应性满足防护等级≥IP40，</w:t>
            </w:r>
            <w:r>
              <w:rPr>
                <w:rFonts w:asciiTheme="minorEastAsia" w:hAnsiTheme="minorEastAsia" w:eastAsiaTheme="minorEastAsia"/>
                <w:spacing w:val="-1"/>
                <w:szCs w:val="21"/>
              </w:rPr>
              <w:t>t</w:t>
            </w:r>
            <w:r>
              <w:rPr>
                <w:rFonts w:hint="eastAsia" w:asciiTheme="minorEastAsia" w:hAnsiTheme="minorEastAsia" w:eastAsiaTheme="minorEastAsia"/>
                <w:spacing w:val="-1"/>
                <w:szCs w:val="21"/>
              </w:rPr>
              <w:t>a≥50℃</w:t>
            </w:r>
            <w:r>
              <w:rPr>
                <w:rFonts w:asciiTheme="minorEastAsia" w:hAnsiTheme="minorEastAsia" w:eastAsiaTheme="minorEastAsia"/>
                <w:spacing w:val="-1"/>
                <w:szCs w:val="21"/>
              </w:rPr>
              <w:t>。</w:t>
            </w:r>
          </w:p>
          <w:p w14:paraId="37C11999">
            <w:pPr>
              <w:widowControl/>
              <w:numPr>
                <w:ilvl w:val="0"/>
                <w:numId w:val="0"/>
              </w:numPr>
              <w:rPr>
                <w:rFonts w:hint="eastAsia" w:asciiTheme="minorEastAsia" w:hAnsiTheme="minorEastAsia" w:eastAsiaTheme="minorEastAsia"/>
                <w:color w:val="C00000"/>
                <w:spacing w:val="-1"/>
                <w:szCs w:val="21"/>
              </w:rPr>
            </w:pPr>
            <w:r>
              <w:rPr>
                <w:rFonts w:hint="eastAsia" w:asciiTheme="minorEastAsia" w:hAnsiTheme="minorEastAsia" w:eastAsiaTheme="minorEastAsia"/>
                <w:color w:val="C00000"/>
                <w:spacing w:val="-1"/>
                <w:szCs w:val="21"/>
                <w:lang w:val="en-US" w:eastAsia="zh-CN"/>
              </w:rPr>
              <w:t>7、</w:t>
            </w:r>
            <w:r>
              <w:rPr>
                <w:rFonts w:hint="eastAsia" w:asciiTheme="minorEastAsia" w:hAnsiTheme="minorEastAsia" w:eastAsiaTheme="minorEastAsia"/>
                <w:color w:val="C00000"/>
                <w:spacing w:val="-1"/>
                <w:szCs w:val="21"/>
              </w:rPr>
              <w:t>以国家</w:t>
            </w:r>
            <w:bookmarkStart w:id="0" w:name="_GoBack"/>
            <w:r>
              <w:rPr>
                <w:rFonts w:hint="eastAsia" w:asciiTheme="minorEastAsia" w:hAnsiTheme="minorEastAsia" w:eastAsiaTheme="minorEastAsia"/>
                <w:color w:val="C00000"/>
                <w:spacing w:val="-1"/>
                <w:szCs w:val="21"/>
              </w:rPr>
              <w:t>《中小学校教师采光和照明卫生标准》（GB7793-2010）</w:t>
            </w:r>
            <w:bookmarkEnd w:id="0"/>
            <w:r>
              <w:rPr>
                <w:rFonts w:hint="eastAsia" w:asciiTheme="minorEastAsia" w:hAnsiTheme="minorEastAsia" w:eastAsiaTheme="minorEastAsia"/>
                <w:color w:val="C00000"/>
                <w:spacing w:val="-1"/>
                <w:szCs w:val="21"/>
              </w:rPr>
              <w:t>\《儿童青少年学习用品近视防控卫生要求》（GB40070-2021）和自治区《中小学校教室照明技术规范》（DB65/T4622-2022）等为改造标准和技术依据:实现课桌面平均照度≥500lx，照度均匀度≥0.7；黑板面平均照度≥750lx，照度均匀度≥0.8；光源色温3300K～5300K；统一眩光值≤16；频闪灯指标达标。LED黑板灯通过CCC认证及节能认证。</w:t>
            </w:r>
          </w:p>
          <w:p w14:paraId="7680BB31">
            <w:pPr>
              <w:widowControl/>
              <w:numPr>
                <w:ilvl w:val="0"/>
                <w:numId w:val="0"/>
              </w:numPr>
              <w:rPr>
                <w:rFonts w:cs="Arial" w:asciiTheme="minorEastAsia" w:hAnsiTheme="minorEastAsia" w:eastAsiaTheme="minorEastAsia"/>
                <w:szCs w:val="21"/>
              </w:rPr>
            </w:pPr>
            <w:r>
              <w:rPr>
                <w:rFonts w:cs="Arial" w:asciiTheme="minorEastAsia" w:hAnsiTheme="minorEastAsia" w:eastAsiaTheme="minorEastAsia"/>
                <w:szCs w:val="21"/>
              </w:rPr>
              <w:t>8、</w:t>
            </w:r>
            <w:r>
              <w:rPr>
                <w:rFonts w:hint="eastAsia" w:cs="Arial" w:asciiTheme="minorEastAsia" w:hAnsiTheme="minorEastAsia" w:eastAsiaTheme="minorEastAsia"/>
                <w:szCs w:val="21"/>
              </w:rPr>
              <w:t>LED</w:t>
            </w:r>
            <w:r>
              <w:rPr>
                <w:rFonts w:hint="eastAsia" w:cs="Arial" w:asciiTheme="minorEastAsia" w:hAnsiTheme="minorEastAsia"/>
                <w:szCs w:val="21"/>
              </w:rPr>
              <w:t>黑板</w:t>
            </w:r>
            <w:r>
              <w:rPr>
                <w:rFonts w:hint="eastAsia" w:cs="Arial" w:asciiTheme="minorEastAsia" w:hAnsiTheme="minorEastAsia" w:eastAsiaTheme="minorEastAsia"/>
                <w:szCs w:val="21"/>
              </w:rPr>
              <w:t>灯</w:t>
            </w:r>
            <w:r>
              <w:rPr>
                <w:rFonts w:hint="eastAsia" w:asciiTheme="minorEastAsia" w:hAnsiTheme="minorEastAsia" w:eastAsiaTheme="minorEastAsia"/>
                <w:spacing w:val="-1"/>
                <w:szCs w:val="21"/>
              </w:rPr>
              <w:t>至少</w:t>
            </w:r>
            <w:r>
              <w:rPr>
                <w:rFonts w:hint="eastAsia" w:cs="Arial" w:asciiTheme="minorEastAsia" w:hAnsiTheme="minorEastAsia" w:eastAsiaTheme="minorEastAsia"/>
                <w:szCs w:val="21"/>
              </w:rPr>
              <w:t>依据《GB</w:t>
            </w:r>
            <w:r>
              <w:rPr>
                <w:rFonts w:cs="Arial" w:asciiTheme="minorEastAsia" w:hAnsiTheme="minorEastAsia" w:eastAsiaTheme="minorEastAsia"/>
                <w:szCs w:val="21"/>
              </w:rPr>
              <w:t>4</w:t>
            </w:r>
            <w:r>
              <w:rPr>
                <w:rFonts w:hint="eastAsia" w:cs="Arial" w:asciiTheme="minorEastAsia" w:hAnsiTheme="minorEastAsia" w:eastAsiaTheme="minorEastAsia"/>
                <w:szCs w:val="21"/>
              </w:rPr>
              <w:t>0070</w:t>
            </w:r>
            <w:r>
              <w:rPr>
                <w:rFonts w:cs="Arial" w:asciiTheme="minorEastAsia" w:hAnsiTheme="minorEastAsia" w:eastAsiaTheme="minorEastAsia"/>
                <w:szCs w:val="21"/>
              </w:rPr>
              <w:t>-2021</w:t>
            </w:r>
            <w:r>
              <w:rPr>
                <w:rFonts w:hint="eastAsia" w:cs="Arial" w:asciiTheme="minorEastAsia" w:hAnsiTheme="minorEastAsia" w:eastAsiaTheme="minorEastAsia"/>
                <w:szCs w:val="21"/>
              </w:rPr>
              <w:t>》</w:t>
            </w:r>
            <w:r>
              <w:rPr>
                <w:rFonts w:hint="eastAsia" w:asciiTheme="minorEastAsia" w:hAnsiTheme="minorEastAsia" w:eastAsiaTheme="minorEastAsia"/>
                <w:spacing w:val="-1"/>
                <w:szCs w:val="21"/>
              </w:rPr>
              <w:t>标准</w:t>
            </w:r>
            <w:r>
              <w:rPr>
                <w:rFonts w:hint="eastAsia" w:cs="Arial" w:asciiTheme="minorEastAsia" w:hAnsiTheme="minorEastAsia" w:eastAsiaTheme="minorEastAsia"/>
                <w:szCs w:val="21"/>
              </w:rPr>
              <w:t>通过近视防控认证。</w:t>
            </w:r>
          </w:p>
          <w:p w14:paraId="0DA73971">
            <w:pPr>
              <w:wordWrap w:val="0"/>
              <w:adjustRightInd w:val="0"/>
              <w:snapToGrid w:val="0"/>
              <w:jc w:val="left"/>
              <w:rPr>
                <w:rFonts w:cs="Arial" w:asciiTheme="minorEastAsia" w:hAnsiTheme="minorEastAsia" w:eastAsiaTheme="minorEastAsia"/>
                <w:szCs w:val="21"/>
              </w:rPr>
            </w:pPr>
            <w:r>
              <w:rPr>
                <w:rFonts w:cs="Arial" w:asciiTheme="minorEastAsia" w:hAnsiTheme="minorEastAsia" w:eastAsiaTheme="minorEastAsia"/>
                <w:szCs w:val="21"/>
              </w:rPr>
              <w:t>9、</w:t>
            </w:r>
            <w:r>
              <w:rPr>
                <w:rFonts w:asciiTheme="minorEastAsia" w:hAnsiTheme="minorEastAsia" w:eastAsiaTheme="minorEastAsia"/>
                <w:spacing w:val="-1"/>
                <w:szCs w:val="21"/>
              </w:rPr>
              <w:t>为</w:t>
            </w:r>
            <w:r>
              <w:rPr>
                <w:rFonts w:hint="eastAsia" w:asciiTheme="minorEastAsia" w:hAnsiTheme="minorEastAsia" w:eastAsiaTheme="minorEastAsia"/>
                <w:spacing w:val="-1"/>
                <w:szCs w:val="21"/>
              </w:rPr>
              <w:t>确保</w:t>
            </w:r>
            <w:r>
              <w:rPr>
                <w:rFonts w:asciiTheme="minorEastAsia" w:hAnsiTheme="minorEastAsia" w:eastAsiaTheme="minorEastAsia"/>
                <w:spacing w:val="-1"/>
                <w:szCs w:val="21"/>
              </w:rPr>
              <w:t>灯具使用寿命，LED</w:t>
            </w:r>
            <w:r>
              <w:rPr>
                <w:rFonts w:hint="eastAsia" w:cs="Arial" w:asciiTheme="minorEastAsia" w:hAnsiTheme="minorEastAsia"/>
                <w:szCs w:val="21"/>
              </w:rPr>
              <w:t>黑板</w:t>
            </w:r>
            <w:r>
              <w:rPr>
                <w:rFonts w:asciiTheme="minorEastAsia" w:hAnsiTheme="minorEastAsia" w:eastAsiaTheme="minorEastAsia"/>
                <w:spacing w:val="-1"/>
                <w:szCs w:val="21"/>
              </w:rPr>
              <w:t>灯</w:t>
            </w:r>
            <w:r>
              <w:rPr>
                <w:rFonts w:hint="eastAsia" w:asciiTheme="minorEastAsia" w:hAnsiTheme="minorEastAsia" w:eastAsiaTheme="minorEastAsia"/>
                <w:spacing w:val="-1"/>
                <w:szCs w:val="21"/>
              </w:rPr>
              <w:t>至少依据《GB/T33721</w:t>
            </w:r>
            <w:r>
              <w:rPr>
                <w:rFonts w:asciiTheme="minorEastAsia" w:hAnsiTheme="minorEastAsia" w:eastAsiaTheme="minorEastAsia"/>
                <w:spacing w:val="-1"/>
                <w:szCs w:val="21"/>
              </w:rPr>
              <w:t>-2017</w:t>
            </w:r>
            <w:r>
              <w:rPr>
                <w:rFonts w:hint="eastAsia" w:asciiTheme="minorEastAsia" w:hAnsiTheme="minorEastAsia" w:eastAsiaTheme="minorEastAsia"/>
                <w:spacing w:val="-1"/>
                <w:szCs w:val="21"/>
              </w:rPr>
              <w:t>》标准满足光通维持寿命≥50000小时</w:t>
            </w:r>
            <w:r>
              <w:rPr>
                <w:rFonts w:asciiTheme="minorEastAsia" w:hAnsiTheme="minorEastAsia" w:eastAsiaTheme="minorEastAsia"/>
                <w:spacing w:val="-1"/>
                <w:szCs w:val="21"/>
              </w:rPr>
              <w:t>。</w:t>
            </w:r>
          </w:p>
          <w:p w14:paraId="4AF73B81">
            <w:pPr>
              <w:jc w:val="left"/>
              <w:rPr>
                <w:rFonts w:cs="Arial" w:asciiTheme="minorEastAsia" w:hAnsiTheme="minorEastAsia" w:eastAsiaTheme="minorEastAsia"/>
                <w:szCs w:val="21"/>
              </w:rPr>
            </w:pPr>
            <w:r>
              <w:rPr>
                <w:rFonts w:hint="eastAsia" w:cs="Arial" w:asciiTheme="minorEastAsia" w:hAnsiTheme="minorEastAsia" w:eastAsiaTheme="minorEastAsia"/>
                <w:b/>
                <w:szCs w:val="21"/>
              </w:rPr>
              <w:t>备注：序号</w:t>
            </w:r>
            <w:r>
              <w:rPr>
                <w:rFonts w:cs="Arial" w:asciiTheme="minorEastAsia" w:hAnsiTheme="minorEastAsia" w:eastAsiaTheme="minorEastAsia"/>
                <w:b/>
                <w:szCs w:val="21"/>
              </w:rPr>
              <w:t>3-序号</w:t>
            </w:r>
            <w:r>
              <w:rPr>
                <w:rFonts w:hint="eastAsia" w:cs="Arial" w:asciiTheme="minorEastAsia" w:hAnsiTheme="minorEastAsia" w:eastAsiaTheme="minorEastAsia"/>
                <w:b/>
                <w:szCs w:val="21"/>
              </w:rPr>
              <w:t>9</w:t>
            </w:r>
            <w:r>
              <w:rPr>
                <w:rFonts w:cs="Arial" w:asciiTheme="minorEastAsia" w:hAnsiTheme="minorEastAsia" w:eastAsiaTheme="minorEastAsia"/>
                <w:b/>
                <w:szCs w:val="21"/>
              </w:rPr>
              <w:t>须</w:t>
            </w:r>
            <w:r>
              <w:rPr>
                <w:rFonts w:hint="eastAsia" w:cs="Arial" w:asciiTheme="minorEastAsia" w:hAnsiTheme="minorEastAsia" w:eastAsiaTheme="minorEastAsia"/>
                <w:b/>
                <w:szCs w:val="21"/>
              </w:rPr>
              <w:t>提供第三方认证机构出具的认证证书及全国认证认可信息公共服务平台证书状态为“有效”查询证明复印件（证书与查询证明文件上均须同时体现产品型号及认证标准；若有要求实地自然环境条件的，证书上须体现“实地验证检测方式”）。</w:t>
            </w:r>
          </w:p>
          <w:p w14:paraId="54664343">
            <w:pPr>
              <w:wordWrap w:val="0"/>
              <w:jc w:val="left"/>
              <w:rPr>
                <w:rFonts w:cs="Arial" w:asciiTheme="minorEastAsia" w:hAnsiTheme="minorEastAsia"/>
                <w:szCs w:val="21"/>
              </w:rPr>
            </w:pPr>
            <w:r>
              <w:rPr>
                <w:rFonts w:hint="eastAsia" w:ascii="宋体" w:hAnsi="宋体" w:cs="Arial"/>
                <w:szCs w:val="21"/>
              </w:rPr>
              <w:t>★</w:t>
            </w:r>
            <w:r>
              <w:rPr>
                <w:rFonts w:cs="Arial" w:asciiTheme="minorEastAsia" w:hAnsiTheme="minorEastAsia"/>
                <w:szCs w:val="21"/>
              </w:rPr>
              <w:t>10</w:t>
            </w:r>
            <w:r>
              <w:rPr>
                <w:rFonts w:hint="eastAsia" w:cs="Arial" w:asciiTheme="minorEastAsia" w:hAnsiTheme="minorEastAsia"/>
                <w:szCs w:val="21"/>
              </w:rPr>
              <w:t>、LED黑板灯</w:t>
            </w:r>
            <w:r>
              <w:rPr>
                <w:rFonts w:cs="Arial" w:asciiTheme="minorEastAsia" w:hAnsiTheme="minorEastAsia"/>
                <w:szCs w:val="21"/>
              </w:rPr>
              <w:t>尺寸</w:t>
            </w:r>
            <w:r>
              <w:rPr>
                <w:rFonts w:hint="eastAsia" w:cs="Arial" w:asciiTheme="minorEastAsia" w:hAnsiTheme="minorEastAsia"/>
                <w:szCs w:val="21"/>
              </w:rPr>
              <w:t>长度≥1</w:t>
            </w:r>
            <w:r>
              <w:rPr>
                <w:rFonts w:cs="Arial" w:asciiTheme="minorEastAsia" w:hAnsiTheme="minorEastAsia"/>
                <w:szCs w:val="21"/>
              </w:rPr>
              <w:t>220mm</w:t>
            </w:r>
            <w:r>
              <w:rPr>
                <w:rFonts w:hint="eastAsia" w:cs="Arial" w:asciiTheme="minorEastAsia" w:hAnsiTheme="minorEastAsia"/>
                <w:szCs w:val="21"/>
              </w:rPr>
              <w:t>，为一体式电镀铝格栅防眩灯具，格栅尺寸长宽高30</w:t>
            </w:r>
            <w:r>
              <w:rPr>
                <w:rFonts w:cs="Arial" w:asciiTheme="minorEastAsia" w:hAnsiTheme="minorEastAsia"/>
                <w:szCs w:val="21"/>
              </w:rPr>
              <w:t>0*</w:t>
            </w:r>
            <w:r>
              <w:rPr>
                <w:rFonts w:hint="eastAsia" w:cs="Arial" w:asciiTheme="minorEastAsia" w:hAnsiTheme="minorEastAsia"/>
                <w:szCs w:val="21"/>
              </w:rPr>
              <w:t>2</w:t>
            </w:r>
            <w:r>
              <w:rPr>
                <w:rFonts w:cs="Arial" w:asciiTheme="minorEastAsia" w:hAnsiTheme="minorEastAsia"/>
                <w:szCs w:val="21"/>
              </w:rPr>
              <w:t>0*8mm</w:t>
            </w:r>
            <w:r>
              <w:rPr>
                <w:rFonts w:hint="eastAsia" w:cs="Arial" w:asciiTheme="minorEastAsia" w:hAnsiTheme="minorEastAsia"/>
                <w:szCs w:val="21"/>
              </w:rPr>
              <w:t>±</w:t>
            </w:r>
            <w:r>
              <w:rPr>
                <w:rFonts w:cs="Arial" w:asciiTheme="minorEastAsia" w:hAnsiTheme="minorEastAsia"/>
                <w:szCs w:val="21"/>
              </w:rPr>
              <w:t>1，</w:t>
            </w:r>
            <w:r>
              <w:rPr>
                <w:rFonts w:hint="eastAsia" w:cs="Arial" w:asciiTheme="minorEastAsia" w:hAnsiTheme="minorEastAsia"/>
                <w:szCs w:val="21"/>
              </w:rPr>
              <w:t>采用一体式航空铝型材灯体，灯体最小壁厚不低于0.65</w:t>
            </w:r>
            <w:r>
              <w:rPr>
                <w:rFonts w:cs="Arial" w:asciiTheme="minorEastAsia" w:hAnsiTheme="minorEastAsia"/>
                <w:szCs w:val="21"/>
              </w:rPr>
              <w:t>mm</w:t>
            </w:r>
            <w:r>
              <w:rPr>
                <w:rFonts w:hint="eastAsia" w:cs="Arial" w:asciiTheme="minorEastAsia" w:hAnsiTheme="minorEastAsia"/>
                <w:szCs w:val="21"/>
              </w:rPr>
              <w:t>。</w:t>
            </w:r>
          </w:p>
          <w:p w14:paraId="667979EC">
            <w:pPr>
              <w:wordWrap w:val="0"/>
              <w:jc w:val="left"/>
              <w:rPr>
                <w:rFonts w:cs="Arial" w:asciiTheme="minorEastAsia" w:hAnsiTheme="minorEastAsia"/>
                <w:szCs w:val="21"/>
              </w:rPr>
            </w:pPr>
            <w:r>
              <w:rPr>
                <w:rFonts w:cs="Arial" w:asciiTheme="minorEastAsia" w:hAnsiTheme="minorEastAsia"/>
                <w:szCs w:val="21"/>
              </w:rPr>
              <w:t>11</w:t>
            </w:r>
            <w:r>
              <w:rPr>
                <w:rFonts w:hint="eastAsia" w:cs="Arial" w:asciiTheme="minorEastAsia" w:hAnsiTheme="minorEastAsia"/>
                <w:szCs w:val="21"/>
              </w:rPr>
              <w:t>、LED黑板灯为一体式挡光板设计，挡光板高度不低于1</w:t>
            </w:r>
            <w:r>
              <w:rPr>
                <w:rFonts w:cs="Arial" w:asciiTheme="minorEastAsia" w:hAnsiTheme="minorEastAsia"/>
                <w:szCs w:val="21"/>
              </w:rPr>
              <w:t>7mm，</w:t>
            </w:r>
            <w:r>
              <w:rPr>
                <w:rFonts w:hint="eastAsia" w:cs="Arial" w:asciiTheme="minorEastAsia" w:hAnsiTheme="minorEastAsia"/>
                <w:szCs w:val="21"/>
              </w:rPr>
              <w:t>能够有效遮挡眩光，能够使光线更集中分布在黑板表面，避免多余的光线入射到老师或学生的眼睛；吊杆连接装置可调节，且吊装支架能够固定电源线，隐藏安装线，保证走线美观；采用拔插式固定灯体和吊杆，不使用螺丝连接吊杆，安装便捷。</w:t>
            </w:r>
          </w:p>
          <w:p w14:paraId="3E91CA32">
            <w:pPr>
              <w:jc w:val="left"/>
              <w:rPr>
                <w:rFonts w:cs="Arial" w:asciiTheme="minorEastAsia" w:hAnsiTheme="minorEastAsia"/>
                <w:b/>
                <w:szCs w:val="21"/>
              </w:rPr>
            </w:pPr>
            <w:r>
              <w:rPr>
                <w:rFonts w:hint="eastAsia" w:cs="Arial" w:asciiTheme="minorEastAsia" w:hAnsiTheme="minorEastAsia"/>
                <w:b/>
                <w:szCs w:val="21"/>
              </w:rPr>
              <w:t>备注：序号</w:t>
            </w:r>
            <w:r>
              <w:rPr>
                <w:rFonts w:cs="Arial" w:asciiTheme="minorEastAsia" w:hAnsiTheme="minorEastAsia"/>
                <w:b/>
                <w:szCs w:val="21"/>
              </w:rPr>
              <w:t>10-序号11须</w:t>
            </w:r>
            <w:r>
              <w:rPr>
                <w:rFonts w:hint="eastAsia" w:cs="Arial" w:asciiTheme="minorEastAsia" w:hAnsiTheme="minorEastAsia"/>
                <w:b/>
                <w:szCs w:val="21"/>
              </w:rPr>
              <w:t>提供相关佐证材料，包含但不限于产品彩页或技术参数确认函。</w:t>
            </w:r>
          </w:p>
        </w:tc>
        <w:tc>
          <w:tcPr>
            <w:tcW w:w="850" w:type="dxa"/>
            <w:vAlign w:val="center"/>
          </w:tcPr>
          <w:p w14:paraId="6ED2FEE4">
            <w:pPr>
              <w:jc w:val="center"/>
              <w:rPr>
                <w:rFonts w:cs="Arial" w:asciiTheme="minorEastAsia" w:hAnsiTheme="minorEastAsia" w:eastAsiaTheme="minorEastAsia"/>
                <w:kern w:val="0"/>
                <w:szCs w:val="21"/>
              </w:rPr>
            </w:pPr>
          </w:p>
        </w:tc>
      </w:tr>
    </w:tbl>
    <w:p w14:paraId="20A9DC9B">
      <w:pPr>
        <w:wordWrap w:val="0"/>
        <w:rPr>
          <w:rFonts w:asciiTheme="minorEastAsia" w:hAnsiTheme="minorEastAsia" w:eastAsiaTheme="minorEastAsia"/>
          <w:b/>
          <w:szCs w:val="21"/>
        </w:rPr>
      </w:pPr>
      <w:r>
        <w:rPr>
          <w:rFonts w:asciiTheme="minorEastAsia" w:hAnsiTheme="minorEastAsia" w:eastAsiaTheme="minorEastAsia"/>
          <w:b/>
          <w:szCs w:val="21"/>
        </w:rPr>
        <w:t>备注：以上参数若有一项指标、资料不符合的，按无效投标处理。</w:t>
      </w:r>
    </w:p>
    <w:p w14:paraId="74EEC4DD">
      <w:pPr>
        <w:widowControl/>
        <w:jc w:val="left"/>
        <w:rPr>
          <w:rFonts w:asciiTheme="minorEastAsia" w:hAnsiTheme="minorEastAsia" w:eastAsiaTheme="minorEastAsia"/>
          <w:b/>
          <w:szCs w:val="21"/>
        </w:rPr>
      </w:pPr>
    </w:p>
    <w:p w14:paraId="5A64F871">
      <w:pPr>
        <w:widowControl/>
        <w:jc w:val="left"/>
        <w:rPr>
          <w:rFonts w:asciiTheme="minorEastAsia" w:hAnsiTheme="minorEastAsia" w:eastAsiaTheme="minorEastAsia"/>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kOTc4OWJlNTk0ZTBlM2NiYjkyZTY0NmI5NDhjMTkifQ=="/>
  </w:docVars>
  <w:rsids>
    <w:rsidRoot w:val="00C64E3B"/>
    <w:rsid w:val="0000146D"/>
    <w:rsid w:val="00003E37"/>
    <w:rsid w:val="000054DF"/>
    <w:rsid w:val="0001467B"/>
    <w:rsid w:val="00031D6E"/>
    <w:rsid w:val="000339E9"/>
    <w:rsid w:val="00041383"/>
    <w:rsid w:val="00071CD1"/>
    <w:rsid w:val="00072971"/>
    <w:rsid w:val="00074D7F"/>
    <w:rsid w:val="00082696"/>
    <w:rsid w:val="00097FE2"/>
    <w:rsid w:val="000A087D"/>
    <w:rsid w:val="000A62DF"/>
    <w:rsid w:val="000A6570"/>
    <w:rsid w:val="000A72BE"/>
    <w:rsid w:val="000B0878"/>
    <w:rsid w:val="000C12CA"/>
    <w:rsid w:val="000C2A05"/>
    <w:rsid w:val="000C6ED3"/>
    <w:rsid w:val="000F13B9"/>
    <w:rsid w:val="000F202B"/>
    <w:rsid w:val="000F20B4"/>
    <w:rsid w:val="001148ED"/>
    <w:rsid w:val="00115E40"/>
    <w:rsid w:val="00121221"/>
    <w:rsid w:val="00121B06"/>
    <w:rsid w:val="001279D1"/>
    <w:rsid w:val="00132C66"/>
    <w:rsid w:val="001521BF"/>
    <w:rsid w:val="001537B2"/>
    <w:rsid w:val="001550A0"/>
    <w:rsid w:val="001608D4"/>
    <w:rsid w:val="00170C28"/>
    <w:rsid w:val="00171064"/>
    <w:rsid w:val="0017195B"/>
    <w:rsid w:val="00173DC6"/>
    <w:rsid w:val="00174E04"/>
    <w:rsid w:val="00180670"/>
    <w:rsid w:val="00180C48"/>
    <w:rsid w:val="00192407"/>
    <w:rsid w:val="001A3D67"/>
    <w:rsid w:val="001B73AF"/>
    <w:rsid w:val="001C3D6B"/>
    <w:rsid w:val="001F3A7A"/>
    <w:rsid w:val="00210C05"/>
    <w:rsid w:val="00215053"/>
    <w:rsid w:val="00216751"/>
    <w:rsid w:val="00217447"/>
    <w:rsid w:val="00217F61"/>
    <w:rsid w:val="0022141C"/>
    <w:rsid w:val="00224EFB"/>
    <w:rsid w:val="00234410"/>
    <w:rsid w:val="0025587D"/>
    <w:rsid w:val="002767AD"/>
    <w:rsid w:val="00293BAA"/>
    <w:rsid w:val="002A2370"/>
    <w:rsid w:val="002B3E7C"/>
    <w:rsid w:val="002B539C"/>
    <w:rsid w:val="002D3997"/>
    <w:rsid w:val="002E7C23"/>
    <w:rsid w:val="00302438"/>
    <w:rsid w:val="0030355A"/>
    <w:rsid w:val="00307E7F"/>
    <w:rsid w:val="0033697B"/>
    <w:rsid w:val="00337FB0"/>
    <w:rsid w:val="0034001A"/>
    <w:rsid w:val="003421B5"/>
    <w:rsid w:val="003639DB"/>
    <w:rsid w:val="00363DE5"/>
    <w:rsid w:val="00367FF2"/>
    <w:rsid w:val="00376C67"/>
    <w:rsid w:val="00381683"/>
    <w:rsid w:val="003925FA"/>
    <w:rsid w:val="00392EED"/>
    <w:rsid w:val="00395840"/>
    <w:rsid w:val="0039775B"/>
    <w:rsid w:val="00397ECF"/>
    <w:rsid w:val="003B5059"/>
    <w:rsid w:val="003C4406"/>
    <w:rsid w:val="003C5100"/>
    <w:rsid w:val="003D2AD8"/>
    <w:rsid w:val="00400333"/>
    <w:rsid w:val="00410CDA"/>
    <w:rsid w:val="00417217"/>
    <w:rsid w:val="004200AF"/>
    <w:rsid w:val="00421F3D"/>
    <w:rsid w:val="00455E49"/>
    <w:rsid w:val="00463F18"/>
    <w:rsid w:val="00485B06"/>
    <w:rsid w:val="004975AC"/>
    <w:rsid w:val="004A0A7B"/>
    <w:rsid w:val="004A2AA3"/>
    <w:rsid w:val="004B769B"/>
    <w:rsid w:val="004C4BA3"/>
    <w:rsid w:val="004C5F15"/>
    <w:rsid w:val="004D08E3"/>
    <w:rsid w:val="004E3183"/>
    <w:rsid w:val="004F0234"/>
    <w:rsid w:val="004F3564"/>
    <w:rsid w:val="00512540"/>
    <w:rsid w:val="0051346A"/>
    <w:rsid w:val="005270E8"/>
    <w:rsid w:val="00535EA2"/>
    <w:rsid w:val="00577D46"/>
    <w:rsid w:val="005819F7"/>
    <w:rsid w:val="00582119"/>
    <w:rsid w:val="0058467F"/>
    <w:rsid w:val="00586A11"/>
    <w:rsid w:val="00586BCB"/>
    <w:rsid w:val="00587737"/>
    <w:rsid w:val="005B18E3"/>
    <w:rsid w:val="005B2660"/>
    <w:rsid w:val="005B42EB"/>
    <w:rsid w:val="005C0D06"/>
    <w:rsid w:val="005C22A7"/>
    <w:rsid w:val="005D61AC"/>
    <w:rsid w:val="005D7E7D"/>
    <w:rsid w:val="005E32A2"/>
    <w:rsid w:val="00600CBC"/>
    <w:rsid w:val="00605F34"/>
    <w:rsid w:val="0063723F"/>
    <w:rsid w:val="00640201"/>
    <w:rsid w:val="0065298D"/>
    <w:rsid w:val="00667A4A"/>
    <w:rsid w:val="006756E4"/>
    <w:rsid w:val="006774DC"/>
    <w:rsid w:val="00690264"/>
    <w:rsid w:val="00694F5B"/>
    <w:rsid w:val="006C1625"/>
    <w:rsid w:val="006D5B13"/>
    <w:rsid w:val="006F5242"/>
    <w:rsid w:val="00705972"/>
    <w:rsid w:val="00720485"/>
    <w:rsid w:val="007209BD"/>
    <w:rsid w:val="00725729"/>
    <w:rsid w:val="00731FE5"/>
    <w:rsid w:val="0074104E"/>
    <w:rsid w:val="007439F8"/>
    <w:rsid w:val="0075161B"/>
    <w:rsid w:val="00754BAC"/>
    <w:rsid w:val="007577AC"/>
    <w:rsid w:val="00767DC3"/>
    <w:rsid w:val="00775C1F"/>
    <w:rsid w:val="00782254"/>
    <w:rsid w:val="007847E4"/>
    <w:rsid w:val="007C01D9"/>
    <w:rsid w:val="007C02C3"/>
    <w:rsid w:val="007C4338"/>
    <w:rsid w:val="007C77AF"/>
    <w:rsid w:val="007F65B8"/>
    <w:rsid w:val="008143BF"/>
    <w:rsid w:val="00833743"/>
    <w:rsid w:val="00834CA9"/>
    <w:rsid w:val="008356F4"/>
    <w:rsid w:val="00843B15"/>
    <w:rsid w:val="00845847"/>
    <w:rsid w:val="00851398"/>
    <w:rsid w:val="00855898"/>
    <w:rsid w:val="0086589D"/>
    <w:rsid w:val="0087067D"/>
    <w:rsid w:val="00872049"/>
    <w:rsid w:val="0087441F"/>
    <w:rsid w:val="0088794A"/>
    <w:rsid w:val="00894228"/>
    <w:rsid w:val="00895628"/>
    <w:rsid w:val="008B17AF"/>
    <w:rsid w:val="008C016A"/>
    <w:rsid w:val="008E5C23"/>
    <w:rsid w:val="00900136"/>
    <w:rsid w:val="0091390B"/>
    <w:rsid w:val="00915128"/>
    <w:rsid w:val="00920986"/>
    <w:rsid w:val="00931552"/>
    <w:rsid w:val="00932FAF"/>
    <w:rsid w:val="009333F0"/>
    <w:rsid w:val="009411FB"/>
    <w:rsid w:val="0094422A"/>
    <w:rsid w:val="00951FB5"/>
    <w:rsid w:val="0096195F"/>
    <w:rsid w:val="00970D8E"/>
    <w:rsid w:val="00993427"/>
    <w:rsid w:val="009A44B4"/>
    <w:rsid w:val="009B4A2A"/>
    <w:rsid w:val="009B70E6"/>
    <w:rsid w:val="009C075E"/>
    <w:rsid w:val="009C7FEB"/>
    <w:rsid w:val="009D4AEF"/>
    <w:rsid w:val="00A02E94"/>
    <w:rsid w:val="00A12F02"/>
    <w:rsid w:val="00A23EF1"/>
    <w:rsid w:val="00A30F66"/>
    <w:rsid w:val="00A31B2D"/>
    <w:rsid w:val="00A40E68"/>
    <w:rsid w:val="00A55928"/>
    <w:rsid w:val="00A57875"/>
    <w:rsid w:val="00A60BDA"/>
    <w:rsid w:val="00A63CB7"/>
    <w:rsid w:val="00A66DB9"/>
    <w:rsid w:val="00A70FD5"/>
    <w:rsid w:val="00A76240"/>
    <w:rsid w:val="00A86565"/>
    <w:rsid w:val="00A866D9"/>
    <w:rsid w:val="00A93524"/>
    <w:rsid w:val="00AA0A84"/>
    <w:rsid w:val="00AB4E3F"/>
    <w:rsid w:val="00AC07AD"/>
    <w:rsid w:val="00AE143B"/>
    <w:rsid w:val="00B16370"/>
    <w:rsid w:val="00B46035"/>
    <w:rsid w:val="00B4615D"/>
    <w:rsid w:val="00B5073E"/>
    <w:rsid w:val="00B5188A"/>
    <w:rsid w:val="00B706D3"/>
    <w:rsid w:val="00B83078"/>
    <w:rsid w:val="00B85AB5"/>
    <w:rsid w:val="00B93339"/>
    <w:rsid w:val="00B95210"/>
    <w:rsid w:val="00BA6A5E"/>
    <w:rsid w:val="00BA760C"/>
    <w:rsid w:val="00BE0BED"/>
    <w:rsid w:val="00BE72F9"/>
    <w:rsid w:val="00C00445"/>
    <w:rsid w:val="00C107D2"/>
    <w:rsid w:val="00C1633C"/>
    <w:rsid w:val="00C417FD"/>
    <w:rsid w:val="00C55FB5"/>
    <w:rsid w:val="00C57CA4"/>
    <w:rsid w:val="00C64E3B"/>
    <w:rsid w:val="00C71E6E"/>
    <w:rsid w:val="00C73AC4"/>
    <w:rsid w:val="00C74140"/>
    <w:rsid w:val="00C833C8"/>
    <w:rsid w:val="00C8413A"/>
    <w:rsid w:val="00C86BCC"/>
    <w:rsid w:val="00C918D8"/>
    <w:rsid w:val="00CA2779"/>
    <w:rsid w:val="00CB1370"/>
    <w:rsid w:val="00CC6E2F"/>
    <w:rsid w:val="00CD152F"/>
    <w:rsid w:val="00CF55BA"/>
    <w:rsid w:val="00D03CE9"/>
    <w:rsid w:val="00D04270"/>
    <w:rsid w:val="00D254C6"/>
    <w:rsid w:val="00D26172"/>
    <w:rsid w:val="00D27275"/>
    <w:rsid w:val="00D3126C"/>
    <w:rsid w:val="00D31A7B"/>
    <w:rsid w:val="00D4417F"/>
    <w:rsid w:val="00D4420C"/>
    <w:rsid w:val="00D44562"/>
    <w:rsid w:val="00D4625B"/>
    <w:rsid w:val="00D51EC3"/>
    <w:rsid w:val="00D57988"/>
    <w:rsid w:val="00D6300E"/>
    <w:rsid w:val="00D73C83"/>
    <w:rsid w:val="00D77CAD"/>
    <w:rsid w:val="00D91A97"/>
    <w:rsid w:val="00D929FC"/>
    <w:rsid w:val="00D932FA"/>
    <w:rsid w:val="00D9794C"/>
    <w:rsid w:val="00D97BE9"/>
    <w:rsid w:val="00DA730B"/>
    <w:rsid w:val="00DB61E3"/>
    <w:rsid w:val="00DC0DDE"/>
    <w:rsid w:val="00DC466B"/>
    <w:rsid w:val="00DC6ACA"/>
    <w:rsid w:val="00DD163C"/>
    <w:rsid w:val="00DD3172"/>
    <w:rsid w:val="00DD40E4"/>
    <w:rsid w:val="00E21DBD"/>
    <w:rsid w:val="00E23BE7"/>
    <w:rsid w:val="00E3512E"/>
    <w:rsid w:val="00E443CE"/>
    <w:rsid w:val="00E55B39"/>
    <w:rsid w:val="00E55B67"/>
    <w:rsid w:val="00E64762"/>
    <w:rsid w:val="00E7635A"/>
    <w:rsid w:val="00E7730F"/>
    <w:rsid w:val="00E93E4A"/>
    <w:rsid w:val="00E93F78"/>
    <w:rsid w:val="00E96474"/>
    <w:rsid w:val="00EB20A1"/>
    <w:rsid w:val="00EC1824"/>
    <w:rsid w:val="00EE283D"/>
    <w:rsid w:val="00EE5723"/>
    <w:rsid w:val="00EF2CA1"/>
    <w:rsid w:val="00F10798"/>
    <w:rsid w:val="00F209A8"/>
    <w:rsid w:val="00F31463"/>
    <w:rsid w:val="00F31BDA"/>
    <w:rsid w:val="00F37D5D"/>
    <w:rsid w:val="00F45731"/>
    <w:rsid w:val="00F53E29"/>
    <w:rsid w:val="00F629BC"/>
    <w:rsid w:val="00F73CD5"/>
    <w:rsid w:val="00F75307"/>
    <w:rsid w:val="00FA2E2D"/>
    <w:rsid w:val="00FC1610"/>
    <w:rsid w:val="00FD6515"/>
    <w:rsid w:val="00FF32A5"/>
    <w:rsid w:val="02C352C9"/>
    <w:rsid w:val="098D3C83"/>
    <w:rsid w:val="0F4D7383"/>
    <w:rsid w:val="25330441"/>
    <w:rsid w:val="2582344A"/>
    <w:rsid w:val="2C112322"/>
    <w:rsid w:val="3F5F1B22"/>
    <w:rsid w:val="4B9154B2"/>
    <w:rsid w:val="50EA0221"/>
    <w:rsid w:val="561E462F"/>
    <w:rsid w:val="5B3F38F0"/>
    <w:rsid w:val="5D0D30F1"/>
    <w:rsid w:val="62310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link w:val="18"/>
    <w:qFormat/>
    <w:uiPriority w:val="0"/>
    <w:pPr>
      <w:keepNext/>
      <w:keepLines/>
      <w:spacing w:before="260" w:after="260" w:line="416" w:lineRule="auto"/>
      <w:jc w:val="center"/>
      <w:outlineLvl w:val="2"/>
    </w:pPr>
    <w:rPr>
      <w:rFonts w:ascii="宋体" w:hAnsi="Times New Roman" w:cs="Times New Roman"/>
      <w:b/>
      <w:bCs/>
      <w:kern w:val="0"/>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qFormat/>
    <w:uiPriority w:val="0"/>
    <w:pPr>
      <w:adjustRightInd w:val="0"/>
      <w:spacing w:line="360" w:lineRule="atLeast"/>
      <w:jc w:val="left"/>
      <w:textAlignment w:val="baseline"/>
    </w:pPr>
    <w:rPr>
      <w:rFonts w:cs="Times New Roman"/>
      <w:kern w:val="0"/>
      <w:sz w:val="24"/>
      <w:szCs w:val="20"/>
    </w:rPr>
  </w:style>
  <w:style w:type="paragraph" w:styleId="4">
    <w:name w:val="Body Text"/>
    <w:basedOn w:val="1"/>
    <w:link w:val="15"/>
    <w:qFormat/>
    <w:uiPriority w:val="0"/>
    <w:pPr>
      <w:spacing w:after="120" w:line="259" w:lineRule="auto"/>
    </w:pPr>
    <w:rPr>
      <w:rFonts w:cs="Times New Roman"/>
      <w:szCs w:val="24"/>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1"/>
    <w:basedOn w:val="1"/>
    <w:qFormat/>
    <w:uiPriority w:val="0"/>
    <w:pPr>
      <w:spacing w:after="156" w:line="360" w:lineRule="auto"/>
      <w:ind w:firstLine="3459" w:firstLineChars="1080"/>
    </w:pPr>
    <w:rPr>
      <w:rFonts w:ascii="宋体" w:hAnsi="宋体" w:cs="Times New Roman"/>
      <w:b/>
      <w:sz w:val="34"/>
      <w:szCs w:val="20"/>
    </w:rPr>
  </w:style>
  <w:style w:type="character" w:customStyle="1" w:styleId="11">
    <w:name w:val="批注文字 Char"/>
    <w:basedOn w:val="9"/>
    <w:link w:val="3"/>
    <w:qFormat/>
    <w:uiPriority w:val="0"/>
    <w:rPr>
      <w:rFonts w:cs="Times New Roman"/>
      <w:sz w:val="24"/>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paragraph" w:customStyle="1" w:styleId="14">
    <w:name w:val="（符号）三标题1.1"/>
    <w:basedOn w:val="1"/>
    <w:qFormat/>
    <w:uiPriority w:val="0"/>
    <w:pPr>
      <w:tabs>
        <w:tab w:val="left" w:pos="700"/>
      </w:tabs>
      <w:spacing w:line="500" w:lineRule="exact"/>
    </w:pPr>
    <w:rPr>
      <w:rFonts w:ascii="宋体" w:hAnsi="宋体" w:cs="Times New Roman"/>
      <w:sz w:val="24"/>
      <w:szCs w:val="24"/>
    </w:rPr>
  </w:style>
  <w:style w:type="character" w:customStyle="1" w:styleId="15">
    <w:name w:val="正文文本 Char"/>
    <w:basedOn w:val="9"/>
    <w:link w:val="4"/>
    <w:qFormat/>
    <w:uiPriority w:val="0"/>
    <w:rPr>
      <w:rFonts w:cs="Times New Roman"/>
      <w:kern w:val="2"/>
      <w:sz w:val="21"/>
      <w:szCs w:val="24"/>
    </w:rPr>
  </w:style>
  <w:style w:type="paragraph" w:styleId="16">
    <w:name w:val="List Paragraph"/>
    <w:basedOn w:val="1"/>
    <w:qFormat/>
    <w:uiPriority w:val="99"/>
    <w:pPr>
      <w:ind w:firstLine="420" w:firstLineChars="200"/>
    </w:pPr>
  </w:style>
  <w:style w:type="paragraph" w:customStyle="1" w:styleId="17">
    <w:name w:val="null3"/>
    <w:hidden/>
    <w:qFormat/>
    <w:uiPriority w:val="0"/>
    <w:rPr>
      <w:rFonts w:hint="eastAsia" w:asciiTheme="minorHAnsi" w:hAnsiTheme="minorHAnsi" w:eastAsiaTheme="minorEastAsia" w:cstheme="minorBidi"/>
      <w:lang w:val="en-US" w:eastAsia="zh-Hans" w:bidi="ar-SA"/>
    </w:rPr>
  </w:style>
  <w:style w:type="character" w:customStyle="1" w:styleId="18">
    <w:name w:val="标题 3 Char"/>
    <w:basedOn w:val="9"/>
    <w:link w:val="2"/>
    <w:qFormat/>
    <w:uiPriority w:val="0"/>
    <w:rPr>
      <w:rFonts w:ascii="宋体" w:hAnsi="Times New Roman" w:cs="Times New Roman"/>
      <w:b/>
      <w:bCs/>
      <w:sz w:val="32"/>
      <w:szCs w:val="32"/>
    </w:rPr>
  </w:style>
  <w:style w:type="paragraph" w:styleId="19">
    <w:name w:val="No Spacing"/>
    <w:qFormat/>
    <w:uiPriority w:val="1"/>
    <w:pPr>
      <w:widowControl w:val="0"/>
      <w:spacing w:line="360" w:lineRule="auto"/>
      <w:jc w:val="center"/>
    </w:pPr>
    <w:rPr>
      <w:rFonts w:ascii="等线" w:hAnsi="等线" w:eastAsia="等线" w:cstheme="minorHAnsi"/>
      <w:color w:val="000000" w:themeColor="text1"/>
      <w:lang w:val="en-US" w:eastAsia="zh-CN" w:bidi="ar-SA"/>
      <w14:textFill>
        <w14:solidFill>
          <w14:schemeClr w14:val="tx1"/>
        </w14:solidFill>
      </w14:textFill>
    </w:rPr>
  </w:style>
  <w:style w:type="paragraph" w:customStyle="1" w:styleId="20">
    <w:name w:val="图例"/>
    <w:basedOn w:val="1"/>
    <w:qFormat/>
    <w:uiPriority w:val="0"/>
    <w:pPr>
      <w:spacing w:before="120" w:after="120" w:line="360" w:lineRule="auto"/>
      <w:jc w:val="center"/>
    </w:pPr>
    <w:rPr>
      <w:rFonts w:eastAsia="仿宋_GB2312" w:cs="Times New Roman"/>
      <w:b/>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2683</Words>
  <Characters>3261</Characters>
  <Lines>4</Lines>
  <Paragraphs>5</Paragraphs>
  <TotalTime>12</TotalTime>
  <ScaleCrop>false</ScaleCrop>
  <LinksUpToDate>false</LinksUpToDate>
  <CharactersWithSpaces>3275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2023-03-03T06:53:00Z</dcterms:created>
  <dc:creator>康鹏辉</dc:creator>
  <cp:lastModifiedBy>what</cp:lastModifiedBy>
  <dcterms:modified xsi:type="dcterms:W3CDTF">2025-02-13T10:54:39Z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d46286021b3545d699330b8af8aa448a</vt:lpwstr>
  </property>
  <property fmtid="{D5CDD505-2E9C-101B-9397-08002B2CF9AE}" pid="4" name="KSOTemplateDocerSaveRecord">
    <vt:lpwstr>eyJoZGlkIjoiN2I3YTJkM2I4Y2FhZjA5YmIxODRlNzA5MTc0ZGI0OTgiLCJ1c2VySWQiOiI1MDE4NzA0MjQifQ==</vt:lpwstr>
  </property>
</Properties>
</file>